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FCB3736" w14:textId="77777777" w:rsidR="00BD499F" w:rsidRPr="004C23F4" w:rsidRDefault="00626C6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tert-butyl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62CDDDF2" w14:textId="77777777" w:rsidTr="00B76A41">
        <w:trPr>
          <w:cantSplit/>
          <w:tblHeader/>
        </w:trPr>
        <w:tc>
          <w:tcPr>
            <w:tcW w:w="4077" w:type="dxa"/>
          </w:tcPr>
          <w:p w14:paraId="2211D92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1C3778B" w14:textId="77777777" w:rsidR="00F43AD5" w:rsidRPr="00717D45" w:rsidRDefault="0067386F" w:rsidP="00B76A41">
            <w:pPr>
              <w:pStyle w:val="Tablefont"/>
            </w:pPr>
            <w:r>
              <w:t>75-65-0</w:t>
            </w:r>
          </w:p>
        </w:tc>
      </w:tr>
      <w:tr w:rsidR="00F43AD5" w:rsidRPr="004C23F4" w14:paraId="199187D3" w14:textId="77777777" w:rsidTr="00B76A41">
        <w:trPr>
          <w:cantSplit/>
        </w:trPr>
        <w:tc>
          <w:tcPr>
            <w:tcW w:w="4077" w:type="dxa"/>
          </w:tcPr>
          <w:p w14:paraId="0EC86D9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A206004" w14:textId="6DFB593C" w:rsidR="0067386F" w:rsidRDefault="0067386F" w:rsidP="0067386F">
            <w:pPr>
              <w:pStyle w:val="Tablefont"/>
            </w:pPr>
            <w:r>
              <w:t>t-</w:t>
            </w:r>
            <w:r w:rsidR="00B81851">
              <w:t>b</w:t>
            </w:r>
            <w:r>
              <w:t>utanol, tertiary-butanol, 2-</w:t>
            </w:r>
            <w:r w:rsidR="00B81851">
              <w:t>m</w:t>
            </w:r>
            <w:r>
              <w:t>ethyl-2-propanol,</w:t>
            </w:r>
          </w:p>
          <w:p w14:paraId="07105B77" w14:textId="77777777" w:rsidR="00F43AD5" w:rsidRPr="00717D45" w:rsidRDefault="0067386F" w:rsidP="0067386F">
            <w:pPr>
              <w:pStyle w:val="Tablefont"/>
            </w:pPr>
            <w:proofErr w:type="spellStart"/>
            <w:r>
              <w:t>trimethylcarbinol</w:t>
            </w:r>
            <w:proofErr w:type="spellEnd"/>
          </w:p>
        </w:tc>
      </w:tr>
      <w:tr w:rsidR="00F43AD5" w:rsidRPr="004C23F4" w14:paraId="5F872F39" w14:textId="77777777" w:rsidTr="00B76A41">
        <w:trPr>
          <w:cantSplit/>
        </w:trPr>
        <w:tc>
          <w:tcPr>
            <w:tcW w:w="4077" w:type="dxa"/>
          </w:tcPr>
          <w:p w14:paraId="7F1467D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CE09A2B" w14:textId="77777777" w:rsidR="00F43AD5" w:rsidRPr="00717D45" w:rsidRDefault="0067386F" w:rsidP="00B76A41">
            <w:pPr>
              <w:pStyle w:val="Tablefont"/>
            </w:pPr>
            <w:r w:rsidRPr="0067386F">
              <w:t>C</w:t>
            </w:r>
            <w:r w:rsidRPr="0067386F">
              <w:rPr>
                <w:vertAlign w:val="subscript"/>
              </w:rPr>
              <w:t>4</w:t>
            </w:r>
            <w:r w:rsidRPr="0067386F">
              <w:t>H</w:t>
            </w:r>
            <w:r w:rsidRPr="0067386F">
              <w:rPr>
                <w:vertAlign w:val="subscript"/>
              </w:rPr>
              <w:t>10</w:t>
            </w:r>
            <w:r w:rsidRPr="0067386F">
              <w:t>O</w:t>
            </w:r>
          </w:p>
        </w:tc>
      </w:tr>
      <w:tr w:rsidR="00F43AD5" w:rsidRPr="004C23F4" w14:paraId="19741862" w14:textId="77777777" w:rsidTr="00B76A41">
        <w:trPr>
          <w:cantSplit/>
        </w:trPr>
        <w:tc>
          <w:tcPr>
            <w:tcW w:w="4077" w:type="dxa"/>
          </w:tcPr>
          <w:p w14:paraId="602B821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02B554D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5D81DE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B321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09B1B3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F00E96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1067AA1" w14:textId="77777777" w:rsidR="002C7AFE" w:rsidRPr="00EB3D1B" w:rsidRDefault="00051A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</w:t>
            </w:r>
            <w:r w:rsidR="00CB3214">
              <w:rPr>
                <w:b/>
              </w:rPr>
              <w:t xml:space="preserve"> ppm</w:t>
            </w:r>
            <w:r w:rsidR="00596B5D">
              <w:rPr>
                <w:b/>
              </w:rPr>
              <w:t xml:space="preserve"> </w:t>
            </w:r>
            <w:r w:rsidR="00596B5D" w:rsidRPr="00596B5D">
              <w:rPr>
                <w:b/>
              </w:rPr>
              <w:t>(62 mg/m</w:t>
            </w:r>
            <w:r w:rsidR="00596B5D" w:rsidRPr="002E5FB2">
              <w:rPr>
                <w:b/>
                <w:vertAlign w:val="superscript"/>
              </w:rPr>
              <w:t>3</w:t>
            </w:r>
            <w:r w:rsidR="00596B5D" w:rsidRPr="00596B5D">
              <w:rPr>
                <w:b/>
              </w:rPr>
              <w:t>)</w:t>
            </w:r>
          </w:p>
        </w:tc>
      </w:tr>
      <w:tr w:rsidR="002C7AFE" w:rsidRPr="004C23F4" w14:paraId="478FB062" w14:textId="77777777" w:rsidTr="00921DE7">
        <w:trPr>
          <w:cantSplit/>
        </w:trPr>
        <w:tc>
          <w:tcPr>
            <w:tcW w:w="4077" w:type="dxa"/>
            <w:vAlign w:val="center"/>
          </w:tcPr>
          <w:p w14:paraId="097138E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7A09C0E" w14:textId="1DFD0384" w:rsidR="002C7AFE" w:rsidRPr="008F0FB3" w:rsidRDefault="006F6F3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9F07DA1" w14:textId="77777777" w:rsidTr="00921DE7">
        <w:trPr>
          <w:cantSplit/>
        </w:trPr>
        <w:tc>
          <w:tcPr>
            <w:tcW w:w="4077" w:type="dxa"/>
            <w:vAlign w:val="center"/>
          </w:tcPr>
          <w:p w14:paraId="6E6E7DA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FD6AE7C" w14:textId="77777777" w:rsidR="002C7AFE" w:rsidRPr="00EB3D1B" w:rsidRDefault="00CB321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396A1C9" w14:textId="77777777" w:rsidTr="00A2073D">
        <w:trPr>
          <w:cantSplit/>
        </w:trPr>
        <w:tc>
          <w:tcPr>
            <w:tcW w:w="4077" w:type="dxa"/>
          </w:tcPr>
          <w:p w14:paraId="6A102DE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9BDDB67" w14:textId="77777777" w:rsidR="002C7AFE" w:rsidRPr="00EB3D1B" w:rsidRDefault="0094514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9C1417A" w14:textId="77777777" w:rsidTr="00921DE7">
        <w:trPr>
          <w:cantSplit/>
        </w:trPr>
        <w:tc>
          <w:tcPr>
            <w:tcW w:w="4077" w:type="dxa"/>
            <w:vAlign w:val="center"/>
          </w:tcPr>
          <w:p w14:paraId="54C96BA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E345C2E" w14:textId="15E5A963" w:rsidR="002C7AFE" w:rsidRPr="00EB3D1B" w:rsidRDefault="00A21117" w:rsidP="00785920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E75C8D">
              <w:rPr>
                <w:b/>
              </w:rPr>
              <w:t>,</w:t>
            </w:r>
            <w:r>
              <w:rPr>
                <w:b/>
              </w:rPr>
              <w:t>600 ppm</w:t>
            </w:r>
            <w:r w:rsidR="00053E04">
              <w:rPr>
                <w:b/>
              </w:rPr>
              <w:t xml:space="preserve"> </w:t>
            </w:r>
          </w:p>
        </w:tc>
      </w:tr>
      <w:tr w:rsidR="009F04D2" w:rsidRPr="004C23F4" w14:paraId="4FA01666" w14:textId="77777777" w:rsidTr="00836A20">
        <w:trPr>
          <w:cantSplit/>
        </w:trPr>
        <w:tc>
          <w:tcPr>
            <w:tcW w:w="4077" w:type="dxa"/>
          </w:tcPr>
          <w:p w14:paraId="15F9CD53" w14:textId="77777777" w:rsidR="009F04D2" w:rsidRDefault="009F04D2" w:rsidP="00836A20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B46A120" w14:textId="72C759B8" w:rsidR="009F04D2" w:rsidRPr="00836A20" w:rsidRDefault="00697BDA" w:rsidP="00017C82">
            <w:pPr>
              <w:pStyle w:val="Tablefont"/>
            </w:pPr>
            <w:r w:rsidRPr="00836A20">
              <w:t xml:space="preserve">The recommended value is readily quantifiable through currently available sampling and analysis techniques. </w:t>
            </w:r>
          </w:p>
        </w:tc>
      </w:tr>
    </w:tbl>
    <w:p w14:paraId="4B8835B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381DEE9" w14:textId="79435F32" w:rsidR="00596B5D" w:rsidRPr="008F0FB3" w:rsidRDefault="0067386F" w:rsidP="000C139A">
      <w:pPr>
        <w:rPr>
          <w:rFonts w:cs="Arial"/>
        </w:rPr>
      </w:pPr>
      <w:r>
        <w:rPr>
          <w:rFonts w:cs="Arial"/>
        </w:rPr>
        <w:t>A TWA of 20 ppm (62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52660C">
        <w:rPr>
          <w:rFonts w:cs="Arial"/>
        </w:rPr>
        <w:t>kidney damage</w:t>
      </w:r>
      <w:r w:rsidR="0052660C" w:rsidDel="0052660C">
        <w:rPr>
          <w:rFonts w:cs="Arial"/>
        </w:rPr>
        <w:t xml:space="preserve"> </w:t>
      </w:r>
      <w:r w:rsidR="0052660C">
        <w:rPr>
          <w:rFonts w:cs="Arial"/>
        </w:rPr>
        <w:t xml:space="preserve">and </w:t>
      </w:r>
      <w:r>
        <w:rPr>
          <w:rFonts w:cs="Arial"/>
        </w:rPr>
        <w:t xml:space="preserve">potential </w:t>
      </w:r>
      <w:r w:rsidR="0052660C">
        <w:rPr>
          <w:rFonts w:cs="Arial"/>
        </w:rPr>
        <w:t xml:space="preserve">narcosis </w:t>
      </w:r>
      <w:r>
        <w:rPr>
          <w:rFonts w:cs="Arial"/>
        </w:rPr>
        <w:t xml:space="preserve">in exposed workers. </w:t>
      </w:r>
      <w:r w:rsidR="006F6F3A">
        <w:rPr>
          <w:rFonts w:cs="Arial"/>
        </w:rPr>
        <w:t>The previous STEL of 150 ppm (455 mg/m</w:t>
      </w:r>
      <w:r w:rsidR="006F6F3A">
        <w:rPr>
          <w:rFonts w:cs="Arial"/>
          <w:vertAlign w:val="superscript"/>
        </w:rPr>
        <w:t>3</w:t>
      </w:r>
      <w:r w:rsidR="006F6F3A">
        <w:rPr>
          <w:rFonts w:cs="Arial"/>
        </w:rPr>
        <w:t xml:space="preserve">) is </w:t>
      </w:r>
      <w:r w:rsidR="00B8443E">
        <w:rPr>
          <w:rFonts w:cs="Arial"/>
        </w:rPr>
        <w:t xml:space="preserve">recommended to be </w:t>
      </w:r>
      <w:r w:rsidR="006F6F3A">
        <w:rPr>
          <w:rFonts w:cs="Arial"/>
        </w:rPr>
        <w:t xml:space="preserve">withdrawn </w:t>
      </w:r>
      <w:r w:rsidR="00B8443E">
        <w:rPr>
          <w:rFonts w:cs="Arial"/>
        </w:rPr>
        <w:t>as there is</w:t>
      </w:r>
      <w:r w:rsidR="006F6F3A">
        <w:rPr>
          <w:rFonts w:cs="Arial"/>
        </w:rPr>
        <w:t xml:space="preserve"> a lack of evidence for immediate acute toxicity within </w:t>
      </w:r>
      <w:r w:rsidR="0051661F">
        <w:rPr>
          <w:rFonts w:cs="Arial"/>
        </w:rPr>
        <w:t>ten times</w:t>
      </w:r>
      <w:r w:rsidR="006F6F3A">
        <w:rPr>
          <w:rFonts w:cs="Arial"/>
        </w:rPr>
        <w:t xml:space="preserve"> of the recommended TWA.</w:t>
      </w:r>
    </w:p>
    <w:p w14:paraId="1726E07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5B64D1C" w14:textId="24EE0BCC" w:rsidR="00B8443E" w:rsidRDefault="00A83C84" w:rsidP="00A83C84">
      <w:pPr>
        <w:rPr>
          <w:rFonts w:cs="Arial"/>
        </w:rPr>
      </w:pPr>
      <w:r>
        <w:rPr>
          <w:rFonts w:cs="Arial"/>
        </w:rPr>
        <w:t>tert-Butyl alcohol</w:t>
      </w:r>
      <w:r w:rsidRPr="00A83C84">
        <w:rPr>
          <w:rFonts w:cs="Arial"/>
        </w:rPr>
        <w:t xml:space="preserve"> is used in </w:t>
      </w:r>
      <w:r>
        <w:rPr>
          <w:rFonts w:cs="Arial"/>
        </w:rPr>
        <w:t>industrial</w:t>
      </w:r>
      <w:r w:rsidRPr="00A83C84">
        <w:rPr>
          <w:rFonts w:cs="Arial"/>
        </w:rPr>
        <w:t xml:space="preserve"> synthesis</w:t>
      </w:r>
      <w:r>
        <w:rPr>
          <w:rFonts w:cs="Arial"/>
        </w:rPr>
        <w:t xml:space="preserve">, </w:t>
      </w:r>
      <w:r w:rsidRPr="00A83C84">
        <w:rPr>
          <w:rFonts w:cs="Arial"/>
        </w:rPr>
        <w:t>as a dehydrating agent</w:t>
      </w:r>
      <w:r>
        <w:rPr>
          <w:rFonts w:cs="Arial"/>
        </w:rPr>
        <w:t>,</w:t>
      </w:r>
      <w:r w:rsidRPr="00A83C84">
        <w:rPr>
          <w:rFonts w:cs="Arial"/>
        </w:rPr>
        <w:t xml:space="preserve"> as a chemical </w:t>
      </w:r>
      <w:r>
        <w:rPr>
          <w:rFonts w:cs="Arial"/>
        </w:rPr>
        <w:t xml:space="preserve">intermediate and solvent in pharmaceutical manufacture, </w:t>
      </w:r>
      <w:r w:rsidRPr="00A83C84">
        <w:rPr>
          <w:rFonts w:cs="Arial"/>
        </w:rPr>
        <w:t xml:space="preserve">denaturant for ethanol and </w:t>
      </w:r>
      <w:r>
        <w:rPr>
          <w:rFonts w:cs="Arial"/>
        </w:rPr>
        <w:t>antiknock agent</w:t>
      </w:r>
      <w:r w:rsidRPr="00A83C84">
        <w:rPr>
          <w:rFonts w:cs="Arial"/>
        </w:rPr>
        <w:t xml:space="preserve">. </w:t>
      </w:r>
    </w:p>
    <w:p w14:paraId="497D2D3C" w14:textId="534ED9BC" w:rsidR="00596B5D" w:rsidRDefault="00C342FE" w:rsidP="00A83C84">
      <w:pPr>
        <w:rPr>
          <w:rFonts w:cs="Arial"/>
        </w:rPr>
      </w:pPr>
      <w:r>
        <w:rPr>
          <w:rFonts w:cs="Arial"/>
        </w:rPr>
        <w:t xml:space="preserve">Unlike related unbranched primary alcohols, </w:t>
      </w:r>
      <w:r w:rsidR="00B81851">
        <w:rPr>
          <w:rFonts w:cs="Arial"/>
        </w:rPr>
        <w:t xml:space="preserve">the </w:t>
      </w:r>
      <w:r>
        <w:rPr>
          <w:rFonts w:cs="Arial"/>
        </w:rPr>
        <w:t>evidence for i</w:t>
      </w:r>
      <w:r w:rsidR="00E53494">
        <w:rPr>
          <w:rFonts w:cs="Arial"/>
        </w:rPr>
        <w:t xml:space="preserve">rritation effects </w:t>
      </w:r>
      <w:r>
        <w:rPr>
          <w:rFonts w:cs="Arial"/>
        </w:rPr>
        <w:t xml:space="preserve">following exposure </w:t>
      </w:r>
      <w:r w:rsidR="00E53494">
        <w:rPr>
          <w:rFonts w:cs="Arial"/>
        </w:rPr>
        <w:t xml:space="preserve">are equivocal </w:t>
      </w:r>
      <w:r>
        <w:rPr>
          <w:rFonts w:cs="Arial"/>
        </w:rPr>
        <w:t xml:space="preserve">in humans and animals. </w:t>
      </w:r>
      <w:r w:rsidR="0052660C">
        <w:rPr>
          <w:rFonts w:cs="Arial"/>
        </w:rPr>
        <w:t>T</w:t>
      </w:r>
      <w:r w:rsidR="00E53494">
        <w:rPr>
          <w:rFonts w:cs="Arial"/>
        </w:rPr>
        <w:t xml:space="preserve">he </w:t>
      </w:r>
      <w:r w:rsidR="00B81851">
        <w:rPr>
          <w:rFonts w:cs="Arial"/>
        </w:rPr>
        <w:t>critical effect</w:t>
      </w:r>
      <w:r w:rsidR="0052660C">
        <w:rPr>
          <w:rFonts w:cs="Arial"/>
        </w:rPr>
        <w:t xml:space="preserve"> of exposure is</w:t>
      </w:r>
      <w:r w:rsidR="00B81851">
        <w:rPr>
          <w:rFonts w:cs="Arial"/>
        </w:rPr>
        <w:t xml:space="preserve"> considered to be</w:t>
      </w:r>
      <w:r w:rsidR="00E53494">
        <w:rPr>
          <w:rFonts w:cs="Arial"/>
        </w:rPr>
        <w:t xml:space="preserve"> </w:t>
      </w:r>
      <w:r w:rsidR="0052660C">
        <w:rPr>
          <w:rFonts w:cs="Arial"/>
        </w:rPr>
        <w:t xml:space="preserve">nephrotoxicity </w:t>
      </w:r>
      <w:r w:rsidR="00DB1847">
        <w:rPr>
          <w:rFonts w:cs="Arial"/>
        </w:rPr>
        <w:t xml:space="preserve">with the potential for </w:t>
      </w:r>
      <w:r w:rsidR="0052660C">
        <w:rPr>
          <w:rFonts w:cs="Arial"/>
        </w:rPr>
        <w:t>narcosis</w:t>
      </w:r>
      <w:r w:rsidR="00CE0F6A">
        <w:rPr>
          <w:rFonts w:cs="Arial"/>
        </w:rPr>
        <w:t xml:space="preserve"> </w:t>
      </w:r>
      <w:r w:rsidR="0052660C">
        <w:rPr>
          <w:rFonts w:cs="Arial"/>
        </w:rPr>
        <w:t>at higher concentrations</w:t>
      </w:r>
      <w:r w:rsidR="00B81851">
        <w:rPr>
          <w:rFonts w:cs="Arial"/>
        </w:rPr>
        <w:t xml:space="preserve">. </w:t>
      </w:r>
      <w:r w:rsidR="008F0FB3">
        <w:rPr>
          <w:rFonts w:cs="Arial"/>
        </w:rPr>
        <w:t xml:space="preserve">Reports </w:t>
      </w:r>
      <w:r w:rsidR="00B8443E">
        <w:rPr>
          <w:rFonts w:cs="Arial"/>
        </w:rPr>
        <w:t xml:space="preserve">in animals </w:t>
      </w:r>
      <w:r w:rsidR="008F0FB3">
        <w:rPr>
          <w:rFonts w:cs="Arial"/>
        </w:rPr>
        <w:t xml:space="preserve">of narcotic effects at exposures above those </w:t>
      </w:r>
      <w:r w:rsidR="00807AC6">
        <w:rPr>
          <w:rFonts w:cs="Arial"/>
        </w:rPr>
        <w:t xml:space="preserve">which </w:t>
      </w:r>
      <w:r w:rsidR="008F0FB3">
        <w:rPr>
          <w:rFonts w:cs="Arial"/>
        </w:rPr>
        <w:t xml:space="preserve">cause nephrotoxicity have not been affirmed in human exposure data (ACGIH, 2018; DFG, 2003). Very limited </w:t>
      </w:r>
      <w:r>
        <w:rPr>
          <w:rFonts w:cs="Arial"/>
        </w:rPr>
        <w:t xml:space="preserve">substance-specific </w:t>
      </w:r>
      <w:r w:rsidR="00E53494">
        <w:rPr>
          <w:rFonts w:cs="Arial"/>
        </w:rPr>
        <w:t xml:space="preserve">human </w:t>
      </w:r>
      <w:r w:rsidR="00DB7E83">
        <w:rPr>
          <w:rFonts w:cs="Arial"/>
        </w:rPr>
        <w:t>e</w:t>
      </w:r>
      <w:r w:rsidR="008F0FB3">
        <w:rPr>
          <w:rFonts w:cs="Arial"/>
        </w:rPr>
        <w:t>xposure</w:t>
      </w:r>
      <w:r w:rsidR="00DB7E83">
        <w:rPr>
          <w:rFonts w:cs="Arial"/>
        </w:rPr>
        <w:t xml:space="preserve"> data</w:t>
      </w:r>
      <w:r w:rsidR="00B8443E">
        <w:rPr>
          <w:rFonts w:cs="Arial"/>
        </w:rPr>
        <w:t xml:space="preserve"> suggest</w:t>
      </w:r>
      <w:r w:rsidR="00DB7E83">
        <w:rPr>
          <w:rFonts w:cs="Arial"/>
        </w:rPr>
        <w:t xml:space="preserve"> that nasal irritation occurs at high concentrations relative to those that cause nephrotoxic effects in animals (DFG, 2003).</w:t>
      </w:r>
    </w:p>
    <w:p w14:paraId="623D3CFF" w14:textId="4F00EDA1" w:rsidR="00AF2E49" w:rsidRPr="004C23F4" w:rsidRDefault="00596B5D" w:rsidP="00A83C84">
      <w:pPr>
        <w:rPr>
          <w:rFonts w:cs="Arial"/>
        </w:rPr>
      </w:pPr>
      <w:r>
        <w:rPr>
          <w:rFonts w:cs="Arial"/>
        </w:rPr>
        <w:t>The</w:t>
      </w:r>
      <w:r w:rsidR="00051A1E">
        <w:rPr>
          <w:rFonts w:cs="Arial"/>
        </w:rPr>
        <w:t xml:space="preserve"> TWA of 20</w:t>
      </w:r>
      <w:r w:rsidR="00C342FE">
        <w:rPr>
          <w:rFonts w:cs="Arial"/>
        </w:rPr>
        <w:t> </w:t>
      </w:r>
      <w:r w:rsidR="00051A1E">
        <w:rPr>
          <w:rFonts w:cs="Arial"/>
        </w:rPr>
        <w:t xml:space="preserve">ppm </w:t>
      </w:r>
      <w:r>
        <w:rPr>
          <w:rFonts w:cs="Arial"/>
        </w:rPr>
        <w:t>(62 mg/m</w:t>
      </w:r>
      <w:r w:rsidRPr="002E5FB2"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051A1E">
        <w:rPr>
          <w:rFonts w:cs="Arial"/>
        </w:rPr>
        <w:t xml:space="preserve">is </w:t>
      </w:r>
      <w:r w:rsidR="001E7171">
        <w:rPr>
          <w:rFonts w:cs="Arial"/>
        </w:rPr>
        <w:t xml:space="preserve">adopted from the DFG recommendation. This value is </w:t>
      </w:r>
      <w:r w:rsidR="00E53494">
        <w:rPr>
          <w:rFonts w:cs="Arial"/>
        </w:rPr>
        <w:t>derived from</w:t>
      </w:r>
      <w:r w:rsidR="00051A1E">
        <w:rPr>
          <w:rFonts w:cs="Arial"/>
        </w:rPr>
        <w:t xml:space="preserve"> a LOEL of 135 ppm </w:t>
      </w:r>
      <w:r w:rsidR="00DB7E83">
        <w:rPr>
          <w:rFonts w:cs="Arial"/>
        </w:rPr>
        <w:t xml:space="preserve">for nephrotoxicity </w:t>
      </w:r>
      <w:r w:rsidR="00E53494">
        <w:rPr>
          <w:rFonts w:cs="Arial"/>
        </w:rPr>
        <w:t>from</w:t>
      </w:r>
      <w:r w:rsidR="00051A1E">
        <w:rPr>
          <w:rFonts w:cs="Arial"/>
        </w:rPr>
        <w:t xml:space="preserve"> a well-conducted chronic inhalation study </w:t>
      </w:r>
      <w:r w:rsidR="00B81851">
        <w:rPr>
          <w:rFonts w:cs="Arial"/>
        </w:rPr>
        <w:t>in</w:t>
      </w:r>
      <w:r w:rsidR="00051A1E">
        <w:rPr>
          <w:rFonts w:cs="Arial"/>
        </w:rPr>
        <w:t xml:space="preserve"> rats</w:t>
      </w:r>
      <w:r w:rsidR="00C342FE">
        <w:rPr>
          <w:rFonts w:cs="Arial"/>
        </w:rPr>
        <w:t xml:space="preserve">. </w:t>
      </w:r>
      <w:r>
        <w:rPr>
          <w:rFonts w:cs="Arial"/>
        </w:rPr>
        <w:t xml:space="preserve">The </w:t>
      </w:r>
      <w:r w:rsidR="00E53494">
        <w:rPr>
          <w:rFonts w:cs="Arial"/>
        </w:rPr>
        <w:t xml:space="preserve">LOEL in this study is presumed to be close to a NOAEL due to the weak toxic effects observed at this </w:t>
      </w:r>
      <w:r w:rsidR="00B81851">
        <w:rPr>
          <w:rFonts w:cs="Arial"/>
        </w:rPr>
        <w:t xml:space="preserve">concentration </w:t>
      </w:r>
      <w:r w:rsidR="00C342FE">
        <w:rPr>
          <w:rFonts w:cs="Arial"/>
        </w:rPr>
        <w:t xml:space="preserve">(DFG, </w:t>
      </w:r>
      <w:r w:rsidR="00DB7E83">
        <w:rPr>
          <w:rFonts w:cs="Arial"/>
        </w:rPr>
        <w:t>2003</w:t>
      </w:r>
      <w:r w:rsidR="00C342FE">
        <w:rPr>
          <w:rFonts w:cs="Arial"/>
        </w:rPr>
        <w:t>)</w:t>
      </w:r>
      <w:r w:rsidR="00E53494">
        <w:rPr>
          <w:rFonts w:cs="Arial"/>
        </w:rPr>
        <w:t xml:space="preserve">. At the recommended </w:t>
      </w:r>
      <w:r w:rsidR="00C342FE">
        <w:rPr>
          <w:rFonts w:cs="Arial"/>
        </w:rPr>
        <w:t>TWA</w:t>
      </w:r>
      <w:r w:rsidR="00E53494">
        <w:rPr>
          <w:rFonts w:cs="Arial"/>
        </w:rPr>
        <w:t>, a 70</w:t>
      </w:r>
      <w:r w:rsidR="00B81851">
        <w:rPr>
          <w:rFonts w:cs="Arial"/>
        </w:rPr>
        <w:t xml:space="preserve"> </w:t>
      </w:r>
      <w:r w:rsidR="00E53494">
        <w:rPr>
          <w:rFonts w:cs="Arial"/>
        </w:rPr>
        <w:t>k</w:t>
      </w:r>
      <w:r w:rsidR="00B81851">
        <w:rPr>
          <w:rFonts w:cs="Arial"/>
        </w:rPr>
        <w:t>ilo</w:t>
      </w:r>
      <w:r w:rsidR="00E53494">
        <w:rPr>
          <w:rFonts w:cs="Arial"/>
        </w:rPr>
        <w:t>g</w:t>
      </w:r>
      <w:r w:rsidR="00B81851">
        <w:rPr>
          <w:rFonts w:cs="Arial"/>
        </w:rPr>
        <w:t>ram</w:t>
      </w:r>
      <w:r w:rsidR="00E53494">
        <w:rPr>
          <w:rFonts w:cs="Arial"/>
        </w:rPr>
        <w:t xml:space="preserve"> worker with an inhalation rate of 10 m</w:t>
      </w:r>
      <w:r w:rsidR="00E53494">
        <w:rPr>
          <w:rFonts w:cs="Arial"/>
          <w:vertAlign w:val="superscript"/>
        </w:rPr>
        <w:t>3</w:t>
      </w:r>
      <w:r w:rsidR="00E53494">
        <w:rPr>
          <w:rFonts w:cs="Arial"/>
        </w:rPr>
        <w:t xml:space="preserve"> per </w:t>
      </w:r>
      <w:r w:rsidR="003534B6">
        <w:rPr>
          <w:rFonts w:cs="Arial"/>
        </w:rPr>
        <w:t>eight</w:t>
      </w:r>
      <w:r w:rsidR="00B81851">
        <w:rPr>
          <w:rFonts w:cs="Arial"/>
        </w:rPr>
        <w:t xml:space="preserve"> </w:t>
      </w:r>
      <w:r w:rsidR="00E53494">
        <w:rPr>
          <w:rFonts w:cs="Arial"/>
        </w:rPr>
        <w:t xml:space="preserve">hour shift will </w:t>
      </w:r>
      <w:r w:rsidR="00B81851">
        <w:rPr>
          <w:rFonts w:cs="Arial"/>
        </w:rPr>
        <w:t>inhale</w:t>
      </w:r>
      <w:r w:rsidR="00E53494">
        <w:rPr>
          <w:rFonts w:cs="Arial"/>
        </w:rPr>
        <w:t xml:space="preserve"> </w:t>
      </w:r>
      <w:r w:rsidR="001E7171">
        <w:rPr>
          <w:rFonts w:cs="Arial"/>
        </w:rPr>
        <w:t>a maximum dose of approximately 10 </w:t>
      </w:r>
      <w:r w:rsidR="00DB7E83">
        <w:rPr>
          <w:rFonts w:cs="Arial"/>
        </w:rPr>
        <w:t>mg/kg</w:t>
      </w:r>
      <w:r w:rsidR="00CF019E">
        <w:rPr>
          <w:rFonts w:cs="Arial"/>
        </w:rPr>
        <w:t xml:space="preserve">. </w:t>
      </w:r>
      <w:r w:rsidR="001E7171">
        <w:rPr>
          <w:rFonts w:cs="Arial"/>
        </w:rPr>
        <w:t xml:space="preserve">The recommended TWA is </w:t>
      </w:r>
      <w:r w:rsidR="00E53494">
        <w:rPr>
          <w:rFonts w:cs="Arial"/>
        </w:rPr>
        <w:t>considered sufficiently protective of nephrotoxic effects</w:t>
      </w:r>
      <w:r w:rsidR="001E7171">
        <w:rPr>
          <w:rFonts w:cs="Arial"/>
        </w:rPr>
        <w:t xml:space="preserve"> seen in male rats</w:t>
      </w:r>
      <w:r w:rsidR="00B0584A">
        <w:rPr>
          <w:rFonts w:cs="Arial"/>
        </w:rPr>
        <w:t xml:space="preserve"> (DFG, 2003)</w:t>
      </w:r>
      <w:r w:rsidR="00E53494">
        <w:rPr>
          <w:rFonts w:cs="Arial"/>
        </w:rPr>
        <w:t>.</w:t>
      </w:r>
      <w:r w:rsidR="00DB7E83" w:rsidRPr="00DB7E83">
        <w:rPr>
          <w:rFonts w:cs="Arial"/>
        </w:rPr>
        <w:t xml:space="preserve"> </w:t>
      </w:r>
      <w:r w:rsidR="008F0FB3">
        <w:rPr>
          <w:rFonts w:cs="Arial"/>
        </w:rPr>
        <w:t xml:space="preserve">As there is </w:t>
      </w:r>
      <w:r w:rsidR="003F7232">
        <w:rPr>
          <w:rFonts w:cs="Arial"/>
        </w:rPr>
        <w:t>insufficient data to suggest an</w:t>
      </w:r>
      <w:r w:rsidR="008F0FB3">
        <w:rPr>
          <w:rFonts w:cs="Arial"/>
        </w:rPr>
        <w:t xml:space="preserve"> immediately acute effect </w:t>
      </w:r>
      <w:r w:rsidR="003F7232">
        <w:rPr>
          <w:rFonts w:cs="Arial"/>
        </w:rPr>
        <w:t>at concentrations</w:t>
      </w:r>
      <w:r w:rsidR="008F0FB3">
        <w:rPr>
          <w:rFonts w:cs="Arial"/>
        </w:rPr>
        <w:t xml:space="preserve"> </w:t>
      </w:r>
      <w:r w:rsidR="008F0FB3">
        <w:rPr>
          <w:rFonts w:cs="Arial"/>
        </w:rPr>
        <w:lastRenderedPageBreak/>
        <w:t xml:space="preserve">within </w:t>
      </w:r>
      <w:r w:rsidR="0051661F">
        <w:rPr>
          <w:rFonts w:cs="Arial"/>
        </w:rPr>
        <w:t>ten times</w:t>
      </w:r>
      <w:r w:rsidR="008F0FB3">
        <w:rPr>
          <w:rFonts w:cs="Arial"/>
        </w:rPr>
        <w:t xml:space="preserve"> of the recommended TWA, the previous STEL of 150 ppm </w:t>
      </w:r>
      <w:r w:rsidR="00B8443E">
        <w:rPr>
          <w:rFonts w:cs="Arial"/>
        </w:rPr>
        <w:t xml:space="preserve">is recommended to be </w:t>
      </w:r>
      <w:r w:rsidR="008F0FB3">
        <w:rPr>
          <w:rFonts w:cs="Arial"/>
        </w:rPr>
        <w:t>withdrawn.</w:t>
      </w:r>
    </w:p>
    <w:p w14:paraId="6259F98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0C753D1" w14:textId="77777777" w:rsidR="004529F0" w:rsidRDefault="00E53494" w:rsidP="004529F0">
      <w:pPr>
        <w:rPr>
          <w:rFonts w:cs="Arial"/>
        </w:rPr>
      </w:pPr>
      <w:r w:rsidRPr="00E53494">
        <w:rPr>
          <w:rFonts w:cs="Arial"/>
        </w:rPr>
        <w:t>Not classified as a carcinogen according to the Globally Harmonized System of Classification and Labelling of Chemicals (GHS).</w:t>
      </w:r>
    </w:p>
    <w:p w14:paraId="69E7383D" w14:textId="77777777" w:rsidR="00E53494" w:rsidRPr="004C23F4" w:rsidRDefault="00E53494" w:rsidP="00E53494">
      <w:pPr>
        <w:rPr>
          <w:rFonts w:cs="Arial"/>
        </w:rPr>
      </w:pPr>
      <w:r w:rsidRPr="00E53494">
        <w:rPr>
          <w:rFonts w:cs="Arial"/>
        </w:rPr>
        <w:t>Not classified as a skin</w:t>
      </w:r>
      <w:r w:rsidR="00596B5D">
        <w:rPr>
          <w:rFonts w:cs="Arial"/>
        </w:rPr>
        <w:t xml:space="preserve"> sensitiser</w:t>
      </w:r>
      <w:r w:rsidRPr="00E53494">
        <w:rPr>
          <w:rFonts w:cs="Arial"/>
        </w:rPr>
        <w:t xml:space="preserve"> or respiratory sensitiser according to the GHS.</w:t>
      </w:r>
    </w:p>
    <w:p w14:paraId="666568A8" w14:textId="357582F2" w:rsidR="005E6979" w:rsidRPr="004C23F4" w:rsidRDefault="0067386F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7386F">
        <w:rPr>
          <w:rFonts w:cs="Arial"/>
        </w:rPr>
        <w:t xml:space="preserve">A skin notation is not </w:t>
      </w:r>
      <w:r w:rsidR="00B81851">
        <w:rPr>
          <w:rFonts w:cs="Arial"/>
        </w:rPr>
        <w:t>recommended</w:t>
      </w:r>
      <w:r w:rsidR="00B81851" w:rsidRPr="0067386F">
        <w:rPr>
          <w:rFonts w:cs="Arial"/>
        </w:rPr>
        <w:t xml:space="preserve"> </w:t>
      </w:r>
      <w:r w:rsidRPr="0067386F">
        <w:rPr>
          <w:rFonts w:cs="Arial"/>
        </w:rPr>
        <w:t xml:space="preserve">as there is no </w:t>
      </w:r>
      <w:r w:rsidR="00B81851">
        <w:rPr>
          <w:rFonts w:cs="Arial"/>
        </w:rPr>
        <w:t>evidence</w:t>
      </w:r>
      <w:r w:rsidR="00B81851" w:rsidRPr="0067386F">
        <w:rPr>
          <w:rFonts w:cs="Arial"/>
        </w:rPr>
        <w:t xml:space="preserve"> </w:t>
      </w:r>
      <w:r w:rsidRPr="0067386F">
        <w:rPr>
          <w:rFonts w:cs="Arial"/>
        </w:rPr>
        <w:t>of systemic effects</w:t>
      </w:r>
      <w:r w:rsidR="00C342FE">
        <w:rPr>
          <w:rFonts w:cs="Arial"/>
        </w:rPr>
        <w:t xml:space="preserve"> resulting from skin absorption.</w:t>
      </w:r>
    </w:p>
    <w:p w14:paraId="5B6CCF7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86011A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1AFFA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91EC1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50DBE9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3CE869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B6DD7">
                  <w:t xml:space="preserve">TWA: </w:t>
                </w:r>
                <w:r w:rsidR="005B6DD7" w:rsidRPr="005B6DD7">
                  <w:t xml:space="preserve">100 </w:t>
                </w:r>
                <w:r w:rsidR="005B6DD7">
                  <w:t>ppm (</w:t>
                </w:r>
                <w:r w:rsidR="005B6DD7" w:rsidRPr="005B6DD7">
                  <w:t>303</w:t>
                </w:r>
                <w:r w:rsidR="005B6DD7">
                  <w:t xml:space="preserve"> mg/m</w:t>
                </w:r>
                <w:r w:rsidR="005B6DD7">
                  <w:rPr>
                    <w:vertAlign w:val="superscript"/>
                  </w:rPr>
                  <w:t>3</w:t>
                </w:r>
                <w:r w:rsidR="005B6DD7">
                  <w:t>); STEL:</w:t>
                </w:r>
                <w:r w:rsidR="005B6DD7" w:rsidRPr="005B6DD7">
                  <w:t xml:space="preserve"> 150</w:t>
                </w:r>
                <w:r w:rsidR="005B6DD7">
                  <w:t xml:space="preserve"> ppm (</w:t>
                </w:r>
                <w:r w:rsidR="005B6DD7" w:rsidRPr="005B6DD7">
                  <w:t>455</w:t>
                </w:r>
                <w:r w:rsidR="005B6DD7">
                  <w:t xml:space="preserve"> mg/m</w:t>
                </w:r>
                <w:r w:rsidR="005B6DD7">
                  <w:rPr>
                    <w:vertAlign w:val="superscript"/>
                  </w:rPr>
                  <w:t>3</w:t>
                </w:r>
                <w:r w:rsidR="005B6DD7">
                  <w:t>)</w:t>
                </w:r>
              </w:sdtContent>
            </w:sdt>
          </w:p>
        </w:tc>
      </w:tr>
      <w:tr w:rsidR="00C978F0" w:rsidRPr="00DA352E" w14:paraId="735515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55BD8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C2833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1FE1D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26C6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26C65">
                  <w:t>TLV-TWA: 100 ppm (303 mg/m</w:t>
                </w:r>
                <w:r w:rsidR="00626C65">
                  <w:rPr>
                    <w:vertAlign w:val="superscript"/>
                  </w:rPr>
                  <w:t>3</w:t>
                </w:r>
                <w:r w:rsidR="00626C65">
                  <w:t>)</w:t>
                </w:r>
              </w:sdtContent>
            </w:sdt>
          </w:p>
        </w:tc>
      </w:tr>
      <w:tr w:rsidR="00D70ED2" w:rsidRPr="00DA352E" w14:paraId="13A57E53" w14:textId="77777777" w:rsidTr="002E5FB2">
        <w:trPr>
          <w:gridAfter w:val="1"/>
          <w:wAfter w:w="8" w:type="pct"/>
        </w:trPr>
        <w:tc>
          <w:tcPr>
            <w:tcW w:w="0" w:type="pct"/>
          </w:tcPr>
          <w:p w14:paraId="33041741" w14:textId="24F74804" w:rsidR="00D66A68" w:rsidRDefault="00D66A68" w:rsidP="00D70ED2">
            <w:pPr>
              <w:pStyle w:val="Tabletextprimarysource"/>
            </w:pPr>
            <w:r>
              <w:t>TLV-TWA recommended to minimise the risk of narcosis.</w:t>
            </w:r>
          </w:p>
          <w:p w14:paraId="6D57FD83" w14:textId="283FCF65" w:rsidR="00980483" w:rsidRDefault="00980483" w:rsidP="00D70ED2">
            <w:pPr>
              <w:pStyle w:val="Tabletextprimarysource"/>
            </w:pPr>
            <w:r>
              <w:t>Summary of data:</w:t>
            </w:r>
          </w:p>
          <w:p w14:paraId="46D48000" w14:textId="28BBAB18" w:rsidR="00B81851" w:rsidRDefault="00980483" w:rsidP="00D70ED2">
            <w:pPr>
              <w:pStyle w:val="Tabletextprimarysource"/>
            </w:pPr>
            <w:r>
              <w:t xml:space="preserve">TLV-TWA intended to minimise potential for narcosis. </w:t>
            </w:r>
            <w:r w:rsidR="00CE0F6A">
              <w:t>Its</w:t>
            </w:r>
            <w:r>
              <w:t xml:space="preserve"> </w:t>
            </w:r>
            <w:r w:rsidR="00E26A3A">
              <w:t xml:space="preserve">derivation </w:t>
            </w:r>
            <w:r>
              <w:t>is unclear from the discussed studies, but weight of evidence from animal studies suggests that observance of the TLV-TWA will protect for critical effects such as narcosis and changes to kidney and liver function</w:t>
            </w:r>
            <w:r w:rsidR="00384814">
              <w:t xml:space="preserve">. </w:t>
            </w:r>
          </w:p>
          <w:p w14:paraId="1151E43F" w14:textId="429F8498" w:rsidR="00B81851" w:rsidRDefault="00384814" w:rsidP="00D70ED2">
            <w:pPr>
              <w:pStyle w:val="Tabletextprimarysource"/>
            </w:pPr>
            <w:r>
              <w:t>Physical dependence</w:t>
            </w:r>
            <w:r w:rsidR="00E75C8D">
              <w:t xml:space="preserve"> and withdrawal symptoms</w:t>
            </w:r>
            <w:r>
              <w:t xml:space="preserve"> noted in animal studies </w:t>
            </w:r>
            <w:r w:rsidR="00E75C8D">
              <w:t xml:space="preserve">have </w:t>
            </w:r>
            <w:r>
              <w:t xml:space="preserve">not been affirmed in any available human data. </w:t>
            </w:r>
          </w:p>
          <w:p w14:paraId="4D0BAEDF" w14:textId="77777777" w:rsidR="00B81851" w:rsidRDefault="00384814" w:rsidP="00D70ED2">
            <w:pPr>
              <w:pStyle w:val="Tabletextprimarysource"/>
            </w:pPr>
            <w:r>
              <w:t>Insufficient data to assign a STEL or notations for skin absorption or sensitisation.</w:t>
            </w:r>
            <w:r w:rsidR="00CB3214">
              <w:t xml:space="preserve"> </w:t>
            </w:r>
          </w:p>
          <w:p w14:paraId="63A573B6" w14:textId="5919C79D" w:rsidR="00D70ED2" w:rsidRDefault="00CB3214" w:rsidP="00D70ED2">
            <w:pPr>
              <w:pStyle w:val="Tabletextprimarysource"/>
            </w:pPr>
            <w:r>
              <w:t>Not classifiable as a human carcinogen due to equivocal animal data (A4).</w:t>
            </w:r>
          </w:p>
          <w:p w14:paraId="5D550753" w14:textId="77777777" w:rsidR="00980483" w:rsidRDefault="00980483" w:rsidP="00D70ED2">
            <w:pPr>
              <w:pStyle w:val="Tabletextprimarysource"/>
            </w:pPr>
            <w:r>
              <w:t>Human data:</w:t>
            </w:r>
          </w:p>
          <w:p w14:paraId="1E0E540F" w14:textId="77777777" w:rsidR="00B81851" w:rsidRDefault="007C6458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 xml:space="preserve">Slight erythema and </w:t>
            </w:r>
            <w:r w:rsidR="00FC2715">
              <w:t>hyperaemia</w:t>
            </w:r>
            <w:r>
              <w:t xml:space="preserve"> when applied to skin of volunteers (n=5)</w:t>
            </w:r>
          </w:p>
          <w:p w14:paraId="2206DECF" w14:textId="7CAEA2FE" w:rsidR="007C6458" w:rsidRDefault="007C6458" w:rsidP="0061305D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failed to elicit allergic response in subjects with ethanol allergy</w:t>
            </w:r>
          </w:p>
          <w:p w14:paraId="7C9E7500" w14:textId="3F4D9851" w:rsidR="007C6458" w:rsidRDefault="007C6458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Allergic contact dermatitis reported for sunscreen containing tert</w:t>
            </w:r>
            <w:r w:rsidR="003534B6">
              <w:noBreakHyphen/>
            </w:r>
            <w:r>
              <w:t>butanol</w:t>
            </w:r>
            <w:r w:rsidR="003534B6">
              <w:t>.</w:t>
            </w:r>
          </w:p>
          <w:p w14:paraId="65FB7DFA" w14:textId="77777777" w:rsidR="00596B5D" w:rsidRDefault="00596B5D" w:rsidP="002E5FB2">
            <w:pPr>
              <w:pStyle w:val="Tabletextprimarysource"/>
              <w:ind w:left="714"/>
              <w:contextualSpacing/>
            </w:pPr>
          </w:p>
          <w:p w14:paraId="7C1CDF1F" w14:textId="77777777" w:rsidR="00CB3214" w:rsidRDefault="00980483" w:rsidP="00CB3214">
            <w:pPr>
              <w:pStyle w:val="Tabletextprimarysource"/>
            </w:pPr>
            <w:r>
              <w:t>Animal data:</w:t>
            </w:r>
          </w:p>
          <w:p w14:paraId="5010E8D0" w14:textId="77777777" w:rsidR="00CE0F6A" w:rsidRDefault="00980483" w:rsidP="00CE0F6A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LD</w:t>
            </w:r>
            <w:r w:rsidRPr="00422E7F">
              <w:rPr>
                <w:vertAlign w:val="subscript"/>
              </w:rPr>
              <w:t>50</w:t>
            </w:r>
            <w:r>
              <w:t>: 3</w:t>
            </w:r>
            <w:r w:rsidR="00596B5D">
              <w:t>,</w:t>
            </w:r>
            <w:r>
              <w:t>500 mg/kg (rats</w:t>
            </w:r>
            <w:r w:rsidR="00FC2715">
              <w:t>, oral</w:t>
            </w:r>
            <w:r>
              <w:t>)</w:t>
            </w:r>
            <w:r w:rsidR="00453748">
              <w:t>, 3</w:t>
            </w:r>
            <w:r w:rsidR="00596B5D">
              <w:t>,</w:t>
            </w:r>
            <w:r w:rsidR="00453748">
              <w:t>557 mg/kg (rabbits</w:t>
            </w:r>
            <w:r w:rsidR="00FC2715">
              <w:t>, oral</w:t>
            </w:r>
            <w:r w:rsidR="00453748">
              <w:t>)</w:t>
            </w:r>
            <w:r w:rsidR="00CE0F6A">
              <w:t xml:space="preserve">; </w:t>
            </w:r>
          </w:p>
          <w:p w14:paraId="224901B5" w14:textId="03723307" w:rsidR="00CE0F6A" w:rsidRDefault="00CE0F6A" w:rsidP="0061305D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Narcotic dose: 1,480 mg/kg (rabbits, oral)</w:t>
            </w:r>
          </w:p>
          <w:p w14:paraId="4F1C5208" w14:textId="5124AA7B" w:rsidR="00CE0F6A" w:rsidRDefault="00CE0F6A" w:rsidP="00422E7F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 xml:space="preserve">Severe narcosis and death at </w:t>
            </w:r>
            <w:r w:rsidRPr="00CE0F6A">
              <w:t xml:space="preserve">10,000 ppm </w:t>
            </w:r>
            <w:r>
              <w:t>(rats, 7 h)</w:t>
            </w:r>
          </w:p>
          <w:p w14:paraId="3111E90C" w14:textId="1ED9229C" w:rsidR="00FA6C24" w:rsidRDefault="00FA6C24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Elimination half-times in blood: 4</w:t>
            </w:r>
            <w:r w:rsidR="00596B5D">
              <w:t>–</w:t>
            </w:r>
            <w:r w:rsidR="000130EC">
              <w:t>9 h (rats, guinea pigs)</w:t>
            </w:r>
          </w:p>
          <w:p w14:paraId="1726491A" w14:textId="0B118395" w:rsidR="00CB3214" w:rsidRDefault="00CB3214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Very high concentrations (not specified) did not cause irritation</w:t>
            </w:r>
            <w:r w:rsidRPr="00CB3214">
              <w:t xml:space="preserve"> </w:t>
            </w:r>
            <w:r>
              <w:t xml:space="preserve">to </w:t>
            </w:r>
            <w:r w:rsidRPr="00CB3214">
              <w:t>eyes, upper respiratory tract or mucous membranes</w:t>
            </w:r>
            <w:r>
              <w:t xml:space="preserve"> in rodents</w:t>
            </w:r>
          </w:p>
          <w:p w14:paraId="039CDCD2" w14:textId="77777777" w:rsidR="00422E7F" w:rsidRDefault="00453748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 xml:space="preserve">Hypothermia and reduced </w:t>
            </w:r>
            <w:r w:rsidR="00B81851">
              <w:t>b</w:t>
            </w:r>
            <w:r w:rsidR="00BB19CE">
              <w:t xml:space="preserve">ody </w:t>
            </w:r>
            <w:r w:rsidR="00B81851">
              <w:t>w</w:t>
            </w:r>
            <w:r w:rsidR="00BB19CE">
              <w:t>eight</w:t>
            </w:r>
            <w:r>
              <w:t xml:space="preserve"> reported in repeat </w:t>
            </w:r>
            <w:proofErr w:type="spellStart"/>
            <w:r w:rsidR="00B81851">
              <w:t>ip</w:t>
            </w:r>
            <w:proofErr w:type="spellEnd"/>
            <w:r w:rsidR="00B81851">
              <w:t xml:space="preserve"> </w:t>
            </w:r>
            <w:r>
              <w:t xml:space="preserve">injection study at </w:t>
            </w:r>
          </w:p>
          <w:p w14:paraId="38739A5C" w14:textId="5091C76F" w:rsidR="00B81851" w:rsidRDefault="00453748" w:rsidP="00422E7F">
            <w:pPr>
              <w:pStyle w:val="Tabletextprimarysource"/>
              <w:ind w:left="714"/>
            </w:pPr>
            <w:r>
              <w:t>0.2</w:t>
            </w:r>
            <w:r w:rsidR="00422E7F">
              <w:t>–</w:t>
            </w:r>
            <w:r>
              <w:t>0.8</w:t>
            </w:r>
            <w:r w:rsidR="00BB19CE">
              <w:t> </w:t>
            </w:r>
            <w:r>
              <w:t>mg/kg (rats and guinea pigs, every 8 h, 4 d)</w:t>
            </w:r>
          </w:p>
          <w:p w14:paraId="7C59CC5F" w14:textId="7C512140" w:rsidR="00B81851" w:rsidRDefault="00453748" w:rsidP="00422E7F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cessation caused withdrawal syndromes e.g. convulsions</w:t>
            </w:r>
          </w:p>
          <w:p w14:paraId="32CF38D2" w14:textId="4F759580" w:rsidR="00D70ED2" w:rsidRDefault="00453748" w:rsidP="00422E7F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similar results obtained from repeat feeding study with rats and behavioural disorders noted in mice during withdrawal</w:t>
            </w:r>
          </w:p>
          <w:p w14:paraId="0F03145F" w14:textId="55E1921C" w:rsidR="00B81851" w:rsidRDefault="00AF24BA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Physical dependence 4</w:t>
            </w:r>
            <w:r w:rsidR="00596B5D">
              <w:t>–</w:t>
            </w:r>
            <w:r>
              <w:t>5 times mo</w:t>
            </w:r>
            <w:r w:rsidR="00690753">
              <w:t>re potent than ethanol based repeat dose study with mice at 500</w:t>
            </w:r>
            <w:r w:rsidR="00596B5D">
              <w:t>–</w:t>
            </w:r>
            <w:r w:rsidR="00690753">
              <w:t xml:space="preserve">750 mg/kg (single </w:t>
            </w:r>
            <w:proofErr w:type="spellStart"/>
            <w:r w:rsidR="00B81851">
              <w:t>ip</w:t>
            </w:r>
            <w:proofErr w:type="spellEnd"/>
            <w:r w:rsidR="00690753">
              <w:t>) followed by &gt;3</w:t>
            </w:r>
            <w:r w:rsidR="00596B5D">
              <w:t>,</w:t>
            </w:r>
            <w:r w:rsidR="00690753">
              <w:t>700 ppm (continuous, 1</w:t>
            </w:r>
            <w:r w:rsidR="00596B5D">
              <w:t>–</w:t>
            </w:r>
            <w:r w:rsidR="00690753">
              <w:t>9</w:t>
            </w:r>
            <w:r w:rsidR="003534B6">
              <w:t> </w:t>
            </w:r>
            <w:r w:rsidR="00690753">
              <w:t>d)</w:t>
            </w:r>
          </w:p>
          <w:p w14:paraId="336106D6" w14:textId="77777777" w:rsidR="00422E7F" w:rsidRDefault="00690753" w:rsidP="00422E7F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after 3</w:t>
            </w:r>
            <w:r w:rsidR="00596B5D">
              <w:t>–</w:t>
            </w:r>
            <w:r>
              <w:t>5 h, withdrawal caused tremor, hyperexcitability, convulsions sometimes causing death</w:t>
            </w:r>
            <w:r w:rsidR="007C6458">
              <w:t xml:space="preserve">, tolerance rapidly formed based on elimination rates decreasing from </w:t>
            </w:r>
          </w:p>
          <w:p w14:paraId="52C3A9FA" w14:textId="7CFA8F86" w:rsidR="00AF24BA" w:rsidRDefault="007C6458" w:rsidP="00422E7F">
            <w:pPr>
              <w:pStyle w:val="Tabletextprimarysource"/>
              <w:ind w:left="1094"/>
            </w:pPr>
            <w:r>
              <w:t>8</w:t>
            </w:r>
            <w:r w:rsidR="00596B5D">
              <w:t>–</w:t>
            </w:r>
            <w:r>
              <w:t>9 h to &lt;3 h after 3 d</w:t>
            </w:r>
          </w:p>
          <w:p w14:paraId="375CC5EB" w14:textId="77777777" w:rsidR="00453748" w:rsidRDefault="00453748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Changes to liver fatty acid metabolism after sin</w:t>
            </w:r>
            <w:r w:rsidR="00AF24BA">
              <w:t>gle or</w:t>
            </w:r>
            <w:r w:rsidR="00625F79">
              <w:t>al</w:t>
            </w:r>
            <w:r w:rsidR="00AF24BA">
              <w:t xml:space="preserve"> dose of 1</w:t>
            </w:r>
            <w:r w:rsidR="00625F79">
              <w:t>,</w:t>
            </w:r>
            <w:r w:rsidR="00AF24BA">
              <w:t>850 mg/kg or inhalation of 500 ppm (5 d) or 2</w:t>
            </w:r>
            <w:r w:rsidR="00625F79">
              <w:t>,</w:t>
            </w:r>
            <w:r w:rsidR="00AF24BA">
              <w:t>000 ppm (3 d) ppm (rats)</w:t>
            </w:r>
          </w:p>
          <w:p w14:paraId="7D21AA00" w14:textId="377F4A00" w:rsidR="00690753" w:rsidRDefault="00B81851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MTD</w:t>
            </w:r>
            <w:r w:rsidR="00690753">
              <w:t xml:space="preserve"> of 1% w/v</w:t>
            </w:r>
            <w:r w:rsidR="00690753" w:rsidRPr="0061305D">
              <w:t>≡</w:t>
            </w:r>
            <w:r w:rsidR="00690753">
              <w:t>7</w:t>
            </w:r>
            <w:r w:rsidR="00625F79">
              <w:t>,</w:t>
            </w:r>
            <w:r w:rsidR="00690753">
              <w:t>000 mg/kg/d in repeat feeding study (mice, 15 d)</w:t>
            </w:r>
          </w:p>
          <w:p w14:paraId="0F83B5D8" w14:textId="77777777" w:rsidR="005E05F2" w:rsidRDefault="005E05F2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Skin tumour produced with 16.6% benzene solution in chronic dermal application study (mice, n=50, 150 d)</w:t>
            </w:r>
          </w:p>
          <w:p w14:paraId="55C856C0" w14:textId="68171D89" w:rsidR="001B5F2F" w:rsidRDefault="00C04B73" w:rsidP="00AA618B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E</w:t>
            </w:r>
            <w:r w:rsidR="00DB1847">
              <w:t xml:space="preserve">vidence of carcinogenicity in male rats and female mice </w:t>
            </w:r>
            <w:r>
              <w:t xml:space="preserve">reported from chronic feeding study: </w:t>
            </w:r>
            <w:r w:rsidR="00490C26">
              <w:t>90</w:t>
            </w:r>
            <w:r w:rsidR="00625F79">
              <w:t>–</w:t>
            </w:r>
            <w:r w:rsidR="00490C26">
              <w:t>650 mg/kg/d (rats</w:t>
            </w:r>
            <w:r>
              <w:t>; 2 yr</w:t>
            </w:r>
            <w:r w:rsidR="00490C26">
              <w:t>)</w:t>
            </w:r>
            <w:r>
              <w:t xml:space="preserve">, </w:t>
            </w:r>
            <w:r w:rsidR="00490C26">
              <w:t>510</w:t>
            </w:r>
            <w:r w:rsidR="00625F79">
              <w:t>–</w:t>
            </w:r>
            <w:r w:rsidR="00490C26">
              <w:t>2</w:t>
            </w:r>
            <w:r w:rsidR="00625F79">
              <w:t>,</w:t>
            </w:r>
            <w:r w:rsidR="00490C26">
              <w:t>110 mg/kg/d (mice</w:t>
            </w:r>
            <w:r>
              <w:t>, 2 yr</w:t>
            </w:r>
            <w:r w:rsidR="00490C26">
              <w:t>)</w:t>
            </w:r>
          </w:p>
          <w:p w14:paraId="225C7935" w14:textId="469F0AFD" w:rsidR="00051B63" w:rsidRDefault="00430433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lastRenderedPageBreak/>
              <w:t xml:space="preserve">Dose-dependent maternal </w:t>
            </w:r>
            <w:r w:rsidR="00BB19CE">
              <w:t xml:space="preserve">body weight </w:t>
            </w:r>
            <w:r>
              <w:t xml:space="preserve">gain and foetal </w:t>
            </w:r>
            <w:r w:rsidR="00BB19CE">
              <w:t xml:space="preserve">body weight </w:t>
            </w:r>
            <w:r>
              <w:t>reduction in developmental study</w:t>
            </w:r>
          </w:p>
          <w:p w14:paraId="680E89F6" w14:textId="2F25A346" w:rsidR="00051B63" w:rsidRDefault="00430433" w:rsidP="0061305D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treatment range: 3</w:t>
            </w:r>
            <w:r w:rsidR="00625F79">
              <w:t>–</w:t>
            </w:r>
            <w:r>
              <w:t>7 mg/kg/d (mice, d</w:t>
            </w:r>
            <w:r w:rsidR="00BB19CE">
              <w:t>ay</w:t>
            </w:r>
            <w:r>
              <w:t xml:space="preserve"> 6</w:t>
            </w:r>
            <w:r w:rsidR="00625F79">
              <w:t>–</w:t>
            </w:r>
            <w:r>
              <w:t>20 of gestation)</w:t>
            </w:r>
          </w:p>
          <w:p w14:paraId="2017EB7C" w14:textId="42045420" w:rsidR="00430433" w:rsidRDefault="00430433" w:rsidP="0061305D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>concluded tert-butanol 4</w:t>
            </w:r>
            <w:r w:rsidR="00625F79">
              <w:t>–</w:t>
            </w:r>
            <w:r>
              <w:t>5 times more potent than ethanol in causing congenital behavioural defects</w:t>
            </w:r>
          </w:p>
          <w:p w14:paraId="50B1C8F1" w14:textId="77777777" w:rsidR="00430433" w:rsidRDefault="00430433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 xml:space="preserve">Non-mutagenic </w:t>
            </w:r>
            <w:r w:rsidRPr="0061305D">
              <w:rPr>
                <w:i/>
              </w:rPr>
              <w:t>in vitro</w:t>
            </w:r>
            <w:r w:rsidR="00FC2715">
              <w:t>; protects single</w:t>
            </w:r>
            <w:r>
              <w:t xml:space="preserve"> and double stranded DNA and L5178Y mouse lymphoma cells against mutagenic/clastogenic effects of ionising radiation.</w:t>
            </w:r>
          </w:p>
          <w:p w14:paraId="4F7697AC" w14:textId="77777777" w:rsidR="00625F79" w:rsidRPr="00D70ED2" w:rsidRDefault="00625F79" w:rsidP="002E5FB2">
            <w:pPr>
              <w:pStyle w:val="Tabletextprimarysource"/>
              <w:ind w:left="714"/>
              <w:contextualSpacing/>
            </w:pPr>
          </w:p>
        </w:tc>
      </w:tr>
      <w:tr w:rsidR="00D70ED2" w:rsidRPr="00DA352E" w14:paraId="4BBC33A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EBEBA7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064D3C44D7D3422EACFE869790C49D27"/>
                </w:placeholder>
                <w:text/>
              </w:sdtPr>
              <w:sdtEndPr/>
              <w:sdtContent>
                <w:r w:rsidR="00626C65">
                  <w:t>1999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099AA673D2704B659F3A015E1CD1F7F2"/>
                </w:placeholder>
              </w:sdtPr>
              <w:sdtEndPr/>
              <w:sdtContent>
                <w:r w:rsidR="00626C65">
                  <w:t>MAK: 20 ppm (62 mg/m</w:t>
                </w:r>
                <w:r w:rsidR="00626C65">
                  <w:rPr>
                    <w:vertAlign w:val="superscript"/>
                  </w:rPr>
                  <w:t>3</w:t>
                </w:r>
                <w:r w:rsidR="00626C65">
                  <w:t>)</w:t>
                </w:r>
              </w:sdtContent>
            </w:sdt>
          </w:p>
        </w:tc>
      </w:tr>
      <w:tr w:rsidR="00D70ED2" w:rsidRPr="00DA352E" w14:paraId="62432D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C2DEA4" w14:textId="69DC568C" w:rsidR="004E2816" w:rsidRDefault="004E2816" w:rsidP="00626C65">
            <w:pPr>
              <w:pStyle w:val="Tabletextprimarysource"/>
            </w:pPr>
            <w:r>
              <w:t>M</w:t>
            </w:r>
            <w:r w:rsidR="00D66A68">
              <w:t>AK value</w:t>
            </w:r>
            <w:r>
              <w:t xml:space="preserve"> </w:t>
            </w:r>
            <w:r w:rsidR="00D66A68">
              <w:t>recommended</w:t>
            </w:r>
            <w:r>
              <w:t xml:space="preserve"> to protect for </w:t>
            </w:r>
            <w:r w:rsidR="00D66A68">
              <w:t>nephrotoxicity.</w:t>
            </w:r>
          </w:p>
          <w:p w14:paraId="0E170456" w14:textId="0AE25426" w:rsidR="00F77707" w:rsidRDefault="00F77707" w:rsidP="00626C65">
            <w:pPr>
              <w:pStyle w:val="Tabletextprimarysource"/>
            </w:pPr>
            <w:r>
              <w:t>Summary of additional data:</w:t>
            </w:r>
          </w:p>
          <w:p w14:paraId="10FC9ECB" w14:textId="77777777" w:rsidR="00051B63" w:rsidRDefault="00F77707" w:rsidP="007C6458">
            <w:pPr>
              <w:pStyle w:val="Tabletextprimarysource"/>
            </w:pPr>
            <w:r>
              <w:t>Previous MAK of 100 ppm withdrawn due to evidence of nephrotoxicity at 135 ppm in male rats</w:t>
            </w:r>
            <w:r w:rsidR="0072250E">
              <w:t xml:space="preserve"> reported in a chronic inhalation study</w:t>
            </w:r>
          </w:p>
          <w:p w14:paraId="37FE1A5E" w14:textId="0440B739" w:rsidR="00051B63" w:rsidRDefault="00051B63" w:rsidP="007C6458">
            <w:pPr>
              <w:pStyle w:val="Tabletextprimarysource"/>
            </w:pPr>
            <w:r>
              <w:t>C</w:t>
            </w:r>
            <w:r w:rsidR="00F77707">
              <w:t xml:space="preserve">urrent MAK based on NOAEL estimated </w:t>
            </w:r>
            <w:r w:rsidR="0072250E">
              <w:t>by the</w:t>
            </w:r>
            <w:r w:rsidR="00F77707">
              <w:t xml:space="preserve"> LOEL</w:t>
            </w:r>
            <w:r w:rsidR="0072250E">
              <w:t xml:space="preserve"> from this study. </w:t>
            </w:r>
          </w:p>
          <w:p w14:paraId="5BAE59FA" w14:textId="459897AB" w:rsidR="00051B63" w:rsidRDefault="0072250E" w:rsidP="007C6458">
            <w:pPr>
              <w:pStyle w:val="Tabletextprimarysource"/>
            </w:pPr>
            <w:r>
              <w:t>Assuming a respiratory volume of 10 m</w:t>
            </w:r>
            <w:r>
              <w:rPr>
                <w:vertAlign w:val="superscript"/>
              </w:rPr>
              <w:t>3</w:t>
            </w:r>
            <w:r>
              <w:t>, a 70</w:t>
            </w:r>
            <w:r w:rsidR="00051B63">
              <w:t xml:space="preserve"> </w:t>
            </w:r>
            <w:r>
              <w:t>kg worker would have a maxim</w:t>
            </w:r>
            <w:r w:rsidR="00051B63">
              <w:t>um</w:t>
            </w:r>
            <w:r>
              <w:t xml:space="preserve"> daily dose of </w:t>
            </w:r>
            <w:r w:rsidR="00051B63">
              <w:t>10 </w:t>
            </w:r>
            <w:r>
              <w:t>mg/kg if the MAK is observed</w:t>
            </w:r>
            <w:r w:rsidR="00051B63">
              <w:t>;</w:t>
            </w:r>
            <w:r>
              <w:t xml:space="preserve"> 8 times lower than the equivalent dose received at the LOEL for renal toxicity </w:t>
            </w:r>
          </w:p>
          <w:p w14:paraId="240E0939" w14:textId="025D9874" w:rsidR="00F77707" w:rsidRPr="0072250E" w:rsidRDefault="00FA6C24" w:rsidP="007C6458">
            <w:pPr>
              <w:pStyle w:val="Tabletextprimarysource"/>
            </w:pPr>
            <w:r>
              <w:t>Insufficient evidence to warrant a skin or sensitisation notation.</w:t>
            </w:r>
          </w:p>
          <w:p w14:paraId="4984891A" w14:textId="77777777" w:rsidR="00F77707" w:rsidRDefault="00F77707" w:rsidP="007C6458">
            <w:pPr>
              <w:pStyle w:val="Tabletextprimarysource"/>
            </w:pPr>
            <w:r>
              <w:t>Human data:</w:t>
            </w:r>
          </w:p>
          <w:p w14:paraId="7C8C8987" w14:textId="4D6BE98F" w:rsidR="00F77707" w:rsidRDefault="000130EC" w:rsidP="000130EC">
            <w:pPr>
              <w:pStyle w:val="Tabletextprimarysource"/>
              <w:numPr>
                <w:ilvl w:val="0"/>
                <w:numId w:val="7"/>
              </w:numPr>
            </w:pPr>
            <w:r>
              <w:t>Nasal irritation threshold: 32,809 ppm (2 s) with anosmic volunteers</w:t>
            </w:r>
            <w:r w:rsidR="00045621">
              <w:t>.</w:t>
            </w:r>
          </w:p>
          <w:p w14:paraId="3684ED24" w14:textId="77777777" w:rsidR="00625F79" w:rsidRDefault="00625F79" w:rsidP="002E5FB2">
            <w:pPr>
              <w:pStyle w:val="Tabletextprimarysource"/>
              <w:ind w:left="720"/>
            </w:pPr>
          </w:p>
          <w:p w14:paraId="248A438A" w14:textId="77777777" w:rsidR="007C6458" w:rsidRDefault="007C6458" w:rsidP="007C6458">
            <w:pPr>
              <w:pStyle w:val="Tabletextprimarysource"/>
            </w:pPr>
            <w:r>
              <w:t>Animal data:</w:t>
            </w:r>
          </w:p>
          <w:p w14:paraId="674DC738" w14:textId="766AA27C" w:rsidR="0067386F" w:rsidRDefault="0067386F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LD</w:t>
            </w:r>
            <w:r w:rsidRPr="0061305D">
              <w:rPr>
                <w:vertAlign w:val="subscript"/>
              </w:rPr>
              <w:t>50</w:t>
            </w:r>
            <w:r w:rsidR="00FC2715" w:rsidRPr="00FC2715">
              <w:t>:</w:t>
            </w:r>
            <w:r w:rsidRPr="0061305D">
              <w:rPr>
                <w:vertAlign w:val="subscript"/>
              </w:rPr>
              <w:t xml:space="preserve"> </w:t>
            </w:r>
            <w:r>
              <w:t>&gt;2</w:t>
            </w:r>
            <w:r w:rsidR="00625F79">
              <w:t>,</w:t>
            </w:r>
            <w:r>
              <w:t>000 mg/kg (rabbits</w:t>
            </w:r>
            <w:r w:rsidR="00FC2715">
              <w:t>, dermal</w:t>
            </w:r>
            <w:r>
              <w:t>)</w:t>
            </w:r>
          </w:p>
          <w:p w14:paraId="5CDB6694" w14:textId="698F44E2" w:rsidR="00282D17" w:rsidRDefault="00C04B73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R</w:t>
            </w:r>
            <w:r w:rsidR="005C5DFD">
              <w:t>epeat inhalation exposure study 135</w:t>
            </w:r>
            <w:r>
              <w:t>–</w:t>
            </w:r>
            <w:r w:rsidR="005C5DFD">
              <w:t>2</w:t>
            </w:r>
            <w:r w:rsidR="00625F79">
              <w:t>,</w:t>
            </w:r>
            <w:r w:rsidR="005C5DFD">
              <w:t xml:space="preserve">100 ppm generally found no </w:t>
            </w:r>
            <w:r w:rsidR="00FC2715">
              <w:t>histopathological</w:t>
            </w:r>
            <w:r w:rsidR="005C5DFD">
              <w:t xml:space="preserve"> changes </w:t>
            </w:r>
            <w:r w:rsidR="00FD5515">
              <w:t>except for increased kidney and liver weights (mice and rats, 6 h/d, 5 d/</w:t>
            </w:r>
            <w:proofErr w:type="spellStart"/>
            <w:r w:rsidR="00FD5515">
              <w:t>wk</w:t>
            </w:r>
            <w:proofErr w:type="spellEnd"/>
            <w:r w:rsidR="00FD5515">
              <w:t>, 90 d)</w:t>
            </w:r>
          </w:p>
          <w:p w14:paraId="2DE09120" w14:textId="76F9A42A" w:rsidR="005C5DFD" w:rsidRDefault="00FD5515" w:rsidP="0061305D">
            <w:pPr>
              <w:pStyle w:val="Tabletextprimarysource"/>
              <w:numPr>
                <w:ilvl w:val="0"/>
                <w:numId w:val="10"/>
              </w:numPr>
              <w:ind w:left="1094" w:hanging="357"/>
            </w:pPr>
            <w:r>
              <w:t xml:space="preserve">LOEL of 135 ppm for </w:t>
            </w:r>
            <w:r w:rsidR="00611ED2">
              <w:t xml:space="preserve">spontaneous nephropathy </w:t>
            </w:r>
            <w:r>
              <w:t xml:space="preserve">in male rats </w:t>
            </w:r>
            <w:r w:rsidR="00C04B73">
              <w:t>(presumed</w:t>
            </w:r>
            <w:r>
              <w:t xml:space="preserve"> to be close to the NOAEL</w:t>
            </w:r>
            <w:r w:rsidR="00282D17">
              <w:t>,</w:t>
            </w:r>
            <w:r>
              <w:t xml:space="preserve"> </w:t>
            </w:r>
            <w:r w:rsidR="00C04B73">
              <w:t xml:space="preserve">as </w:t>
            </w:r>
            <w:r>
              <w:t>observed toxicity was minor</w:t>
            </w:r>
            <w:r w:rsidR="00C04B73">
              <w:t>)</w:t>
            </w:r>
          </w:p>
          <w:p w14:paraId="40C4C65F" w14:textId="3414D404" w:rsidR="003A62F2" w:rsidRDefault="00FD5515" w:rsidP="0061305D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NOEL</w:t>
            </w:r>
            <w:r w:rsidR="0061305D">
              <w:t xml:space="preserve"> </w:t>
            </w:r>
            <w:r>
              <w:t>&lt;250 mg/kg/d (male r</w:t>
            </w:r>
            <w:r w:rsidR="00572845">
              <w:t>ats), 770 mg/kg/d (female rats) for ataxia</w:t>
            </w:r>
            <w:r w:rsidR="00AA618B">
              <w:t xml:space="preserve"> (oral, 90 d)</w:t>
            </w:r>
          </w:p>
          <w:p w14:paraId="0EA0CE31" w14:textId="77777777" w:rsidR="007C6458" w:rsidRDefault="00F77707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>Human r</w:t>
            </w:r>
            <w:r w:rsidR="007C6458">
              <w:t xml:space="preserve">elevance of increased thyroid tumour incidence in chronic </w:t>
            </w:r>
            <w:r w:rsidR="007C6458" w:rsidRPr="00FD5515">
              <w:t>feeding</w:t>
            </w:r>
            <w:r w:rsidR="007C6458">
              <w:t xml:space="preserve"> study</w:t>
            </w:r>
            <w:r>
              <w:t xml:space="preserve"> with rats </w:t>
            </w:r>
            <w:r w:rsidR="00572845">
              <w:t>questioned</w:t>
            </w:r>
            <w:r>
              <w:t xml:space="preserve"> because tumours occurred in only one sec and above the maximum tolerated dose</w:t>
            </w:r>
          </w:p>
          <w:p w14:paraId="4A12D703" w14:textId="401C2E9B" w:rsidR="00572845" w:rsidRDefault="00572845" w:rsidP="00CB3214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>
              <w:t xml:space="preserve">Contradictory sensitisation results from standardised maximisation test (guinea </w:t>
            </w:r>
            <w:r w:rsidR="00FC2715">
              <w:t>pigs), which report either weak</w:t>
            </w:r>
            <w:r>
              <w:t xml:space="preserve"> or no potential for skin sensitisation</w:t>
            </w:r>
            <w:r w:rsidR="003534B6">
              <w:t>.</w:t>
            </w:r>
          </w:p>
          <w:p w14:paraId="4FCF642F" w14:textId="77777777" w:rsidR="00625F79" w:rsidRPr="007C6458" w:rsidRDefault="00625F79" w:rsidP="002E5FB2">
            <w:pPr>
              <w:pStyle w:val="Tabletextprimarysource"/>
              <w:ind w:left="714"/>
              <w:contextualSpacing/>
            </w:pPr>
          </w:p>
        </w:tc>
      </w:tr>
      <w:tr w:rsidR="00D70ED2" w:rsidRPr="00DA352E" w14:paraId="1AAE891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392E35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C5DA2FD273DE47E791CD3AE541001107"/>
                </w:placeholder>
                <w:text/>
              </w:sdtPr>
              <w:sdtEndPr/>
              <w:sdtContent>
                <w:r w:rsidR="00626C6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1007377B0968426D9DCE9E87297F289A"/>
                </w:placeholder>
              </w:sdtPr>
              <w:sdtEndPr/>
              <w:sdtContent>
                <w:proofErr w:type="spellStart"/>
                <w:r w:rsidR="00626C65">
                  <w:t>NA</w:t>
                </w:r>
                <w:proofErr w:type="spellEnd"/>
              </w:sdtContent>
            </w:sdt>
          </w:p>
        </w:tc>
      </w:tr>
      <w:tr w:rsidR="00D70ED2" w:rsidRPr="00DA352E" w14:paraId="7E7CE3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CED98E" w14:textId="34ED8529" w:rsidR="00D70ED2" w:rsidRPr="00DA352E" w:rsidRDefault="00626C65" w:rsidP="00D70ED2">
            <w:pPr>
              <w:pStyle w:val="Tabletextprimarysource"/>
            </w:pPr>
            <w:r>
              <w:t>No report</w:t>
            </w:r>
            <w:r w:rsidR="00051B63">
              <w:t>.</w:t>
            </w:r>
          </w:p>
        </w:tc>
      </w:tr>
      <w:tr w:rsidR="00D70ED2" w:rsidRPr="00DA352E" w14:paraId="52F65FD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1E06C5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D086BCE2D69244198331177E324B187E"/>
                </w:placeholder>
                <w:text/>
              </w:sdtPr>
              <w:sdtEndPr/>
              <w:sdtContent>
                <w:r w:rsidR="00626C6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0AC4AA7890D74B16BB1D39CE02E2AF06"/>
                </w:placeholder>
              </w:sdtPr>
              <w:sdtEndPr/>
              <w:sdtContent>
                <w:proofErr w:type="spellStart"/>
                <w:r w:rsidR="00626C65">
                  <w:t>NA</w:t>
                </w:r>
                <w:proofErr w:type="spellEnd"/>
              </w:sdtContent>
            </w:sdt>
          </w:p>
        </w:tc>
      </w:tr>
      <w:tr w:rsidR="00D70ED2" w:rsidRPr="00DA352E" w14:paraId="212BDE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C7EF15" w14:textId="736AD5A3" w:rsidR="00D70ED2" w:rsidRPr="00DA352E" w:rsidRDefault="00626C65" w:rsidP="00D70ED2">
            <w:pPr>
              <w:pStyle w:val="Tabletextprimarysource"/>
            </w:pPr>
            <w:r>
              <w:t>No report</w:t>
            </w:r>
            <w:r w:rsidR="00051B63">
              <w:t>.</w:t>
            </w:r>
          </w:p>
        </w:tc>
      </w:tr>
      <w:tr w:rsidR="00D70ED2" w:rsidRPr="00DA352E" w14:paraId="718318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F0C35A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9CB4C4C64EE24AD8B9347C569A1AA320"/>
                </w:placeholder>
                <w:text/>
              </w:sdtPr>
              <w:sdtEndPr/>
              <w:sdtContent>
                <w:r w:rsidR="00626C6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034E5D42807D4C27AC4DD5876F665CD3"/>
                </w:placeholder>
              </w:sdtPr>
              <w:sdtEndPr/>
              <w:sdtContent>
                <w:proofErr w:type="spellStart"/>
                <w:r w:rsidR="00626C65">
                  <w:t>NA</w:t>
                </w:r>
                <w:proofErr w:type="spellEnd"/>
              </w:sdtContent>
            </w:sdt>
          </w:p>
        </w:tc>
      </w:tr>
      <w:tr w:rsidR="00D70ED2" w:rsidRPr="00DA352E" w14:paraId="1E8AF9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46572B" w14:textId="1A6F7B38" w:rsidR="00D70ED2" w:rsidRPr="00DA352E" w:rsidRDefault="00626C65" w:rsidP="00D70ED2">
            <w:pPr>
              <w:pStyle w:val="Tabletextprimarysource"/>
            </w:pPr>
            <w:r>
              <w:t>No report</w:t>
            </w:r>
            <w:r w:rsidR="00051B63">
              <w:t>.</w:t>
            </w:r>
          </w:p>
        </w:tc>
      </w:tr>
    </w:tbl>
    <w:p w14:paraId="5497ED6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4966BF" w:rsidRPr="00263255" w14:paraId="5AB1914F" w14:textId="77777777" w:rsidTr="00FC2715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637C818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A821FD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D0B4D8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25A8E04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CF39130" w14:textId="77777777" w:rsidTr="002E5FB2">
        <w:tc>
          <w:tcPr>
            <w:tcW w:w="0" w:type="dxa"/>
          </w:tcPr>
          <w:p w14:paraId="69206B6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0" w:type="dxa"/>
          </w:tcPr>
          <w:p w14:paraId="1BC510E2" w14:textId="77777777" w:rsidR="004966BF" w:rsidRPr="00CE617F" w:rsidRDefault="006547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514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0" w:type="dxa"/>
          </w:tcPr>
          <w:p w14:paraId="722565FF" w14:textId="77777777" w:rsidR="004966BF" w:rsidRPr="004C23F4" w:rsidRDefault="00C342F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0" w:type="dxa"/>
          </w:tcPr>
          <w:p w14:paraId="1FC6D4CF" w14:textId="44531C4E" w:rsidR="00945146" w:rsidRPr="0061305D" w:rsidRDefault="00945146" w:rsidP="0061305D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 w:rsidRPr="0061305D">
              <w:t xml:space="preserve">Vapours reported </w:t>
            </w:r>
            <w:r w:rsidR="00051B63" w:rsidRPr="0061305D">
              <w:t>as</w:t>
            </w:r>
            <w:r w:rsidRPr="0061305D">
              <w:t xml:space="preserve"> irritating to eyes, nose and throat in humans</w:t>
            </w:r>
            <w:r w:rsidR="008F0FB3" w:rsidRPr="0061305D">
              <w:t xml:space="preserve"> (concentrations not specified)</w:t>
            </w:r>
          </w:p>
          <w:p w14:paraId="29DED5B4" w14:textId="77777777" w:rsidR="00945146" w:rsidRPr="0061305D" w:rsidRDefault="00945146" w:rsidP="0061305D">
            <w:pPr>
              <w:pStyle w:val="Tabletextprimarysource"/>
              <w:numPr>
                <w:ilvl w:val="0"/>
                <w:numId w:val="7"/>
              </w:numPr>
              <w:ind w:left="714" w:hanging="357"/>
            </w:pPr>
            <w:r w:rsidRPr="0061305D">
              <w:t xml:space="preserve">Modes of </w:t>
            </w:r>
            <w:r w:rsidR="00051A1E" w:rsidRPr="0061305D">
              <w:t>renal</w:t>
            </w:r>
            <w:r w:rsidRPr="0061305D">
              <w:t xml:space="preserve"> carcinogenicity </w:t>
            </w:r>
            <w:r w:rsidR="00051A1E" w:rsidRPr="0061305D">
              <w:t>in rats have</w:t>
            </w:r>
            <w:r w:rsidRPr="0061305D">
              <w:t xml:space="preserve"> no relevance to humans due to species-specific metabolism</w:t>
            </w:r>
          </w:p>
          <w:p w14:paraId="64B91F53" w14:textId="4668BE42" w:rsidR="0067386F" w:rsidRPr="004C23F4" w:rsidRDefault="0067386F" w:rsidP="0061305D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61305D">
              <w:t>No demonstrated potential for dermal irritation or sensitisation</w:t>
            </w:r>
            <w:r w:rsidR="003534B6" w:rsidRPr="0061305D">
              <w:t>.</w:t>
            </w:r>
          </w:p>
        </w:tc>
      </w:tr>
      <w:tr w:rsidR="004966BF" w:rsidRPr="004C23F4" w14:paraId="7F62A6E9" w14:textId="77777777" w:rsidTr="00FC2715">
        <w:trPr>
          <w:cantSplit/>
        </w:trPr>
        <w:tc>
          <w:tcPr>
            <w:tcW w:w="1494" w:type="dxa"/>
          </w:tcPr>
          <w:p w14:paraId="1715B6B5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370EF02E" w14:textId="77777777" w:rsidR="004966BF" w:rsidRPr="00CE617F" w:rsidRDefault="006547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B6DD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320F7EA" w14:textId="77777777" w:rsidR="004966BF" w:rsidRPr="004C23F4" w:rsidRDefault="005B6DD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9" w:type="dxa"/>
          </w:tcPr>
          <w:p w14:paraId="32D3B8BB" w14:textId="2F74EB74" w:rsidR="005B6DD7" w:rsidRPr="002C4B43" w:rsidRDefault="002C4B43" w:rsidP="0061305D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61305D">
              <w:t>Different strains of rats may account for high variability in LD</w:t>
            </w:r>
            <w:r w:rsidRPr="0061305D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61305D">
              <w:t xml:space="preserve"> values</w:t>
            </w:r>
            <w:r w:rsidR="0061305D" w:rsidRPr="0061305D">
              <w:t>.</w:t>
            </w:r>
          </w:p>
        </w:tc>
      </w:tr>
      <w:tr w:rsidR="004966BF" w:rsidRPr="004C23F4" w14:paraId="5AB50190" w14:textId="77777777" w:rsidTr="00FC2715">
        <w:trPr>
          <w:cantSplit/>
        </w:trPr>
        <w:tc>
          <w:tcPr>
            <w:tcW w:w="1494" w:type="dxa"/>
          </w:tcPr>
          <w:p w14:paraId="06AA35B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ADAF403" w14:textId="77777777" w:rsidR="004966BF" w:rsidRDefault="006547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B6DD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CCFE4B7" w14:textId="77777777" w:rsidR="004966BF" w:rsidRPr="004C23F4" w:rsidRDefault="00FF599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5E862136" w14:textId="4FAB1E17" w:rsidR="00A459C3" w:rsidRPr="004C23F4" w:rsidRDefault="00A21117" w:rsidP="0061305D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61305D">
              <w:t>R</w:t>
            </w:r>
            <w:r w:rsidR="00A459C3" w:rsidRPr="0061305D">
              <w:t xml:space="preserve">evised IDLH based </w:t>
            </w:r>
            <w:r w:rsidR="005B6DD7" w:rsidRPr="0061305D">
              <w:t>by</w:t>
            </w:r>
            <w:r w:rsidR="00A459C3" w:rsidRPr="0061305D">
              <w:t xml:space="preserve"> </w:t>
            </w:r>
            <w:r w:rsidR="005B6DD7" w:rsidRPr="0061305D">
              <w:t xml:space="preserve">toxicological </w:t>
            </w:r>
            <w:r w:rsidR="00A459C3" w:rsidRPr="0061305D">
              <w:t>analogies to</w:t>
            </w:r>
            <w:r w:rsidR="005B6DD7" w:rsidRPr="0061305D">
              <w:t xml:space="preserve"> both</w:t>
            </w:r>
            <w:r w:rsidR="00A459C3" w:rsidRPr="0061305D">
              <w:t xml:space="preserve"> isobu</w:t>
            </w:r>
            <w:r w:rsidR="005B6DD7" w:rsidRPr="0061305D">
              <w:t>tyl alcohol and n-butyl alcohol</w:t>
            </w:r>
            <w:r w:rsidR="00045621" w:rsidRPr="0061305D">
              <w:t>.</w:t>
            </w:r>
          </w:p>
        </w:tc>
      </w:tr>
    </w:tbl>
    <w:bookmarkEnd w:id="0"/>
    <w:p w14:paraId="2C5EA1D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C5D4877" w14:textId="77777777" w:rsidTr="00FF599E">
        <w:trPr>
          <w:trHeight w:val="454"/>
          <w:tblHeader/>
        </w:trPr>
        <w:tc>
          <w:tcPr>
            <w:tcW w:w="6603" w:type="dxa"/>
            <w:vAlign w:val="center"/>
          </w:tcPr>
          <w:p w14:paraId="45742F9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5529650" w14:textId="77777777" w:rsidR="002E0D61" w:rsidRDefault="00FF599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93D5A73" w14:textId="77777777" w:rsidTr="00FF599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1B1C90F" w14:textId="77777777" w:rsidR="008A36CF" w:rsidRPr="006901A2" w:rsidRDefault="00FF599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C7B176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1C3E90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F67B60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CFD07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67D490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C4EE77" w14:textId="77777777" w:rsidTr="00812887">
        <w:trPr>
          <w:cantSplit/>
        </w:trPr>
        <w:tc>
          <w:tcPr>
            <w:tcW w:w="3227" w:type="dxa"/>
          </w:tcPr>
          <w:p w14:paraId="38BE5F7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A6131EB" w14:textId="77777777" w:rsidR="00687890" w:rsidRPr="00DD2F9B" w:rsidRDefault="005B6DD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2D49E87" w14:textId="77777777" w:rsidTr="00812887">
        <w:trPr>
          <w:cantSplit/>
        </w:trPr>
        <w:tc>
          <w:tcPr>
            <w:tcW w:w="3227" w:type="dxa"/>
          </w:tcPr>
          <w:p w14:paraId="06FD533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F6EA59F" w14:textId="77777777" w:rsidR="007925F0" w:rsidRPr="00DD2F9B" w:rsidRDefault="00FF599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DDE5468" w14:textId="77777777" w:rsidTr="00812887">
        <w:trPr>
          <w:cantSplit/>
        </w:trPr>
        <w:tc>
          <w:tcPr>
            <w:tcW w:w="3227" w:type="dxa"/>
          </w:tcPr>
          <w:p w14:paraId="01D26BC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07C5BE7" w14:textId="77777777" w:rsidR="00AF483F" w:rsidRPr="00DD2F9B" w:rsidRDefault="005B6DD7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1C3524C2" w14:textId="77777777" w:rsidTr="00812887">
        <w:trPr>
          <w:cantSplit/>
        </w:trPr>
        <w:tc>
          <w:tcPr>
            <w:tcW w:w="3227" w:type="dxa"/>
          </w:tcPr>
          <w:p w14:paraId="1559000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263DD80" w14:textId="77777777" w:rsidR="00687890" w:rsidRPr="005B6DD7" w:rsidRDefault="005B6DD7" w:rsidP="00DD2F9B">
            <w:pPr>
              <w:pStyle w:val="Tablefont"/>
              <w:rPr>
                <w:rFonts w:ascii="Gadugi" w:hAnsi="Gadugi"/>
              </w:rPr>
            </w:pPr>
            <w:r>
              <w:rPr>
                <w:rFonts w:ascii="Gadugi" w:hAnsi="Gadugi"/>
              </w:rPr>
              <w:t>—</w:t>
            </w:r>
          </w:p>
        </w:tc>
      </w:tr>
      <w:tr w:rsidR="00E41A26" w:rsidRPr="004C23F4" w14:paraId="7F1A61A6" w14:textId="77777777" w:rsidTr="00812887">
        <w:trPr>
          <w:cantSplit/>
        </w:trPr>
        <w:tc>
          <w:tcPr>
            <w:tcW w:w="3227" w:type="dxa"/>
          </w:tcPr>
          <w:p w14:paraId="3DCFF53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DFF883C" w14:textId="77777777" w:rsidR="00E41A26" w:rsidRPr="00DD2F9B" w:rsidRDefault="005B6D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60579A" w14:textId="77777777" w:rsidTr="00812887">
        <w:trPr>
          <w:cantSplit/>
        </w:trPr>
        <w:tc>
          <w:tcPr>
            <w:tcW w:w="3227" w:type="dxa"/>
          </w:tcPr>
          <w:p w14:paraId="3221274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CEB8529" w14:textId="77777777" w:rsidR="002E0D61" w:rsidRPr="00DD2F9B" w:rsidRDefault="005B6DD7" w:rsidP="00DD2F9B">
            <w:pPr>
              <w:pStyle w:val="Tablefont"/>
            </w:pPr>
            <w:r>
              <w:t>Carcinogenicity – A4</w:t>
            </w:r>
          </w:p>
        </w:tc>
      </w:tr>
      <w:tr w:rsidR="002E0D61" w:rsidRPr="004C23F4" w14:paraId="729A8F8F" w14:textId="77777777" w:rsidTr="00812887">
        <w:trPr>
          <w:cantSplit/>
        </w:trPr>
        <w:tc>
          <w:tcPr>
            <w:tcW w:w="3227" w:type="dxa"/>
          </w:tcPr>
          <w:p w14:paraId="350D836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2766200" w14:textId="77777777" w:rsidR="002E0D61" w:rsidRPr="00DD2F9B" w:rsidRDefault="005B6DD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03261D4" w14:textId="77777777" w:rsidTr="00812887">
        <w:trPr>
          <w:cantSplit/>
        </w:trPr>
        <w:tc>
          <w:tcPr>
            <w:tcW w:w="3227" w:type="dxa"/>
          </w:tcPr>
          <w:p w14:paraId="2E8260E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ACD473A" w14:textId="77777777" w:rsidR="002E0D61" w:rsidRPr="00DD2F9B" w:rsidRDefault="005B6D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1B7C164" w14:textId="77777777" w:rsidTr="00812887">
        <w:trPr>
          <w:cantSplit/>
        </w:trPr>
        <w:tc>
          <w:tcPr>
            <w:tcW w:w="3227" w:type="dxa"/>
          </w:tcPr>
          <w:p w14:paraId="77DFA8C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A59CA6E" w14:textId="77777777" w:rsidR="002E0D61" w:rsidRPr="00DD2F9B" w:rsidRDefault="005B6D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67B148E" w14:textId="77777777" w:rsidTr="00812887">
        <w:trPr>
          <w:cantSplit/>
        </w:trPr>
        <w:tc>
          <w:tcPr>
            <w:tcW w:w="3227" w:type="dxa"/>
          </w:tcPr>
          <w:p w14:paraId="4182F49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7EE27D6" w14:textId="77777777" w:rsidR="00386093" w:rsidRPr="00DD2F9B" w:rsidRDefault="005B6D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FFB9F09" w14:textId="77777777" w:rsidTr="00812887">
        <w:trPr>
          <w:cantSplit/>
        </w:trPr>
        <w:tc>
          <w:tcPr>
            <w:tcW w:w="3227" w:type="dxa"/>
          </w:tcPr>
          <w:p w14:paraId="1AD0874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CE31DD0" w14:textId="77777777" w:rsidR="00386093" w:rsidRPr="00DD2F9B" w:rsidRDefault="005B6DD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310FA6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D623A7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AD9C5B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C6A08A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3CDEC9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12" w:type="dxa"/>
              <w:tblLook w:val="04A0" w:firstRow="1" w:lastRow="0" w:firstColumn="1" w:lastColumn="0" w:noHBand="0" w:noVBand="1"/>
            </w:tblPr>
            <w:tblGrid>
              <w:gridCol w:w="3660"/>
              <w:gridCol w:w="1084"/>
              <w:gridCol w:w="1084"/>
              <w:gridCol w:w="2982"/>
            </w:tblGrid>
            <w:tr w:rsidR="0067386F" w:rsidRPr="0067386F" w14:paraId="3BC85683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827398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994299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C99CA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C48253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7386F" w:rsidRPr="0067386F" w14:paraId="01180AF3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ABA773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3A1AC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9E147C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849A16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7386F" w:rsidRPr="0067386F" w14:paraId="54728B92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68AE4C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35EEB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D4364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5EFF3D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7386F" w:rsidRPr="0067386F" w14:paraId="457842C3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6133A9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07A925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F0C69D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00242A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7386F" w:rsidRPr="0067386F" w14:paraId="1B1CE416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A61512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33266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314B40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2081B6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7386F" w:rsidRPr="0067386F" w14:paraId="72BF9150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66D69E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442ED6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C58D7F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D24575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7386F" w:rsidRPr="0067386F" w14:paraId="157F8888" w14:textId="77777777" w:rsidTr="00FC2715">
              <w:trPr>
                <w:trHeight w:val="305"/>
              </w:trPr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3694E9" w14:textId="77777777" w:rsidR="0067386F" w:rsidRPr="0067386F" w:rsidRDefault="0067386F" w:rsidP="0067386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FB8962" w14:textId="77777777" w:rsidR="0067386F" w:rsidRPr="0067386F" w:rsidRDefault="0067386F" w:rsidP="0067386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D24D2A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E738EB" w14:textId="77777777" w:rsidR="0067386F" w:rsidRPr="0067386F" w:rsidRDefault="0067386F" w:rsidP="0067386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7386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8A5983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DF96E6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3B2CEF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50D960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54142F7" w14:textId="77777777" w:rsidR="00EB3D1B" w:rsidRDefault="005B6DD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DBA3C9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957B5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B3072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265A01" w14:textId="77777777" w:rsidR="001B79E5" w:rsidRDefault="005B6DD7" w:rsidP="001B79E5">
                <w:pPr>
                  <w:pStyle w:val="Tablefont"/>
                </w:pPr>
                <w:r>
                  <w:t>74.1</w:t>
                </w:r>
              </w:p>
            </w:tc>
          </w:sdtContent>
        </w:sdt>
      </w:tr>
      <w:tr w:rsidR="00A31D99" w:rsidRPr="004C23F4" w14:paraId="437D7F2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D5012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A993B1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C9935C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830CA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89193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540DCB" w14:textId="77777777" w:rsidTr="00EA6243">
        <w:trPr>
          <w:cantSplit/>
        </w:trPr>
        <w:tc>
          <w:tcPr>
            <w:tcW w:w="4077" w:type="dxa"/>
            <w:vAlign w:val="center"/>
          </w:tcPr>
          <w:p w14:paraId="4CB2368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E24A9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9B0959" w14:textId="77777777" w:rsidTr="00EA6243">
        <w:trPr>
          <w:cantSplit/>
        </w:trPr>
        <w:tc>
          <w:tcPr>
            <w:tcW w:w="4077" w:type="dxa"/>
            <w:vAlign w:val="center"/>
          </w:tcPr>
          <w:p w14:paraId="2AA212A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B2EF82" w14:textId="77777777" w:rsidR="00687890" w:rsidRPr="004C23F4" w:rsidRDefault="00A83C8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374CD8CC" w14:textId="77777777" w:rsidTr="00EA6243">
        <w:trPr>
          <w:cantSplit/>
        </w:trPr>
        <w:tc>
          <w:tcPr>
            <w:tcW w:w="4077" w:type="dxa"/>
            <w:vAlign w:val="center"/>
          </w:tcPr>
          <w:p w14:paraId="0BC25AE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A24F80D" w14:textId="77777777" w:rsidR="00E06F40" w:rsidRPr="00A006A0" w:rsidRDefault="006547B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A25EE4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F6CC35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C33611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21029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2D302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A8E460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F20822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99D7E9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A0F58A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9C7DB40" w14:textId="4BBA4971" w:rsidR="00F95D02" w:rsidRDefault="00F95D02" w:rsidP="00084859">
      <w:r w:rsidRPr="00F95D02">
        <w:t xml:space="preserve">Deutsche </w:t>
      </w:r>
      <w:proofErr w:type="spellStart"/>
      <w:r w:rsidRPr="00F95D02">
        <w:t>Forschungsgemeinschaft</w:t>
      </w:r>
      <w:proofErr w:type="spellEnd"/>
      <w:r w:rsidRPr="00F95D02">
        <w:t xml:space="preserve"> (DFG) (</w:t>
      </w:r>
      <w:r w:rsidR="001B5F2F">
        <w:t>2003</w:t>
      </w:r>
      <w:r w:rsidRPr="00F95D02">
        <w:t>) tert-Butyl alcohol – MAK value documentation.</w:t>
      </w:r>
    </w:p>
    <w:p w14:paraId="7332FA04" w14:textId="77777777" w:rsidR="00F95D02" w:rsidRDefault="00F95D02" w:rsidP="00084859">
      <w:r w:rsidRPr="00DB0A36">
        <w:t>National Industrial Chemicals Notification and Assessment Scheme (NICNAS) (</w:t>
      </w:r>
      <w:r>
        <w:t>2013</w:t>
      </w:r>
      <w:r w:rsidRPr="00DB0A36">
        <w:t xml:space="preserve">) </w:t>
      </w:r>
      <w:r w:rsidRPr="00F95D02">
        <w:t>2-Propanol, 2-methyl-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05AE6E82" w14:textId="77777777" w:rsidR="00FC2715" w:rsidRDefault="00F95D02" w:rsidP="00FC2715">
      <w:r w:rsidRPr="00F95D02">
        <w:t>Organisation for Economic Cooperation and Development (OECD) (</w:t>
      </w:r>
      <w:r>
        <w:t>2001</w:t>
      </w:r>
      <w:r w:rsidRPr="00F95D02">
        <w:t>) SIDS initial assessment profile – n-butyl alcohol</w:t>
      </w:r>
      <w:r>
        <w:t>.</w:t>
      </w:r>
      <w:r w:rsidR="00FC2715" w:rsidRPr="00FC2715">
        <w:t xml:space="preserve"> </w:t>
      </w:r>
    </w:p>
    <w:p w14:paraId="0FD218DE" w14:textId="77777777" w:rsidR="00FC2715" w:rsidRDefault="00FC2715" w:rsidP="00FC2715">
      <w:r w:rsidRPr="00F95D02">
        <w:t xml:space="preserve">Tenth Adaptation to Technical Progress Commission Regulation (EU Annex) No 2017/776 amending, for the purposes of its adaptation to technical and scientific progress, Regulation (EC) No 1272/2008 </w:t>
      </w:r>
      <w:r w:rsidRPr="00F95D02">
        <w:lastRenderedPageBreak/>
        <w:t>of the European Parliament and of the Council on classification, labelling and packaging of substances and mixtures (the CLP Regulation).</w:t>
      </w:r>
    </w:p>
    <w:p w14:paraId="0A10B380" w14:textId="77777777" w:rsidR="00FC2715" w:rsidRDefault="00FC2715" w:rsidP="00FC2715">
      <w:r w:rsidRPr="00F95D02">
        <w:t>US National Institute for Occupational Safety and Health (NIOSH) (1994) Immediately dangerous to life or health concentrations – tert-Butyl alcohol.</w:t>
      </w:r>
    </w:p>
    <w:p w14:paraId="3DC2E77A" w14:textId="77777777" w:rsidR="00F95D02" w:rsidRPr="00351FE0" w:rsidRDefault="00F95D02"/>
    <w:sectPr w:rsidR="00F95D0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AF1DE" w14:textId="77777777" w:rsidR="006A0772" w:rsidRDefault="006A0772" w:rsidP="00F43AD5">
      <w:pPr>
        <w:spacing w:after="0" w:line="240" w:lineRule="auto"/>
      </w:pPr>
      <w:r>
        <w:separator/>
      </w:r>
    </w:p>
  </w:endnote>
  <w:endnote w:type="continuationSeparator" w:id="0">
    <w:p w14:paraId="55E353EA" w14:textId="77777777" w:rsidR="006A0772" w:rsidRDefault="006A077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06D368" w14:textId="77777777" w:rsidR="003A62F2" w:rsidRDefault="003A62F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tert-Butyl alcohol (75-65-0)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BE902FD" w14:textId="27CA0B6D" w:rsidR="003A62F2" w:rsidRPr="00F43AD5" w:rsidRDefault="003A62F2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A016D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88A39" w14:textId="77777777" w:rsidR="006A0772" w:rsidRDefault="006A0772" w:rsidP="00F43AD5">
      <w:pPr>
        <w:spacing w:after="0" w:line="240" w:lineRule="auto"/>
      </w:pPr>
      <w:r>
        <w:separator/>
      </w:r>
    </w:p>
  </w:footnote>
  <w:footnote w:type="continuationSeparator" w:id="0">
    <w:p w14:paraId="4B9C5864" w14:textId="77777777" w:rsidR="006A0772" w:rsidRDefault="006A077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34EE" w14:textId="647A1BB1" w:rsidR="00DA016D" w:rsidRDefault="00DA016D" w:rsidP="00DA016D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6C53B1" wp14:editId="2AD3A73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990866" w14:textId="619A6FC6" w:rsidR="003A62F2" w:rsidRDefault="003A62F2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2682C" w14:textId="68C8A80F" w:rsidR="00DA016D" w:rsidRDefault="00DA016D" w:rsidP="00DA016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4633639" wp14:editId="1D242B89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1B535D" w14:textId="77777777" w:rsidR="003A62F2" w:rsidRDefault="003A62F2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28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05BAD"/>
    <w:multiLevelType w:val="hybridMultilevel"/>
    <w:tmpl w:val="A0681F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41DC6"/>
    <w:multiLevelType w:val="hybridMultilevel"/>
    <w:tmpl w:val="8702BBBA"/>
    <w:lvl w:ilvl="0" w:tplc="45DEDC8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B706F"/>
    <w:multiLevelType w:val="hybridMultilevel"/>
    <w:tmpl w:val="01D80088"/>
    <w:lvl w:ilvl="0" w:tplc="832A4F0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E07A9"/>
    <w:multiLevelType w:val="hybridMultilevel"/>
    <w:tmpl w:val="27041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132FB"/>
    <w:multiLevelType w:val="hybridMultilevel"/>
    <w:tmpl w:val="0818C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D3D53"/>
    <w:multiLevelType w:val="hybridMultilevel"/>
    <w:tmpl w:val="BA2A8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10A54"/>
    <w:multiLevelType w:val="hybridMultilevel"/>
    <w:tmpl w:val="F62A3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F561C"/>
    <w:multiLevelType w:val="hybridMultilevel"/>
    <w:tmpl w:val="0608A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F32191"/>
    <w:multiLevelType w:val="hybridMultilevel"/>
    <w:tmpl w:val="B9F464B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223927">
    <w:abstractNumId w:val="8"/>
  </w:num>
  <w:num w:numId="2" w16cid:durableId="81682207">
    <w:abstractNumId w:val="5"/>
  </w:num>
  <w:num w:numId="3" w16cid:durableId="1741247315">
    <w:abstractNumId w:val="1"/>
  </w:num>
  <w:num w:numId="4" w16cid:durableId="1698391689">
    <w:abstractNumId w:val="4"/>
  </w:num>
  <w:num w:numId="5" w16cid:durableId="799374065">
    <w:abstractNumId w:val="6"/>
  </w:num>
  <w:num w:numId="6" w16cid:durableId="1164471690">
    <w:abstractNumId w:val="7"/>
  </w:num>
  <w:num w:numId="7" w16cid:durableId="948514077">
    <w:abstractNumId w:val="2"/>
  </w:num>
  <w:num w:numId="8" w16cid:durableId="160393621">
    <w:abstractNumId w:val="3"/>
  </w:num>
  <w:num w:numId="9" w16cid:durableId="1111508041">
    <w:abstractNumId w:val="0"/>
  </w:num>
  <w:num w:numId="10" w16cid:durableId="203251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0EC"/>
    <w:rsid w:val="00013A22"/>
    <w:rsid w:val="00014C3F"/>
    <w:rsid w:val="00017C82"/>
    <w:rsid w:val="00032B88"/>
    <w:rsid w:val="00037C12"/>
    <w:rsid w:val="00045621"/>
    <w:rsid w:val="00046DF5"/>
    <w:rsid w:val="00051A1E"/>
    <w:rsid w:val="00051B63"/>
    <w:rsid w:val="00052060"/>
    <w:rsid w:val="00053E04"/>
    <w:rsid w:val="0005574A"/>
    <w:rsid w:val="00055FE1"/>
    <w:rsid w:val="00056EC2"/>
    <w:rsid w:val="00060B48"/>
    <w:rsid w:val="00067F32"/>
    <w:rsid w:val="00071807"/>
    <w:rsid w:val="000803E1"/>
    <w:rsid w:val="000813E8"/>
    <w:rsid w:val="00084513"/>
    <w:rsid w:val="00084859"/>
    <w:rsid w:val="00092D94"/>
    <w:rsid w:val="000A1734"/>
    <w:rsid w:val="000B0868"/>
    <w:rsid w:val="000B3E12"/>
    <w:rsid w:val="000B3E78"/>
    <w:rsid w:val="000B7069"/>
    <w:rsid w:val="000B7B48"/>
    <w:rsid w:val="000C096D"/>
    <w:rsid w:val="000C139A"/>
    <w:rsid w:val="000C2053"/>
    <w:rsid w:val="000C248C"/>
    <w:rsid w:val="000C5546"/>
    <w:rsid w:val="000C68AF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5F2F"/>
    <w:rsid w:val="001B79E5"/>
    <w:rsid w:val="001C05FA"/>
    <w:rsid w:val="001D56F0"/>
    <w:rsid w:val="001D663B"/>
    <w:rsid w:val="001D7B41"/>
    <w:rsid w:val="001E46DA"/>
    <w:rsid w:val="001E5F2A"/>
    <w:rsid w:val="001E7171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DF8"/>
    <w:rsid w:val="00224EE2"/>
    <w:rsid w:val="00227EC7"/>
    <w:rsid w:val="00244AD1"/>
    <w:rsid w:val="002463BC"/>
    <w:rsid w:val="002465CE"/>
    <w:rsid w:val="0025734A"/>
    <w:rsid w:val="00263255"/>
    <w:rsid w:val="00264050"/>
    <w:rsid w:val="002731C5"/>
    <w:rsid w:val="00274C65"/>
    <w:rsid w:val="00276494"/>
    <w:rsid w:val="00277B0C"/>
    <w:rsid w:val="00282D17"/>
    <w:rsid w:val="00285DF6"/>
    <w:rsid w:val="002B1A2C"/>
    <w:rsid w:val="002C34F2"/>
    <w:rsid w:val="002C4B43"/>
    <w:rsid w:val="002C58FF"/>
    <w:rsid w:val="002C7AFE"/>
    <w:rsid w:val="002C7CBE"/>
    <w:rsid w:val="002D05D2"/>
    <w:rsid w:val="002E0D61"/>
    <w:rsid w:val="002E4C7B"/>
    <w:rsid w:val="002E5FB2"/>
    <w:rsid w:val="0030740C"/>
    <w:rsid w:val="00315833"/>
    <w:rsid w:val="00317694"/>
    <w:rsid w:val="003215EE"/>
    <w:rsid w:val="003224BF"/>
    <w:rsid w:val="003241A8"/>
    <w:rsid w:val="003253F0"/>
    <w:rsid w:val="0032577E"/>
    <w:rsid w:val="00325BFB"/>
    <w:rsid w:val="003337DA"/>
    <w:rsid w:val="00334EFB"/>
    <w:rsid w:val="00335CDE"/>
    <w:rsid w:val="003365A5"/>
    <w:rsid w:val="00341020"/>
    <w:rsid w:val="00347192"/>
    <w:rsid w:val="0034744C"/>
    <w:rsid w:val="00351FE0"/>
    <w:rsid w:val="00352615"/>
    <w:rsid w:val="003534B6"/>
    <w:rsid w:val="0035412B"/>
    <w:rsid w:val="003567A8"/>
    <w:rsid w:val="00362895"/>
    <w:rsid w:val="00370DBF"/>
    <w:rsid w:val="00384814"/>
    <w:rsid w:val="00386093"/>
    <w:rsid w:val="00386461"/>
    <w:rsid w:val="003869AD"/>
    <w:rsid w:val="003904A4"/>
    <w:rsid w:val="00391841"/>
    <w:rsid w:val="00391B6D"/>
    <w:rsid w:val="00394922"/>
    <w:rsid w:val="003A0E32"/>
    <w:rsid w:val="003A2B94"/>
    <w:rsid w:val="003A62F2"/>
    <w:rsid w:val="003B387D"/>
    <w:rsid w:val="003C0191"/>
    <w:rsid w:val="003C0D58"/>
    <w:rsid w:val="003D4FA3"/>
    <w:rsid w:val="003E0807"/>
    <w:rsid w:val="003E51FB"/>
    <w:rsid w:val="003E6B39"/>
    <w:rsid w:val="003F07E1"/>
    <w:rsid w:val="003F7232"/>
    <w:rsid w:val="004030BC"/>
    <w:rsid w:val="0040376B"/>
    <w:rsid w:val="00403F7D"/>
    <w:rsid w:val="00406785"/>
    <w:rsid w:val="004079B4"/>
    <w:rsid w:val="00414E69"/>
    <w:rsid w:val="00417A56"/>
    <w:rsid w:val="00420957"/>
    <w:rsid w:val="00422A10"/>
    <w:rsid w:val="00422E7F"/>
    <w:rsid w:val="00430179"/>
    <w:rsid w:val="00430433"/>
    <w:rsid w:val="004414B5"/>
    <w:rsid w:val="00444482"/>
    <w:rsid w:val="00444B42"/>
    <w:rsid w:val="00445E44"/>
    <w:rsid w:val="004509E2"/>
    <w:rsid w:val="004515EE"/>
    <w:rsid w:val="004529F0"/>
    <w:rsid w:val="00453748"/>
    <w:rsid w:val="00460A03"/>
    <w:rsid w:val="00472A11"/>
    <w:rsid w:val="00472AAD"/>
    <w:rsid w:val="00474E33"/>
    <w:rsid w:val="00476803"/>
    <w:rsid w:val="00485BFD"/>
    <w:rsid w:val="004867A2"/>
    <w:rsid w:val="004873F2"/>
    <w:rsid w:val="00490C26"/>
    <w:rsid w:val="00490D4C"/>
    <w:rsid w:val="00493A35"/>
    <w:rsid w:val="0049527A"/>
    <w:rsid w:val="004966BF"/>
    <w:rsid w:val="00497984"/>
    <w:rsid w:val="004A05E5"/>
    <w:rsid w:val="004A14FB"/>
    <w:rsid w:val="004A49F5"/>
    <w:rsid w:val="004A5088"/>
    <w:rsid w:val="004C1E3F"/>
    <w:rsid w:val="004C23F4"/>
    <w:rsid w:val="004C3475"/>
    <w:rsid w:val="004C58B6"/>
    <w:rsid w:val="004D16A3"/>
    <w:rsid w:val="004D4AA1"/>
    <w:rsid w:val="004D6D68"/>
    <w:rsid w:val="004E2816"/>
    <w:rsid w:val="004E5EDD"/>
    <w:rsid w:val="004F448A"/>
    <w:rsid w:val="004F493D"/>
    <w:rsid w:val="004F65E8"/>
    <w:rsid w:val="0050005E"/>
    <w:rsid w:val="00502B88"/>
    <w:rsid w:val="005117C5"/>
    <w:rsid w:val="005142C4"/>
    <w:rsid w:val="0051509C"/>
    <w:rsid w:val="005162D9"/>
    <w:rsid w:val="0051661F"/>
    <w:rsid w:val="0052660C"/>
    <w:rsid w:val="005272E2"/>
    <w:rsid w:val="0053108F"/>
    <w:rsid w:val="00532B56"/>
    <w:rsid w:val="00534B10"/>
    <w:rsid w:val="005446A2"/>
    <w:rsid w:val="00544D2F"/>
    <w:rsid w:val="00551BD8"/>
    <w:rsid w:val="00572845"/>
    <w:rsid w:val="00581055"/>
    <w:rsid w:val="00591E38"/>
    <w:rsid w:val="00596B5D"/>
    <w:rsid w:val="005A19C5"/>
    <w:rsid w:val="005A3034"/>
    <w:rsid w:val="005A462D"/>
    <w:rsid w:val="005B253B"/>
    <w:rsid w:val="005B6DD7"/>
    <w:rsid w:val="005B771D"/>
    <w:rsid w:val="005C47D3"/>
    <w:rsid w:val="005C5D16"/>
    <w:rsid w:val="005C5DFD"/>
    <w:rsid w:val="005D3193"/>
    <w:rsid w:val="005D4A6E"/>
    <w:rsid w:val="005E05F2"/>
    <w:rsid w:val="005E6979"/>
    <w:rsid w:val="005E75CB"/>
    <w:rsid w:val="006013C1"/>
    <w:rsid w:val="0060669E"/>
    <w:rsid w:val="00610F2E"/>
    <w:rsid w:val="00611399"/>
    <w:rsid w:val="00611ED2"/>
    <w:rsid w:val="0061305D"/>
    <w:rsid w:val="00622217"/>
    <w:rsid w:val="00624C4E"/>
    <w:rsid w:val="00625200"/>
    <w:rsid w:val="00625F79"/>
    <w:rsid w:val="00626C65"/>
    <w:rsid w:val="006363A8"/>
    <w:rsid w:val="00636DB7"/>
    <w:rsid w:val="00650905"/>
    <w:rsid w:val="006532ED"/>
    <w:rsid w:val="006547B9"/>
    <w:rsid w:val="006549F2"/>
    <w:rsid w:val="006567B7"/>
    <w:rsid w:val="00657BFB"/>
    <w:rsid w:val="0066333C"/>
    <w:rsid w:val="006639B4"/>
    <w:rsid w:val="006650FE"/>
    <w:rsid w:val="0067305D"/>
    <w:rsid w:val="0067386F"/>
    <w:rsid w:val="00677D9B"/>
    <w:rsid w:val="006867F3"/>
    <w:rsid w:val="00687890"/>
    <w:rsid w:val="006901A2"/>
    <w:rsid w:val="00690368"/>
    <w:rsid w:val="00690753"/>
    <w:rsid w:val="0069079C"/>
    <w:rsid w:val="00690B53"/>
    <w:rsid w:val="00695B72"/>
    <w:rsid w:val="00697BDA"/>
    <w:rsid w:val="006A0772"/>
    <w:rsid w:val="006B160A"/>
    <w:rsid w:val="006B4E6C"/>
    <w:rsid w:val="006B50B6"/>
    <w:rsid w:val="006D79EA"/>
    <w:rsid w:val="006E2E8D"/>
    <w:rsid w:val="006E2FEA"/>
    <w:rsid w:val="006E5D05"/>
    <w:rsid w:val="006F6F3A"/>
    <w:rsid w:val="00701053"/>
    <w:rsid w:val="00701507"/>
    <w:rsid w:val="00714021"/>
    <w:rsid w:val="00716A0F"/>
    <w:rsid w:val="00717D45"/>
    <w:rsid w:val="007208F7"/>
    <w:rsid w:val="007218AF"/>
    <w:rsid w:val="0072250E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920"/>
    <w:rsid w:val="00785CDD"/>
    <w:rsid w:val="00791847"/>
    <w:rsid w:val="007925F0"/>
    <w:rsid w:val="007939B3"/>
    <w:rsid w:val="0079509C"/>
    <w:rsid w:val="00796708"/>
    <w:rsid w:val="007B1B42"/>
    <w:rsid w:val="007C30EB"/>
    <w:rsid w:val="007C33E0"/>
    <w:rsid w:val="007C6458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147"/>
    <w:rsid w:val="00807AC6"/>
    <w:rsid w:val="00810C6D"/>
    <w:rsid w:val="00812887"/>
    <w:rsid w:val="008207C3"/>
    <w:rsid w:val="00826F21"/>
    <w:rsid w:val="00826FD0"/>
    <w:rsid w:val="00834CC8"/>
    <w:rsid w:val="00835E00"/>
    <w:rsid w:val="00836A20"/>
    <w:rsid w:val="00837113"/>
    <w:rsid w:val="008414E4"/>
    <w:rsid w:val="00843E21"/>
    <w:rsid w:val="0084508E"/>
    <w:rsid w:val="008561AD"/>
    <w:rsid w:val="00857A8A"/>
    <w:rsid w:val="008607F7"/>
    <w:rsid w:val="008630EE"/>
    <w:rsid w:val="00864D13"/>
    <w:rsid w:val="00871CD5"/>
    <w:rsid w:val="008745A2"/>
    <w:rsid w:val="008768A8"/>
    <w:rsid w:val="00886E8C"/>
    <w:rsid w:val="0088798F"/>
    <w:rsid w:val="00887E4B"/>
    <w:rsid w:val="008915C8"/>
    <w:rsid w:val="0089396D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0FB3"/>
    <w:rsid w:val="008F5DCD"/>
    <w:rsid w:val="00900951"/>
    <w:rsid w:val="009118A6"/>
    <w:rsid w:val="00916909"/>
    <w:rsid w:val="00916EC0"/>
    <w:rsid w:val="009201A8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5146"/>
    <w:rsid w:val="00946044"/>
    <w:rsid w:val="0094660B"/>
    <w:rsid w:val="00946A33"/>
    <w:rsid w:val="00950D9B"/>
    <w:rsid w:val="0095260E"/>
    <w:rsid w:val="009559A7"/>
    <w:rsid w:val="009578DD"/>
    <w:rsid w:val="00961124"/>
    <w:rsid w:val="009621B6"/>
    <w:rsid w:val="00974F2D"/>
    <w:rsid w:val="00977524"/>
    <w:rsid w:val="00977E88"/>
    <w:rsid w:val="00980483"/>
    <w:rsid w:val="00984920"/>
    <w:rsid w:val="0099303A"/>
    <w:rsid w:val="009941B2"/>
    <w:rsid w:val="009971C2"/>
    <w:rsid w:val="009A1254"/>
    <w:rsid w:val="009A5502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A32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1AE"/>
    <w:rsid w:val="00A16D91"/>
    <w:rsid w:val="00A174CC"/>
    <w:rsid w:val="00A2073D"/>
    <w:rsid w:val="00A20751"/>
    <w:rsid w:val="00A21117"/>
    <w:rsid w:val="00A27E2D"/>
    <w:rsid w:val="00A31D99"/>
    <w:rsid w:val="00A357BA"/>
    <w:rsid w:val="00A35ADC"/>
    <w:rsid w:val="00A402A3"/>
    <w:rsid w:val="00A41FD1"/>
    <w:rsid w:val="00A459C3"/>
    <w:rsid w:val="00A53681"/>
    <w:rsid w:val="00A633D4"/>
    <w:rsid w:val="00A6461A"/>
    <w:rsid w:val="00A820AF"/>
    <w:rsid w:val="00A83C84"/>
    <w:rsid w:val="00A84504"/>
    <w:rsid w:val="00A8653F"/>
    <w:rsid w:val="00A8672F"/>
    <w:rsid w:val="00A93057"/>
    <w:rsid w:val="00A968B0"/>
    <w:rsid w:val="00AA618B"/>
    <w:rsid w:val="00AB2672"/>
    <w:rsid w:val="00AB2817"/>
    <w:rsid w:val="00AB43C4"/>
    <w:rsid w:val="00AB6B6E"/>
    <w:rsid w:val="00AC32E7"/>
    <w:rsid w:val="00AC3A9F"/>
    <w:rsid w:val="00AC6D2F"/>
    <w:rsid w:val="00AC7599"/>
    <w:rsid w:val="00AE2745"/>
    <w:rsid w:val="00AE2F64"/>
    <w:rsid w:val="00AF24BA"/>
    <w:rsid w:val="00AF2E49"/>
    <w:rsid w:val="00AF42CB"/>
    <w:rsid w:val="00AF483F"/>
    <w:rsid w:val="00AF5E07"/>
    <w:rsid w:val="00AF5F06"/>
    <w:rsid w:val="00B00A25"/>
    <w:rsid w:val="00B0584A"/>
    <w:rsid w:val="00B1422A"/>
    <w:rsid w:val="00B1765C"/>
    <w:rsid w:val="00B213C4"/>
    <w:rsid w:val="00B346F4"/>
    <w:rsid w:val="00B40C60"/>
    <w:rsid w:val="00B479A9"/>
    <w:rsid w:val="00B50D42"/>
    <w:rsid w:val="00B52EDF"/>
    <w:rsid w:val="00B578E1"/>
    <w:rsid w:val="00B66BBD"/>
    <w:rsid w:val="00B71188"/>
    <w:rsid w:val="00B7427A"/>
    <w:rsid w:val="00B76A41"/>
    <w:rsid w:val="00B81851"/>
    <w:rsid w:val="00B8443E"/>
    <w:rsid w:val="00B87D4C"/>
    <w:rsid w:val="00B93646"/>
    <w:rsid w:val="00BA0B38"/>
    <w:rsid w:val="00BA1DBB"/>
    <w:rsid w:val="00BA4510"/>
    <w:rsid w:val="00BA529A"/>
    <w:rsid w:val="00BB19CE"/>
    <w:rsid w:val="00BB612A"/>
    <w:rsid w:val="00BD499F"/>
    <w:rsid w:val="00BD56DE"/>
    <w:rsid w:val="00BE2D69"/>
    <w:rsid w:val="00BF2406"/>
    <w:rsid w:val="00C0106E"/>
    <w:rsid w:val="00C04B73"/>
    <w:rsid w:val="00C06E43"/>
    <w:rsid w:val="00C16315"/>
    <w:rsid w:val="00C3091E"/>
    <w:rsid w:val="00C342FE"/>
    <w:rsid w:val="00C40FF1"/>
    <w:rsid w:val="00C419E2"/>
    <w:rsid w:val="00C5020E"/>
    <w:rsid w:val="00C571F2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34A"/>
    <w:rsid w:val="00CB1CB1"/>
    <w:rsid w:val="00CB3214"/>
    <w:rsid w:val="00CB6BC1"/>
    <w:rsid w:val="00CB6CB8"/>
    <w:rsid w:val="00CC1A68"/>
    <w:rsid w:val="00CC2123"/>
    <w:rsid w:val="00CD2BFD"/>
    <w:rsid w:val="00CE0F6A"/>
    <w:rsid w:val="00CE5AD6"/>
    <w:rsid w:val="00CE617F"/>
    <w:rsid w:val="00CE78EF"/>
    <w:rsid w:val="00CF019E"/>
    <w:rsid w:val="00D017C4"/>
    <w:rsid w:val="00D048F7"/>
    <w:rsid w:val="00D0517E"/>
    <w:rsid w:val="00D140FC"/>
    <w:rsid w:val="00D17543"/>
    <w:rsid w:val="00D21D8C"/>
    <w:rsid w:val="00D31357"/>
    <w:rsid w:val="00D33220"/>
    <w:rsid w:val="00D334D1"/>
    <w:rsid w:val="00D43582"/>
    <w:rsid w:val="00D44C89"/>
    <w:rsid w:val="00D516CD"/>
    <w:rsid w:val="00D557F8"/>
    <w:rsid w:val="00D66070"/>
    <w:rsid w:val="00D668E6"/>
    <w:rsid w:val="00D66A68"/>
    <w:rsid w:val="00D70670"/>
    <w:rsid w:val="00D70ED2"/>
    <w:rsid w:val="00D74D80"/>
    <w:rsid w:val="00D76624"/>
    <w:rsid w:val="00D84BEF"/>
    <w:rsid w:val="00D87570"/>
    <w:rsid w:val="00D91CB9"/>
    <w:rsid w:val="00D97989"/>
    <w:rsid w:val="00D97D8D"/>
    <w:rsid w:val="00DA016D"/>
    <w:rsid w:val="00DA352E"/>
    <w:rsid w:val="00DB1847"/>
    <w:rsid w:val="00DB7E83"/>
    <w:rsid w:val="00DC7694"/>
    <w:rsid w:val="00DD1BF6"/>
    <w:rsid w:val="00DD2F9B"/>
    <w:rsid w:val="00DE2513"/>
    <w:rsid w:val="00DE26E8"/>
    <w:rsid w:val="00DF1C74"/>
    <w:rsid w:val="00DF6F36"/>
    <w:rsid w:val="00DF7D07"/>
    <w:rsid w:val="00E0084C"/>
    <w:rsid w:val="00E025AB"/>
    <w:rsid w:val="00E02B23"/>
    <w:rsid w:val="00E06F40"/>
    <w:rsid w:val="00E07C01"/>
    <w:rsid w:val="00E07CE8"/>
    <w:rsid w:val="00E17CE2"/>
    <w:rsid w:val="00E26A07"/>
    <w:rsid w:val="00E26A3A"/>
    <w:rsid w:val="00E32595"/>
    <w:rsid w:val="00E37CFD"/>
    <w:rsid w:val="00E41A26"/>
    <w:rsid w:val="00E46BCB"/>
    <w:rsid w:val="00E51CAF"/>
    <w:rsid w:val="00E53494"/>
    <w:rsid w:val="00E60F04"/>
    <w:rsid w:val="00E62AAC"/>
    <w:rsid w:val="00E67C2F"/>
    <w:rsid w:val="00E67EF5"/>
    <w:rsid w:val="00E705C2"/>
    <w:rsid w:val="00E75C8D"/>
    <w:rsid w:val="00E804EA"/>
    <w:rsid w:val="00E80A71"/>
    <w:rsid w:val="00E82337"/>
    <w:rsid w:val="00E92499"/>
    <w:rsid w:val="00E949AF"/>
    <w:rsid w:val="00E96077"/>
    <w:rsid w:val="00E96B93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5C5D"/>
    <w:rsid w:val="00EF7F78"/>
    <w:rsid w:val="00F01B08"/>
    <w:rsid w:val="00F01C4D"/>
    <w:rsid w:val="00F03BF1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7707"/>
    <w:rsid w:val="00F87D92"/>
    <w:rsid w:val="00F904A9"/>
    <w:rsid w:val="00F90AA7"/>
    <w:rsid w:val="00F92498"/>
    <w:rsid w:val="00F9496B"/>
    <w:rsid w:val="00F95D02"/>
    <w:rsid w:val="00F970C9"/>
    <w:rsid w:val="00FA06A8"/>
    <w:rsid w:val="00FA3DF5"/>
    <w:rsid w:val="00FA6C24"/>
    <w:rsid w:val="00FA741F"/>
    <w:rsid w:val="00FB4E07"/>
    <w:rsid w:val="00FB755A"/>
    <w:rsid w:val="00FC2715"/>
    <w:rsid w:val="00FC60A2"/>
    <w:rsid w:val="00FD1871"/>
    <w:rsid w:val="00FD3110"/>
    <w:rsid w:val="00FD5515"/>
    <w:rsid w:val="00FF599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ED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70ED2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6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B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B5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B5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64D3C44D7D3422EACFE869790C49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D22AB-A88C-4127-8A47-4B914A376D88}"/>
      </w:docPartPr>
      <w:docPartBody>
        <w:p w:rsidR="00A96712" w:rsidRDefault="00AF4646" w:rsidP="00AF4646">
          <w:pPr>
            <w:pStyle w:val="064D3C44D7D3422EACFE869790C49D2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99AA673D2704B659F3A015E1CD1F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9F98A-86C0-41C0-B23D-78D29C3A9516}"/>
      </w:docPartPr>
      <w:docPartBody>
        <w:p w:rsidR="00A96712" w:rsidRDefault="00AF4646" w:rsidP="00AF4646">
          <w:pPr>
            <w:pStyle w:val="099AA673D2704B659F3A015E1CD1F7F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5DA2FD273DE47E791CD3AE541001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03E6D-A232-4D1F-8038-18B1B28543C6}"/>
      </w:docPartPr>
      <w:docPartBody>
        <w:p w:rsidR="00A96712" w:rsidRDefault="00AF4646" w:rsidP="00AF4646">
          <w:pPr>
            <w:pStyle w:val="C5DA2FD273DE47E791CD3AE54100110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007377B0968426D9DCE9E87297F2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80AF4-DB42-4C8E-B892-0A19339D4193}"/>
      </w:docPartPr>
      <w:docPartBody>
        <w:p w:rsidR="00A96712" w:rsidRDefault="00AF4646" w:rsidP="00AF4646">
          <w:pPr>
            <w:pStyle w:val="1007377B0968426D9DCE9E87297F289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086BCE2D69244198331177E324B1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286F4-18DC-4B83-AE18-1547B7607E1F}"/>
      </w:docPartPr>
      <w:docPartBody>
        <w:p w:rsidR="00A96712" w:rsidRDefault="00AF4646" w:rsidP="00AF4646">
          <w:pPr>
            <w:pStyle w:val="D086BCE2D69244198331177E324B187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AC4AA7890D74B16BB1D39CE02E2A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147EF-0C15-49FA-8815-7B13871F80CC}"/>
      </w:docPartPr>
      <w:docPartBody>
        <w:p w:rsidR="00A96712" w:rsidRDefault="00AF4646" w:rsidP="00AF4646">
          <w:pPr>
            <w:pStyle w:val="0AC4AA7890D74B16BB1D39CE02E2AF0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CB4C4C64EE24AD8B9347C569A1AA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8D586-0593-4BC6-A985-77D1A1A1D270}"/>
      </w:docPartPr>
      <w:docPartBody>
        <w:p w:rsidR="00A96712" w:rsidRDefault="00AF4646" w:rsidP="00AF4646">
          <w:pPr>
            <w:pStyle w:val="9CB4C4C64EE24AD8B9347C569A1AA32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34E5D42807D4C27AC4DD5876F665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6A043-6613-45B9-BC09-CA1DAED0EC5B}"/>
      </w:docPartPr>
      <w:docPartBody>
        <w:p w:rsidR="00A96712" w:rsidRDefault="00AF4646" w:rsidP="00AF4646">
          <w:pPr>
            <w:pStyle w:val="034E5D42807D4C27AC4DD5876F665CD3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C2211"/>
    <w:rsid w:val="00386461"/>
    <w:rsid w:val="00840D26"/>
    <w:rsid w:val="00875574"/>
    <w:rsid w:val="009201A8"/>
    <w:rsid w:val="00A96712"/>
    <w:rsid w:val="00AF4646"/>
    <w:rsid w:val="00C013D8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0D2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64D3C44D7D3422EACFE869790C49D27">
    <w:name w:val="064D3C44D7D3422EACFE869790C49D27"/>
    <w:rsid w:val="00AF4646"/>
  </w:style>
  <w:style w:type="paragraph" w:customStyle="1" w:styleId="099AA673D2704B659F3A015E1CD1F7F2">
    <w:name w:val="099AA673D2704B659F3A015E1CD1F7F2"/>
    <w:rsid w:val="00AF4646"/>
  </w:style>
  <w:style w:type="paragraph" w:customStyle="1" w:styleId="C5DA2FD273DE47E791CD3AE541001107">
    <w:name w:val="C5DA2FD273DE47E791CD3AE541001107"/>
    <w:rsid w:val="00AF4646"/>
  </w:style>
  <w:style w:type="paragraph" w:customStyle="1" w:styleId="1007377B0968426D9DCE9E87297F289A">
    <w:name w:val="1007377B0968426D9DCE9E87297F289A"/>
    <w:rsid w:val="00AF4646"/>
  </w:style>
  <w:style w:type="paragraph" w:customStyle="1" w:styleId="D086BCE2D69244198331177E324B187E">
    <w:name w:val="D086BCE2D69244198331177E324B187E"/>
    <w:rsid w:val="00AF4646"/>
  </w:style>
  <w:style w:type="paragraph" w:customStyle="1" w:styleId="0AC4AA7890D74B16BB1D39CE02E2AF06">
    <w:name w:val="0AC4AA7890D74B16BB1D39CE02E2AF06"/>
    <w:rsid w:val="00AF4646"/>
  </w:style>
  <w:style w:type="paragraph" w:customStyle="1" w:styleId="9CB4C4C64EE24AD8B9347C569A1AA320">
    <w:name w:val="9CB4C4C64EE24AD8B9347C569A1AA320"/>
    <w:rsid w:val="00AF4646"/>
  </w:style>
  <w:style w:type="paragraph" w:customStyle="1" w:styleId="034E5D42807D4C27AC4DD5876F665CD3">
    <w:name w:val="034E5D42807D4C27AC4DD5876F665CD3"/>
    <w:rsid w:val="00AF46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C26784-3B4F-4659-A287-2EA63A48D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031A5E-AB83-48CC-B351-2CE0D4634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A69DE-2E77-4453-A346-D8C4D7E62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C378C-0160-4D51-9735-B6FBDBA3D7C4}">
  <ds:schemaRefs>
    <ds:schemaRef ds:uri="http://purl.org/dc/dcmitype/"/>
    <ds:schemaRef ds:uri="a0509f21-ed56-4150-9955-96be669e5f2d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2019-09-10T02:03:00Z</dcterms:created>
  <dcterms:modified xsi:type="dcterms:W3CDTF">2026-01-09T00:19:00Z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2025-12-18T06:12:05Z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1d04a0a6-44af-4b69-9626-72398234287b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