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76B1DB71" w14:textId="77777777" w:rsidR="00BD499F" w:rsidRPr="004C23F4" w:rsidRDefault="00DD23F1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p-tert-butyltoluene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4"/>
        <w:gridCol w:w="5042"/>
      </w:tblGrid>
      <w:tr w:rsidR="00F43AD5" w:rsidRPr="004C23F4" w14:paraId="6594B1A2" w14:textId="77777777" w:rsidTr="00B76A41">
        <w:trPr>
          <w:cantSplit/>
          <w:tblHeader/>
        </w:trPr>
        <w:tc>
          <w:tcPr>
            <w:tcW w:w="4077" w:type="dxa"/>
          </w:tcPr>
          <w:p w14:paraId="203C7D95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4BAA7699" w14:textId="77777777" w:rsidR="00F43AD5" w:rsidRPr="00717D45" w:rsidRDefault="00DD23F1" w:rsidP="00B76A41">
            <w:pPr>
              <w:pStyle w:val="Tablefont"/>
            </w:pPr>
            <w:r>
              <w:t>98-51-1</w:t>
            </w:r>
          </w:p>
        </w:tc>
      </w:tr>
      <w:tr w:rsidR="00F43AD5" w:rsidRPr="004C23F4" w14:paraId="74EBE7C2" w14:textId="77777777" w:rsidTr="00B76A41">
        <w:trPr>
          <w:cantSplit/>
        </w:trPr>
        <w:tc>
          <w:tcPr>
            <w:tcW w:w="4077" w:type="dxa"/>
          </w:tcPr>
          <w:p w14:paraId="146F7CD4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141496DA" w14:textId="67BF14E9" w:rsidR="00F43AD5" w:rsidRPr="00717D45" w:rsidRDefault="00DD23F1" w:rsidP="00B76A41">
            <w:pPr>
              <w:pStyle w:val="Tablefont"/>
            </w:pPr>
            <w:r>
              <w:t xml:space="preserve">4-t-butyltoluene, 1-methyl-4-tret-butylbenzene, </w:t>
            </w:r>
            <w:r w:rsidR="00F5360C">
              <w:br/>
            </w:r>
            <w:r>
              <w:t>p-methyl</w:t>
            </w:r>
            <w:r w:rsidR="00B113AE">
              <w:t>-tert-butylbenzene, p-TBT, TBT</w:t>
            </w:r>
          </w:p>
        </w:tc>
      </w:tr>
      <w:tr w:rsidR="00F43AD5" w:rsidRPr="004C23F4" w14:paraId="3D1708B6" w14:textId="77777777" w:rsidTr="00B76A41">
        <w:trPr>
          <w:cantSplit/>
        </w:trPr>
        <w:tc>
          <w:tcPr>
            <w:tcW w:w="4077" w:type="dxa"/>
          </w:tcPr>
          <w:p w14:paraId="1926F105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05F903E4" w14:textId="77777777" w:rsidR="00F43AD5" w:rsidRPr="00717D45" w:rsidRDefault="00305B16" w:rsidP="00B76A41">
            <w:pPr>
              <w:pStyle w:val="Tablefont"/>
            </w:pPr>
            <w:r>
              <w:t>C</w:t>
            </w:r>
            <w:r w:rsidRPr="00305B16">
              <w:rPr>
                <w:vertAlign w:val="subscript"/>
              </w:rPr>
              <w:t>11</w:t>
            </w:r>
            <w:r>
              <w:t>H</w:t>
            </w:r>
            <w:r w:rsidRPr="00305B16">
              <w:rPr>
                <w:vertAlign w:val="subscript"/>
              </w:rPr>
              <w:t>16</w:t>
            </w:r>
          </w:p>
        </w:tc>
      </w:tr>
      <w:tr w:rsidR="00F43AD5" w:rsidRPr="004C23F4" w14:paraId="24C41AA4" w14:textId="77777777" w:rsidTr="00B76A41">
        <w:trPr>
          <w:cantSplit/>
        </w:trPr>
        <w:tc>
          <w:tcPr>
            <w:tcW w:w="4077" w:type="dxa"/>
          </w:tcPr>
          <w:p w14:paraId="37B60183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5C64DECC" w14:textId="3439A2BD" w:rsidR="00F43AD5" w:rsidRPr="00B40C60" w:rsidRDefault="00F43AD5" w:rsidP="00B76A41">
            <w:pPr>
              <w:pStyle w:val="Tablerowheading"/>
              <w:rPr>
                <w:b w:val="0"/>
              </w:rPr>
            </w:pPr>
          </w:p>
        </w:tc>
      </w:tr>
    </w:tbl>
    <w:p w14:paraId="123ED9F3" w14:textId="54E6623C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E632F3">
            <w:rPr>
              <w:rStyle w:val="WESstatus"/>
            </w:rPr>
            <w:t>(interim)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6"/>
        <w:gridCol w:w="5020"/>
      </w:tblGrid>
      <w:tr w:rsidR="002C7AFE" w:rsidRPr="004C23F4" w14:paraId="086151E4" w14:textId="77777777" w:rsidTr="00C26EF2">
        <w:trPr>
          <w:cantSplit/>
          <w:tblHeader/>
        </w:trPr>
        <w:tc>
          <w:tcPr>
            <w:tcW w:w="4006" w:type="dxa"/>
            <w:vAlign w:val="center"/>
          </w:tcPr>
          <w:p w14:paraId="103C06FD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0" w:type="dxa"/>
          </w:tcPr>
          <w:p w14:paraId="69E4C4DD" w14:textId="0B06BF63" w:rsidR="002C7AFE" w:rsidRPr="00EB3D1B" w:rsidRDefault="00CB0AA8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1</w:t>
            </w:r>
            <w:r w:rsidR="003557D4">
              <w:rPr>
                <w:b/>
              </w:rPr>
              <w:t xml:space="preserve"> </w:t>
            </w:r>
            <w:r>
              <w:rPr>
                <w:b/>
              </w:rPr>
              <w:t>ppm</w:t>
            </w:r>
            <w:r w:rsidR="006509A2">
              <w:rPr>
                <w:b/>
              </w:rPr>
              <w:t xml:space="preserve"> (6.1 mg/m</w:t>
            </w:r>
            <w:r w:rsidR="006509A2" w:rsidRPr="00F5360C">
              <w:rPr>
                <w:b/>
                <w:vertAlign w:val="superscript"/>
              </w:rPr>
              <w:t>3</w:t>
            </w:r>
            <w:r w:rsidR="006509A2">
              <w:rPr>
                <w:b/>
              </w:rPr>
              <w:t>)</w:t>
            </w:r>
          </w:p>
        </w:tc>
      </w:tr>
      <w:tr w:rsidR="002C7AFE" w:rsidRPr="004C23F4" w14:paraId="4729FE6B" w14:textId="77777777" w:rsidTr="00C26EF2">
        <w:trPr>
          <w:cantSplit/>
        </w:trPr>
        <w:tc>
          <w:tcPr>
            <w:tcW w:w="4006" w:type="dxa"/>
            <w:vAlign w:val="center"/>
          </w:tcPr>
          <w:p w14:paraId="188F581F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0" w:type="dxa"/>
          </w:tcPr>
          <w:p w14:paraId="4E344AE4" w14:textId="77777777" w:rsidR="002C7AFE" w:rsidRPr="00EB3D1B" w:rsidRDefault="00820125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2EA4A538" w14:textId="77777777" w:rsidTr="00C26EF2">
        <w:trPr>
          <w:cantSplit/>
        </w:trPr>
        <w:tc>
          <w:tcPr>
            <w:tcW w:w="4006" w:type="dxa"/>
            <w:vAlign w:val="center"/>
          </w:tcPr>
          <w:p w14:paraId="311236CC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0" w:type="dxa"/>
          </w:tcPr>
          <w:p w14:paraId="22CD077A" w14:textId="77777777" w:rsidR="002C7AFE" w:rsidRPr="00EB3D1B" w:rsidRDefault="00820125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2DDE6FFC" w14:textId="77777777" w:rsidTr="00C26EF2">
        <w:trPr>
          <w:cantSplit/>
        </w:trPr>
        <w:tc>
          <w:tcPr>
            <w:tcW w:w="4006" w:type="dxa"/>
          </w:tcPr>
          <w:p w14:paraId="7D631D46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0" w:type="dxa"/>
          </w:tcPr>
          <w:p w14:paraId="5E66EEA7" w14:textId="77777777" w:rsidR="002C7AFE" w:rsidRPr="00EB3D1B" w:rsidRDefault="00820125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359B0115" w14:textId="77777777" w:rsidTr="00C26EF2">
        <w:trPr>
          <w:cantSplit/>
        </w:trPr>
        <w:tc>
          <w:tcPr>
            <w:tcW w:w="4006" w:type="dxa"/>
            <w:vAlign w:val="center"/>
          </w:tcPr>
          <w:p w14:paraId="497ADEED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20" w:type="dxa"/>
          </w:tcPr>
          <w:p w14:paraId="09C715C6" w14:textId="7F22B36F" w:rsidR="002C7AFE" w:rsidRPr="00EB3D1B" w:rsidRDefault="00C220E9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9F04D2" w:rsidRPr="004C23F4" w14:paraId="4DEC4F75" w14:textId="77777777" w:rsidTr="00386FC7">
        <w:trPr>
          <w:cantSplit/>
        </w:trPr>
        <w:tc>
          <w:tcPr>
            <w:tcW w:w="4006" w:type="dxa"/>
          </w:tcPr>
          <w:p w14:paraId="1685464B" w14:textId="77777777" w:rsidR="009F04D2" w:rsidRDefault="009F04D2" w:rsidP="00386FC7">
            <w:pPr>
              <w:pStyle w:val="Tablerowright"/>
            </w:pPr>
            <w:r>
              <w:t>Sampling and analysis:</w:t>
            </w:r>
          </w:p>
        </w:tc>
        <w:tc>
          <w:tcPr>
            <w:tcW w:w="5020" w:type="dxa"/>
          </w:tcPr>
          <w:p w14:paraId="11E65F8D" w14:textId="6DD382DB" w:rsidR="009F04D2" w:rsidRPr="00386FC7" w:rsidRDefault="00386FC7" w:rsidP="00386FC7">
            <w:pPr>
              <w:spacing w:after="0"/>
              <w:rPr>
                <w:rFonts w:cs="Arial"/>
                <w:color w:val="000000"/>
                <w:sz w:val="22"/>
              </w:rPr>
            </w:pPr>
            <w:r w:rsidRPr="00386FC7">
              <w:rPr>
                <w:rFonts w:cs="Arial"/>
                <w:color w:val="000000"/>
              </w:rPr>
              <w:t xml:space="preserve">The recommended value is readily quantifiable through currently available sampling and analysis techniques. </w:t>
            </w:r>
          </w:p>
        </w:tc>
      </w:tr>
    </w:tbl>
    <w:p w14:paraId="6C3A68E2" w14:textId="77777777" w:rsidR="00C26EF2" w:rsidRPr="003365A5" w:rsidRDefault="00C26EF2" w:rsidP="00C26EF2">
      <w:pPr>
        <w:pStyle w:val="Heading2"/>
      </w:pPr>
      <w:r>
        <w:t>Recommendation and basis for workplace exposure standard</w:t>
      </w:r>
    </w:p>
    <w:p w14:paraId="17D68C75" w14:textId="1E04D28C" w:rsidR="00C26EF2" w:rsidRPr="003132D4" w:rsidRDefault="00C26EF2" w:rsidP="003132D4">
      <w:r w:rsidRPr="003132D4">
        <w:t>A</w:t>
      </w:r>
      <w:r w:rsidR="00DB2DFF">
        <w:t>n interim</w:t>
      </w:r>
      <w:r w:rsidRPr="003132D4">
        <w:t xml:space="preserve"> TWA of </w:t>
      </w:r>
      <w:r w:rsidR="00666D92" w:rsidRPr="003132D4">
        <w:t>1</w:t>
      </w:r>
      <w:r w:rsidRPr="003132D4">
        <w:t xml:space="preserve"> ppm (</w:t>
      </w:r>
      <w:r w:rsidR="00666D92" w:rsidRPr="003132D4">
        <w:t>6.1</w:t>
      </w:r>
      <w:r w:rsidRPr="003132D4">
        <w:t xml:space="preserve"> mg/m</w:t>
      </w:r>
      <w:r w:rsidRPr="003132D4">
        <w:rPr>
          <w:vertAlign w:val="superscript"/>
        </w:rPr>
        <w:t>3</w:t>
      </w:r>
      <w:r w:rsidRPr="003132D4">
        <w:t xml:space="preserve">) </w:t>
      </w:r>
      <w:r w:rsidR="003132D4" w:rsidRPr="003132D4">
        <w:t>is</w:t>
      </w:r>
      <w:r w:rsidRPr="003132D4">
        <w:t xml:space="preserve"> recommended to protect for</w:t>
      </w:r>
      <w:r w:rsidR="003132D4" w:rsidRPr="003132D4">
        <w:t xml:space="preserve"> </w:t>
      </w:r>
      <w:r w:rsidR="00DB2DFF">
        <w:t xml:space="preserve">eye </w:t>
      </w:r>
      <w:r w:rsidR="003132D4" w:rsidRPr="003132D4">
        <w:t>and respiratory tract</w:t>
      </w:r>
      <w:r w:rsidRPr="003132D4">
        <w:t xml:space="preserve"> </w:t>
      </w:r>
      <w:r w:rsidR="003132D4" w:rsidRPr="003132D4">
        <w:t>irritation</w:t>
      </w:r>
      <w:r w:rsidRPr="003132D4">
        <w:t xml:space="preserve"> </w:t>
      </w:r>
      <w:r w:rsidR="006B32DA">
        <w:t>and</w:t>
      </w:r>
      <w:r w:rsidR="00DB2DFF">
        <w:t xml:space="preserve"> cardiovascular and haematologic disturbances</w:t>
      </w:r>
      <w:r w:rsidR="00DB2DFF" w:rsidRPr="003132D4">
        <w:t xml:space="preserve"> </w:t>
      </w:r>
      <w:r w:rsidRPr="003132D4">
        <w:t xml:space="preserve">in exposed workers. </w:t>
      </w:r>
      <w:r w:rsidR="00CA0DF8">
        <w:t>T</w:t>
      </w:r>
      <w:r w:rsidR="000922EE">
        <w:t>he TWA is considered</w:t>
      </w:r>
      <w:r w:rsidR="00DB2DFF">
        <w:t xml:space="preserve"> sufficiently</w:t>
      </w:r>
      <w:r w:rsidR="000922EE">
        <w:t xml:space="preserve"> protective of acute </w:t>
      </w:r>
      <w:proofErr w:type="gramStart"/>
      <w:r w:rsidR="000922EE">
        <w:t>exposures</w:t>
      </w:r>
      <w:proofErr w:type="gramEnd"/>
      <w:r w:rsidR="00CA0DF8">
        <w:t xml:space="preserve"> and it is recommended that the current STEL be </w:t>
      </w:r>
      <w:r w:rsidR="006B32DA">
        <w:t>withdrawn</w:t>
      </w:r>
      <w:r w:rsidR="00CA0DF8">
        <w:t>.</w:t>
      </w:r>
    </w:p>
    <w:p w14:paraId="27443664" w14:textId="65A2D896" w:rsidR="00C26EF2" w:rsidRPr="00D25799" w:rsidRDefault="00CA0DF8" w:rsidP="003132D4">
      <w:pPr>
        <w:rPr>
          <w:rFonts w:cs="Arial"/>
        </w:rPr>
      </w:pPr>
      <w:r>
        <w:rPr>
          <w:rFonts w:cs="Arial"/>
        </w:rPr>
        <w:t>Given the limited data available from the primary sources, it is recommended that a review of additional sources be conducted at the next scheduled review.</w:t>
      </w:r>
    </w:p>
    <w:p w14:paraId="7EE759A4" w14:textId="77777777" w:rsidR="00C26EF2" w:rsidRPr="004C23F4" w:rsidRDefault="00C26EF2" w:rsidP="00C26EF2">
      <w:pPr>
        <w:pStyle w:val="Heading2"/>
      </w:pPr>
      <w:r>
        <w:t>Discussion and conclusions</w:t>
      </w:r>
    </w:p>
    <w:p w14:paraId="7C6E09F9" w14:textId="1554CFEA" w:rsidR="00A009C1" w:rsidRDefault="000922EE" w:rsidP="00C26EF2">
      <w:pPr>
        <w:rPr>
          <w:rFonts w:cs="Arial"/>
        </w:rPr>
      </w:pPr>
      <w:r>
        <w:rPr>
          <w:rFonts w:cs="Arial"/>
        </w:rPr>
        <w:t>p</w:t>
      </w:r>
      <w:r w:rsidR="00F5360C">
        <w:rPr>
          <w:rFonts w:cs="Arial"/>
        </w:rPr>
        <w:t>-tert-</w:t>
      </w:r>
      <w:proofErr w:type="spellStart"/>
      <w:r>
        <w:rPr>
          <w:rFonts w:cs="Arial"/>
        </w:rPr>
        <w:t>B</w:t>
      </w:r>
      <w:r w:rsidR="00F5360C">
        <w:rPr>
          <w:rFonts w:cs="Arial"/>
        </w:rPr>
        <w:t>utyltoluene</w:t>
      </w:r>
      <w:proofErr w:type="spellEnd"/>
      <w:r w:rsidR="00F5360C">
        <w:rPr>
          <w:rFonts w:cs="Arial"/>
        </w:rPr>
        <w:t xml:space="preserve"> is u</w:t>
      </w:r>
      <w:r w:rsidR="00A009C1" w:rsidRPr="008F50A2">
        <w:rPr>
          <w:rFonts w:cs="Arial"/>
        </w:rPr>
        <w:t xml:space="preserve">sed as an </w:t>
      </w:r>
      <w:r w:rsidR="00A009C1">
        <w:rPr>
          <w:rFonts w:cs="Arial"/>
        </w:rPr>
        <w:t xml:space="preserve">intermediate </w:t>
      </w:r>
      <w:r w:rsidR="00D25799">
        <w:rPr>
          <w:rFonts w:cs="Arial"/>
        </w:rPr>
        <w:t>in</w:t>
      </w:r>
      <w:r w:rsidR="00A009C1">
        <w:rPr>
          <w:rFonts w:cs="Arial"/>
        </w:rPr>
        <w:t xml:space="preserve"> the production of tert-butyl benzoic acid which is ultimately used in the manufacturing of unsaturated polyesters and other products.</w:t>
      </w:r>
    </w:p>
    <w:p w14:paraId="2669DA3A" w14:textId="099A0495" w:rsidR="006B32DA" w:rsidRDefault="00C26EF2" w:rsidP="00D00DD6">
      <w:pPr>
        <w:rPr>
          <w:rFonts w:cs="Arial"/>
        </w:rPr>
      </w:pPr>
      <w:r>
        <w:rPr>
          <w:rFonts w:cs="Arial"/>
        </w:rPr>
        <w:t xml:space="preserve">Based on the available data, the critical effects of </w:t>
      </w:r>
      <w:r w:rsidR="006B32DA">
        <w:rPr>
          <w:rFonts w:cs="Arial"/>
        </w:rPr>
        <w:t xml:space="preserve">acute </w:t>
      </w:r>
      <w:r>
        <w:rPr>
          <w:rFonts w:cs="Arial"/>
        </w:rPr>
        <w:t xml:space="preserve">exposure are </w:t>
      </w:r>
      <w:r w:rsidR="00D25799">
        <w:rPr>
          <w:rFonts w:cs="Arial"/>
        </w:rPr>
        <w:t>depression of the central nervous s</w:t>
      </w:r>
      <w:r w:rsidR="00666D92">
        <w:rPr>
          <w:rFonts w:cs="Arial"/>
        </w:rPr>
        <w:t xml:space="preserve">ystem, nausea, headache </w:t>
      </w:r>
      <w:r w:rsidR="00475A0F">
        <w:rPr>
          <w:rFonts w:cs="Arial"/>
        </w:rPr>
        <w:t xml:space="preserve">and </w:t>
      </w:r>
      <w:r w:rsidR="00666D92">
        <w:rPr>
          <w:rFonts w:cs="Arial"/>
        </w:rPr>
        <w:t>weakness</w:t>
      </w:r>
      <w:r w:rsidR="006B32DA">
        <w:rPr>
          <w:rFonts w:cs="Arial"/>
        </w:rPr>
        <w:t>, with critical effects of chronic exposure reported to be cardiovascular and haematologic disturbances</w:t>
      </w:r>
      <w:r w:rsidR="00475A0F">
        <w:rPr>
          <w:rFonts w:cs="Arial"/>
        </w:rPr>
        <w:t>.</w:t>
      </w:r>
      <w:r>
        <w:rPr>
          <w:rFonts w:cs="Arial"/>
        </w:rPr>
        <w:t xml:space="preserve"> </w:t>
      </w:r>
      <w:r w:rsidR="005D3740">
        <w:rPr>
          <w:rFonts w:cs="Arial"/>
        </w:rPr>
        <w:t xml:space="preserve">Data from </w:t>
      </w:r>
      <w:r w:rsidR="006B32DA">
        <w:rPr>
          <w:rFonts w:cs="Arial"/>
        </w:rPr>
        <w:t xml:space="preserve">acute </w:t>
      </w:r>
      <w:r w:rsidR="005D3740">
        <w:rPr>
          <w:rFonts w:cs="Arial"/>
        </w:rPr>
        <w:t>human and animal studies indicate that p-tert-</w:t>
      </w:r>
      <w:proofErr w:type="spellStart"/>
      <w:r w:rsidR="005D3740">
        <w:rPr>
          <w:rFonts w:cs="Arial"/>
        </w:rPr>
        <w:t>butyltoluene</w:t>
      </w:r>
      <w:proofErr w:type="spellEnd"/>
      <w:r w:rsidR="005D3740">
        <w:rPr>
          <w:rFonts w:cs="Arial"/>
        </w:rPr>
        <w:t xml:space="preserve"> is an ocular and respiratory tract irritant (ACGIH, 2018).</w:t>
      </w:r>
      <w:r w:rsidR="003867E7">
        <w:rPr>
          <w:rFonts w:cs="Arial"/>
        </w:rPr>
        <w:t xml:space="preserve"> </w:t>
      </w:r>
    </w:p>
    <w:p w14:paraId="0A7599C5" w14:textId="47B0B529" w:rsidR="00C26EF2" w:rsidRPr="00C56B39" w:rsidRDefault="003867E7" w:rsidP="00D00DD6">
      <w:r>
        <w:rPr>
          <w:rFonts w:cs="Arial"/>
        </w:rPr>
        <w:t>Controlled inhalation studies in humans</w:t>
      </w:r>
      <w:r w:rsidR="006B32DA">
        <w:rPr>
          <w:rFonts w:cs="Arial"/>
        </w:rPr>
        <w:t xml:space="preserve"> reported</w:t>
      </w:r>
      <w:r>
        <w:rPr>
          <w:rFonts w:cs="Arial"/>
        </w:rPr>
        <w:t xml:space="preserve"> a LOAEL </w:t>
      </w:r>
      <w:r w:rsidR="00BF1C4E">
        <w:rPr>
          <w:rFonts w:cs="Arial"/>
        </w:rPr>
        <w:t>of 10 ppm for eye and respiratory tract irritation following a</w:t>
      </w:r>
      <w:r>
        <w:rPr>
          <w:rFonts w:cs="Arial"/>
        </w:rPr>
        <w:t xml:space="preserve"> </w:t>
      </w:r>
      <w:r w:rsidR="003D5059">
        <w:rPr>
          <w:rFonts w:cs="Arial"/>
        </w:rPr>
        <w:t>three-minute</w:t>
      </w:r>
      <w:r w:rsidR="00BF1C4E">
        <w:rPr>
          <w:rFonts w:cs="Arial"/>
        </w:rPr>
        <w:t xml:space="preserve"> exposure</w:t>
      </w:r>
      <w:r w:rsidR="003D5059">
        <w:rPr>
          <w:rFonts w:cs="Arial"/>
        </w:rPr>
        <w:t xml:space="preserve"> (ACGIH, 2018)</w:t>
      </w:r>
      <w:r>
        <w:rPr>
          <w:rFonts w:cs="Arial"/>
        </w:rPr>
        <w:t xml:space="preserve">. </w:t>
      </w:r>
      <w:r w:rsidR="005D3740">
        <w:rPr>
          <w:rFonts w:cs="Arial"/>
        </w:rPr>
        <w:t>A</w:t>
      </w:r>
      <w:r w:rsidR="00C26EF2">
        <w:rPr>
          <w:rFonts w:cs="Arial"/>
        </w:rPr>
        <w:t xml:space="preserve"> TWA </w:t>
      </w:r>
      <w:r w:rsidR="005D3740">
        <w:rPr>
          <w:rFonts w:cs="Arial"/>
        </w:rPr>
        <w:t>of</w:t>
      </w:r>
      <w:r w:rsidR="00666D92">
        <w:rPr>
          <w:rFonts w:cs="Arial"/>
        </w:rPr>
        <w:t xml:space="preserve"> </w:t>
      </w:r>
      <w:r w:rsidR="005D3740">
        <w:rPr>
          <w:rFonts w:cs="Arial"/>
        </w:rPr>
        <w:t>1 </w:t>
      </w:r>
      <w:r w:rsidR="00666D92">
        <w:rPr>
          <w:rFonts w:cs="Arial"/>
        </w:rPr>
        <w:t xml:space="preserve">ppm </w:t>
      </w:r>
      <w:r w:rsidR="005D3740">
        <w:rPr>
          <w:rFonts w:cs="Arial"/>
        </w:rPr>
        <w:t xml:space="preserve">is </w:t>
      </w:r>
      <w:r>
        <w:rPr>
          <w:rFonts w:cs="Arial"/>
        </w:rPr>
        <w:t>considered protective of</w:t>
      </w:r>
      <w:r w:rsidR="005D3740">
        <w:rPr>
          <w:rFonts w:cs="Arial"/>
        </w:rPr>
        <w:t xml:space="preserve"> irritant effects</w:t>
      </w:r>
      <w:r w:rsidR="00464A4D">
        <w:rPr>
          <w:rFonts w:cs="Arial"/>
        </w:rPr>
        <w:t xml:space="preserve"> </w:t>
      </w:r>
      <w:r w:rsidR="006B32DA">
        <w:rPr>
          <w:rFonts w:cs="Arial"/>
        </w:rPr>
        <w:t>and</w:t>
      </w:r>
      <w:r w:rsidR="00464A4D">
        <w:rPr>
          <w:rFonts w:cs="Arial"/>
        </w:rPr>
        <w:t xml:space="preserve"> </w:t>
      </w:r>
      <w:r w:rsidR="00BF1C4E">
        <w:rPr>
          <w:rFonts w:cs="Arial"/>
        </w:rPr>
        <w:t>cardiovascular and hematologic disturbances.</w:t>
      </w:r>
      <w:r w:rsidR="00464A4D">
        <w:t xml:space="preserve"> </w:t>
      </w:r>
      <w:r w:rsidR="006B32DA">
        <w:t>The TWA is considered sufficiently low to protect for acute effects and a</w:t>
      </w:r>
      <w:r w:rsidR="00BF1C4E">
        <w:t xml:space="preserve"> STEL is not recommended</w:t>
      </w:r>
      <w:r w:rsidR="00464A4D">
        <w:t>.</w:t>
      </w:r>
    </w:p>
    <w:p w14:paraId="5C98DB27" w14:textId="77777777" w:rsidR="00C26EF2" w:rsidRPr="004C23F4" w:rsidRDefault="00C26EF2" w:rsidP="00C26EF2">
      <w:pPr>
        <w:pStyle w:val="Heading2"/>
      </w:pPr>
      <w:r>
        <w:t>Recommendation for notations</w:t>
      </w:r>
    </w:p>
    <w:p w14:paraId="2D43D561" w14:textId="4BE20A48" w:rsidR="00C26EF2" w:rsidRPr="00184DE8" w:rsidRDefault="00C26EF2" w:rsidP="00195B98">
      <w:pPr>
        <w:rPr>
          <w:rFonts w:cs="Arial"/>
        </w:rPr>
      </w:pPr>
      <w:r w:rsidRPr="00184DE8">
        <w:rPr>
          <w:rFonts w:cs="Arial"/>
        </w:rPr>
        <w:t>Not classified as a carcinogen according to the Globally Harmonized System of Classification and Labelling of Chemicals (GHS).</w:t>
      </w:r>
    </w:p>
    <w:p w14:paraId="1E5DAD4D" w14:textId="242DBA85" w:rsidR="00C26EF2" w:rsidRPr="00184DE8" w:rsidRDefault="00C26EF2" w:rsidP="00C26EF2">
      <w:pPr>
        <w:rPr>
          <w:rFonts w:cs="Arial"/>
        </w:rPr>
      </w:pPr>
      <w:r w:rsidRPr="00184DE8">
        <w:rPr>
          <w:rFonts w:cs="Arial"/>
        </w:rPr>
        <w:t>Not classified as a skin</w:t>
      </w:r>
      <w:r w:rsidR="006509A2">
        <w:rPr>
          <w:rFonts w:cs="Arial"/>
        </w:rPr>
        <w:t xml:space="preserve"> sensitiser</w:t>
      </w:r>
      <w:r w:rsidRPr="00184DE8">
        <w:rPr>
          <w:rFonts w:cs="Arial"/>
        </w:rPr>
        <w:t xml:space="preserve"> or respiratory sensitiser according to the GHS. </w:t>
      </w:r>
    </w:p>
    <w:p w14:paraId="79982F5A" w14:textId="12205868" w:rsidR="00B113AE" w:rsidRPr="004C23F4" w:rsidRDefault="006B32DA">
      <w:pPr>
        <w:rPr>
          <w:rFonts w:cs="Arial"/>
        </w:rPr>
        <w:sectPr w:rsidR="00B113AE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  <w:r>
        <w:rPr>
          <w:rFonts w:cs="Arial"/>
        </w:rPr>
        <w:lastRenderedPageBreak/>
        <w:t>There are insufficient data to recommend a</w:t>
      </w:r>
      <w:r w:rsidR="00C26EF2" w:rsidRPr="00184DE8">
        <w:rPr>
          <w:rFonts w:cs="Arial"/>
        </w:rPr>
        <w:t xml:space="preserve"> skin notation</w:t>
      </w:r>
      <w:r>
        <w:rPr>
          <w:rFonts w:cs="Arial"/>
        </w:rPr>
        <w:t>.</w:t>
      </w:r>
    </w:p>
    <w:p w14:paraId="241F5A3F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61D5E1E6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1CBB380F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65482B8A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38094A73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556252A4" w14:textId="0D37013C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452D88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452D88">
                  <w:t>TWA: 1</w:t>
                </w:r>
                <w:r w:rsidR="00396657">
                  <w:t>0</w:t>
                </w:r>
                <w:r w:rsidR="00452D88">
                  <w:t xml:space="preserve"> ppm (61 mg/m</w:t>
                </w:r>
                <w:r w:rsidR="00452D88" w:rsidRPr="00452D88">
                  <w:rPr>
                    <w:vertAlign w:val="superscript"/>
                  </w:rPr>
                  <w:t>3</w:t>
                </w:r>
                <w:r w:rsidR="00CB0AA8">
                  <w:t>)</w:t>
                </w:r>
                <w:r w:rsidR="00396657">
                  <w:t>, STEL: 20</w:t>
                </w:r>
                <w:r w:rsidR="006509A2">
                  <w:t xml:space="preserve"> </w:t>
                </w:r>
                <w:r w:rsidR="00396657">
                  <w:t>ppm (121 mg/m</w:t>
                </w:r>
                <w:r w:rsidR="00396657" w:rsidRPr="00452D88">
                  <w:rPr>
                    <w:vertAlign w:val="superscript"/>
                  </w:rPr>
                  <w:t>3</w:t>
                </w:r>
                <w:r w:rsidR="00396657">
                  <w:t>)</w:t>
                </w:r>
              </w:sdtContent>
            </w:sdt>
          </w:p>
        </w:tc>
      </w:tr>
      <w:tr w:rsidR="00227632" w:rsidRPr="003365A5" w14:paraId="24C61B5D" w14:textId="77777777" w:rsidTr="00227632">
        <w:trPr>
          <w:cantSplit/>
        </w:trPr>
        <w:tc>
          <w:tcPr>
            <w:tcW w:w="5000" w:type="pct"/>
            <w:gridSpan w:val="2"/>
          </w:tcPr>
          <w:p w14:paraId="611CB12E" w14:textId="77777777" w:rsidR="00227632" w:rsidRPr="003365A5" w:rsidRDefault="00227632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</w:p>
        </w:tc>
      </w:tr>
      <w:tr w:rsidR="00C978F0" w:rsidRPr="00DA352E" w14:paraId="539C49ED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88F7C32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906D39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216010">
                  <w:t>TLV-TWA: 1 ppm (6.1 mg/m</w:t>
                </w:r>
                <w:r w:rsidR="00216010" w:rsidRPr="00216010">
                  <w:rPr>
                    <w:vertAlign w:val="superscript"/>
                  </w:rPr>
                  <w:t>3</w:t>
                </w:r>
                <w:r w:rsidR="00216010">
                  <w:t>)</w:t>
                </w:r>
              </w:sdtContent>
            </w:sdt>
          </w:p>
        </w:tc>
      </w:tr>
      <w:tr w:rsidR="00C978F0" w:rsidRPr="00DA352E" w14:paraId="2B7ADCB6" w14:textId="77777777" w:rsidTr="00653136">
        <w:trPr>
          <w:gridAfter w:val="1"/>
          <w:wAfter w:w="8" w:type="pct"/>
          <w:cantSplit/>
        </w:trPr>
        <w:tc>
          <w:tcPr>
            <w:tcW w:w="4992" w:type="pct"/>
          </w:tcPr>
          <w:p w14:paraId="471EA15F" w14:textId="66DC489D" w:rsidR="00B925FD" w:rsidRDefault="00B925FD" w:rsidP="00B925FD">
            <w:pPr>
              <w:pStyle w:val="Tabletextprimarysource"/>
            </w:pPr>
            <w:r>
              <w:t>TLV-</w:t>
            </w:r>
            <w:r w:rsidR="00A009C1">
              <w:t xml:space="preserve">TWA </w:t>
            </w:r>
            <w:r>
              <w:t>recommended to minimise</w:t>
            </w:r>
            <w:r w:rsidR="00B1336C">
              <w:t xml:space="preserve"> olfactory irritation, agnosia, eye and nasal mucosal irritation</w:t>
            </w:r>
            <w:r w:rsidR="00245BD8">
              <w:t xml:space="preserve"> effects observed in humans at 10 ppm</w:t>
            </w:r>
            <w:r w:rsidR="00B1336C">
              <w:t xml:space="preserve">. </w:t>
            </w:r>
            <w:r w:rsidR="00475A0F">
              <w:t>The TLV-TWA also</w:t>
            </w:r>
            <w:r w:rsidR="00A009C1">
              <w:t xml:space="preserve"> reduces chance of </w:t>
            </w:r>
            <w:r w:rsidR="00B1336C">
              <w:t>depression of the central nervous symptoms, nausea, headache and weakness</w:t>
            </w:r>
            <w:r>
              <w:t>.</w:t>
            </w:r>
          </w:p>
          <w:p w14:paraId="7D2189E8" w14:textId="77777777" w:rsidR="00B925FD" w:rsidRDefault="00B925FD" w:rsidP="00B925FD">
            <w:pPr>
              <w:pStyle w:val="Tabletextprimarysource"/>
            </w:pPr>
            <w:r>
              <w:t>Summary of data:</w:t>
            </w:r>
          </w:p>
          <w:p w14:paraId="269602FD" w14:textId="0DD9228A" w:rsidR="00625A60" w:rsidRDefault="00625A60" w:rsidP="00625A60">
            <w:pPr>
              <w:pStyle w:val="ListBullet"/>
              <w:numPr>
                <w:ilvl w:val="0"/>
                <w:numId w:val="0"/>
              </w:numPr>
            </w:pPr>
            <w:r>
              <w:t>Human data:</w:t>
            </w:r>
          </w:p>
          <w:p w14:paraId="47EED7A6" w14:textId="3D46F4CE" w:rsidR="00D268A4" w:rsidRDefault="00C15C76" w:rsidP="006D106F">
            <w:pPr>
              <w:pStyle w:val="ListBullet"/>
              <w:spacing w:before="60" w:after="60"/>
              <w:ind w:left="714" w:hanging="357"/>
              <w:contextualSpacing w:val="0"/>
            </w:pPr>
            <w:r>
              <w:t>Effects of acute toxicity reported as</w:t>
            </w:r>
            <w:r w:rsidR="00150482">
              <w:t xml:space="preserve"> o</w:t>
            </w:r>
            <w:r w:rsidR="00D268A4">
              <w:t>lfactory irritation, agnosia, eye irritation</w:t>
            </w:r>
            <w:r>
              <w:t>,</w:t>
            </w:r>
            <w:r w:rsidR="00D268A4">
              <w:t xml:space="preserve"> nasal mucosal </w:t>
            </w:r>
            <w:r w:rsidR="00D25799">
              <w:t xml:space="preserve">irritation, </w:t>
            </w:r>
            <w:r w:rsidR="00150482">
              <w:t xml:space="preserve">depression of the </w:t>
            </w:r>
            <w:r w:rsidR="00D25799">
              <w:t>CNS</w:t>
            </w:r>
            <w:r w:rsidR="00150482">
              <w:t>, nausea, headache and weakness</w:t>
            </w:r>
          </w:p>
          <w:p w14:paraId="1FE6AD92" w14:textId="2EB43626" w:rsidR="00150482" w:rsidRDefault="00150482" w:rsidP="006D106F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Lowest acute adverse reactions </w:t>
            </w:r>
            <w:r w:rsidR="005D3740">
              <w:t>(</w:t>
            </w:r>
            <w:r>
              <w:t xml:space="preserve">ocular and respiratory tract irritation) </w:t>
            </w:r>
            <w:r w:rsidR="00D25799">
              <w:t>at 10 ppm for 3 min</w:t>
            </w:r>
            <w:r>
              <w:t xml:space="preserve"> in healthy adults</w:t>
            </w:r>
          </w:p>
          <w:p w14:paraId="60BA6550" w14:textId="74B3EF40" w:rsidR="00150482" w:rsidRDefault="00150482" w:rsidP="006D106F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Exposure </w:t>
            </w:r>
            <w:r w:rsidR="00A87DC2">
              <w:t>&gt;</w:t>
            </w:r>
            <w:r w:rsidR="003867E7">
              <w:t xml:space="preserve">20 </w:t>
            </w:r>
            <w:r>
              <w:t>ppm resulted in nausea</w:t>
            </w:r>
            <w:r w:rsidR="003867E7">
              <w:t xml:space="preserve"> </w:t>
            </w:r>
            <w:r>
              <w:t>and adverse taste</w:t>
            </w:r>
          </w:p>
          <w:p w14:paraId="2F9E242A" w14:textId="291D112D" w:rsidR="00150482" w:rsidRDefault="00C15C76" w:rsidP="006D106F">
            <w:pPr>
              <w:pStyle w:val="ListBullet"/>
              <w:spacing w:before="60" w:after="60"/>
              <w:ind w:left="714" w:hanging="357"/>
              <w:contextualSpacing w:val="0"/>
            </w:pPr>
            <w:r>
              <w:t>Eye irritation reported by 1/9 volunteers following i</w:t>
            </w:r>
            <w:r w:rsidR="00150482">
              <w:t>n</w:t>
            </w:r>
            <w:r w:rsidR="00D25799">
              <w:t xml:space="preserve">halation of 5 ppm </w:t>
            </w:r>
            <w:r>
              <w:t xml:space="preserve">for </w:t>
            </w:r>
            <w:r w:rsidR="00D25799">
              <w:t>2 min</w:t>
            </w:r>
            <w:r w:rsidR="00B63AF0">
              <w:t xml:space="preserve"> </w:t>
            </w:r>
          </w:p>
          <w:p w14:paraId="18B3F6C3" w14:textId="7507FA96" w:rsidR="00BB776F" w:rsidRDefault="006777AB" w:rsidP="006D106F">
            <w:pPr>
              <w:pStyle w:val="ListBullet"/>
              <w:spacing w:before="60" w:after="60"/>
              <w:ind w:left="714" w:hanging="357"/>
              <w:contextualSpacing w:val="0"/>
            </w:pPr>
            <w:r>
              <w:t>M</w:t>
            </w:r>
            <w:r w:rsidR="005025CB">
              <w:t xml:space="preserve">yelotoxicity </w:t>
            </w:r>
            <w:r>
              <w:t>and</w:t>
            </w:r>
            <w:r w:rsidR="005025CB">
              <w:t xml:space="preserve"> abnormal cardiovascular syndrome</w:t>
            </w:r>
            <w:r w:rsidR="000922EE">
              <w:t xml:space="preserve"> </w:t>
            </w:r>
            <w:r>
              <w:t xml:space="preserve">reported in exposed workers </w:t>
            </w:r>
            <w:r w:rsidR="000922EE">
              <w:t xml:space="preserve">(no further information). </w:t>
            </w:r>
          </w:p>
          <w:p w14:paraId="0F919FFF" w14:textId="7E0C04BA" w:rsidR="001D5621" w:rsidRDefault="00BB776F" w:rsidP="006D106F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A study of </w:t>
            </w:r>
            <w:r w:rsidR="00D25799">
              <w:t>workers</w:t>
            </w:r>
            <w:r>
              <w:t xml:space="preserve"> (n=33) exposed over </w:t>
            </w:r>
            <w:r w:rsidR="00D25799">
              <w:t>3 yr</w:t>
            </w:r>
            <w:r w:rsidR="000E4246">
              <w:t xml:space="preserve"> </w:t>
            </w:r>
            <w:r>
              <w:t xml:space="preserve">concluded that </w:t>
            </w:r>
            <w:r w:rsidR="00E23911">
              <w:t xml:space="preserve">exposure </w:t>
            </w:r>
            <w:r w:rsidR="001D5621">
              <w:t xml:space="preserve">at low concentrations </w:t>
            </w:r>
            <w:r>
              <w:t xml:space="preserve">resulted in </w:t>
            </w:r>
            <w:r w:rsidR="001D5621">
              <w:t xml:space="preserve">low grade intoxication and </w:t>
            </w:r>
            <w:r w:rsidR="006777AB">
              <w:t xml:space="preserve">affected </w:t>
            </w:r>
            <w:r w:rsidR="00570E2D">
              <w:t xml:space="preserve">the </w:t>
            </w:r>
            <w:r w:rsidR="001D5621">
              <w:t xml:space="preserve">cardiovascular, </w:t>
            </w:r>
            <w:r w:rsidR="00B113AE">
              <w:t>haemopoietic</w:t>
            </w:r>
            <w:r w:rsidR="001D5621">
              <w:t xml:space="preserve"> and </w:t>
            </w:r>
            <w:r w:rsidR="00AA168D">
              <w:t>central nervous systems</w:t>
            </w:r>
            <w:r w:rsidR="006D106F">
              <w:t>.</w:t>
            </w:r>
            <w:r w:rsidR="00570E2D">
              <w:t xml:space="preserve"> </w:t>
            </w:r>
          </w:p>
          <w:p w14:paraId="7DE6CF0B" w14:textId="77777777" w:rsidR="00A87DC2" w:rsidRDefault="00A87DC2" w:rsidP="000922EE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  <w:p w14:paraId="3C7E891D" w14:textId="77777777" w:rsidR="00B925FD" w:rsidRDefault="00B925FD" w:rsidP="00B925FD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Animal data:</w:t>
            </w:r>
          </w:p>
          <w:p w14:paraId="7EDFC528" w14:textId="655F25A4" w:rsidR="00986326" w:rsidRDefault="005E526A" w:rsidP="006D106F">
            <w:pPr>
              <w:pStyle w:val="ListBullet"/>
              <w:spacing w:before="60" w:after="60"/>
              <w:ind w:left="714" w:hanging="357"/>
              <w:contextualSpacing w:val="0"/>
            </w:pPr>
            <w:r w:rsidRPr="004E1ABD">
              <w:t>L</w:t>
            </w:r>
            <w:r>
              <w:t>C</w:t>
            </w:r>
            <w:r w:rsidRPr="004E1ABD">
              <w:rPr>
                <w:vertAlign w:val="subscript"/>
              </w:rPr>
              <w:t>50</w:t>
            </w:r>
            <w:r>
              <w:t xml:space="preserve">: </w:t>
            </w:r>
            <w:r w:rsidR="00C231F0">
              <w:t>934</w:t>
            </w:r>
            <w:r>
              <w:t xml:space="preserve"> </w:t>
            </w:r>
            <w:r w:rsidR="00C231F0">
              <w:t xml:space="preserve">ppm (1 h), 734 ppm (1 h), 248 ppm (4 h), 165 ppm (8 h) </w:t>
            </w:r>
            <w:r>
              <w:t>(female rats</w:t>
            </w:r>
            <w:r w:rsidRPr="004E1ABD">
              <w:t>)</w:t>
            </w:r>
          </w:p>
          <w:p w14:paraId="40A380D4" w14:textId="1FAD96CE" w:rsidR="008E586C" w:rsidRDefault="008E586C" w:rsidP="006D106F">
            <w:pPr>
              <w:pStyle w:val="ListBullet"/>
              <w:spacing w:before="60" w:after="60"/>
              <w:ind w:left="714" w:hanging="357"/>
              <w:contextualSpacing w:val="0"/>
            </w:pPr>
            <w:r w:rsidRPr="004E1ABD">
              <w:t>LD</w:t>
            </w:r>
            <w:r w:rsidRPr="004E1ABD">
              <w:rPr>
                <w:vertAlign w:val="subscript"/>
              </w:rPr>
              <w:t>50</w:t>
            </w:r>
            <w:r w:rsidR="00D25799">
              <w:t>:19.6 mL</w:t>
            </w:r>
            <w:r>
              <w:t>/kg</w:t>
            </w:r>
            <w:r w:rsidR="006234C3">
              <w:t xml:space="preserve"> (rabbits, dermal)</w:t>
            </w:r>
          </w:p>
          <w:p w14:paraId="0C88C918" w14:textId="4034AD73" w:rsidR="00BA4DAB" w:rsidRDefault="006234C3" w:rsidP="006D106F">
            <w:pPr>
              <w:pStyle w:val="ListBullet"/>
              <w:spacing w:before="60" w:after="60"/>
              <w:ind w:left="714" w:hanging="357"/>
              <w:contextualSpacing w:val="0"/>
            </w:pPr>
            <w:r w:rsidRPr="004E1ABD">
              <w:t>LD</w:t>
            </w:r>
            <w:r w:rsidRPr="004E1ABD">
              <w:rPr>
                <w:vertAlign w:val="subscript"/>
              </w:rPr>
              <w:t>50</w:t>
            </w:r>
            <w:r>
              <w:rPr>
                <w:vertAlign w:val="subscript"/>
              </w:rPr>
              <w:t xml:space="preserve">: </w:t>
            </w:r>
            <w:r w:rsidRPr="006234C3">
              <w:t>500</w:t>
            </w:r>
            <w:r w:rsidR="00D027C3">
              <w:t xml:space="preserve"> </w:t>
            </w:r>
            <w:r>
              <w:t>mg/24 h (rabbits, dermal)</w:t>
            </w:r>
            <w:r w:rsidR="00BA4DAB" w:rsidRPr="004E1ABD">
              <w:t xml:space="preserve"> </w:t>
            </w:r>
          </w:p>
          <w:p w14:paraId="657E6232" w14:textId="394CBB46" w:rsidR="006234C3" w:rsidRDefault="00BA4DAB" w:rsidP="006D106F">
            <w:pPr>
              <w:pStyle w:val="ListBullet"/>
              <w:spacing w:before="60" w:after="60"/>
              <w:ind w:left="714" w:hanging="357"/>
              <w:contextualSpacing w:val="0"/>
            </w:pPr>
            <w:r w:rsidRPr="004E1ABD">
              <w:t>LD</w:t>
            </w:r>
            <w:r w:rsidRPr="004E1ABD">
              <w:rPr>
                <w:vertAlign w:val="subscript"/>
              </w:rPr>
              <w:t>50</w:t>
            </w:r>
            <w:r>
              <w:t>: 900 mg/kg (male mice,</w:t>
            </w:r>
            <w:r w:rsidRPr="004E1ABD">
              <w:t xml:space="preserve"> </w:t>
            </w:r>
            <w:r>
              <w:t>oral</w:t>
            </w:r>
            <w:r w:rsidRPr="004E1ABD">
              <w:t xml:space="preserve">) </w:t>
            </w:r>
          </w:p>
          <w:p w14:paraId="7BCDBB93" w14:textId="0373173D" w:rsidR="00AA168D" w:rsidRDefault="00AA168D" w:rsidP="006D106F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Symptoms of </w:t>
            </w:r>
            <w:r w:rsidR="003D5059">
              <w:t>short-term</w:t>
            </w:r>
            <w:r w:rsidR="006B32DA">
              <w:t xml:space="preserve"> </w:t>
            </w:r>
            <w:r>
              <w:t>inhalation exposure in rats included fatty liver degeneration and signification reduction of leukocyte counts with prolonged exposure.</w:t>
            </w:r>
          </w:p>
          <w:p w14:paraId="6DC47581" w14:textId="183141FF" w:rsidR="005025CB" w:rsidRDefault="00CE5D24" w:rsidP="006D106F">
            <w:pPr>
              <w:pStyle w:val="ListBullet"/>
              <w:numPr>
                <w:ilvl w:val="0"/>
                <w:numId w:val="3"/>
              </w:numPr>
              <w:spacing w:before="60" w:after="60"/>
              <w:ind w:left="1094" w:hanging="357"/>
              <w:contextualSpacing w:val="0"/>
            </w:pPr>
            <w:r>
              <w:t>Significant reduction in leukocyte cells reported</w:t>
            </w:r>
            <w:r w:rsidR="00A87DC2">
              <w:t xml:space="preserve"> after</w:t>
            </w:r>
            <w:r>
              <w:t xml:space="preserve"> 2</w:t>
            </w:r>
            <w:r w:rsidR="00C63951">
              <w:t>,</w:t>
            </w:r>
            <w:r>
              <w:t xml:space="preserve"> 4 and 7 h </w:t>
            </w:r>
            <w:r w:rsidR="00AA168D">
              <w:t xml:space="preserve">inhalational </w:t>
            </w:r>
            <w:r>
              <w:t>exposures to 50 ppm</w:t>
            </w:r>
            <w:r w:rsidR="00AA168D">
              <w:t xml:space="preserve"> (rats)</w:t>
            </w:r>
          </w:p>
          <w:p w14:paraId="5604DFF2" w14:textId="45ED10FF" w:rsidR="00031550" w:rsidRDefault="00031550" w:rsidP="006D106F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The </w:t>
            </w:r>
            <w:r w:rsidR="007917B6">
              <w:t>primary target of the intoxication</w:t>
            </w:r>
            <w:r w:rsidR="00185B76">
              <w:t xml:space="preserve"> following oral exposure</w:t>
            </w:r>
            <w:r w:rsidR="007917B6">
              <w:t xml:space="preserve"> in </w:t>
            </w:r>
            <w:r w:rsidR="00185B76">
              <w:t xml:space="preserve">rats </w:t>
            </w:r>
            <w:r w:rsidR="007917B6">
              <w:t>reported to be the white matter</w:t>
            </w:r>
          </w:p>
          <w:p w14:paraId="2325C656" w14:textId="73A555D9" w:rsidR="00250D98" w:rsidRDefault="00AA168D" w:rsidP="006D106F">
            <w:pPr>
              <w:pStyle w:val="ListBullet"/>
              <w:spacing w:before="60" w:after="60"/>
              <w:ind w:left="714" w:hanging="357"/>
              <w:contextualSpacing w:val="0"/>
            </w:pPr>
            <w:proofErr w:type="spellStart"/>
            <w:r>
              <w:t>C</w:t>
            </w:r>
            <w:r w:rsidR="003E1F53">
              <w:t>lonic</w:t>
            </w:r>
            <w:proofErr w:type="spellEnd"/>
            <w:r w:rsidR="003E1F53">
              <w:t xml:space="preserve"> convulsions and tremors in 30% of adult rats</w:t>
            </w:r>
            <w:r>
              <w:t xml:space="preserve"> following inhalation of 850 ppm for 1 h </w:t>
            </w:r>
          </w:p>
          <w:p w14:paraId="74CB4F95" w14:textId="5F0C6070" w:rsidR="003E1F53" w:rsidRDefault="00AA168D" w:rsidP="006D106F">
            <w:pPr>
              <w:pStyle w:val="ListBullet"/>
              <w:numPr>
                <w:ilvl w:val="0"/>
                <w:numId w:val="3"/>
              </w:numPr>
              <w:spacing w:before="60" w:after="60"/>
              <w:ind w:left="1094" w:hanging="357"/>
              <w:contextualSpacing w:val="0"/>
            </w:pPr>
            <w:r>
              <w:t xml:space="preserve">10 </w:t>
            </w:r>
            <w:r w:rsidR="003E1F53">
              <w:t>repeated exposures</w:t>
            </w:r>
            <w:r>
              <w:t xml:space="preserve"> at 850 ppm resulted in 80% mortality</w:t>
            </w:r>
            <w:r w:rsidR="006B32DA">
              <w:t>.</w:t>
            </w:r>
          </w:p>
          <w:p w14:paraId="2DCCF90B" w14:textId="223F87E3" w:rsidR="00A87DC2" w:rsidRPr="00DA352E" w:rsidRDefault="00A87DC2" w:rsidP="00D8284A">
            <w:pPr>
              <w:pStyle w:val="ListBullet"/>
              <w:numPr>
                <w:ilvl w:val="0"/>
                <w:numId w:val="0"/>
              </w:numPr>
              <w:ind w:left="720"/>
            </w:pPr>
          </w:p>
        </w:tc>
      </w:tr>
      <w:tr w:rsidR="00C978F0" w:rsidRPr="00DA352E" w14:paraId="6539961A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371F10F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3C3EE1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proofErr w:type="spellStart"/>
                <w:r w:rsidR="003C3EE1">
                  <w:t>NA</w:t>
                </w:r>
                <w:proofErr w:type="spellEnd"/>
              </w:sdtContent>
            </w:sdt>
          </w:p>
        </w:tc>
      </w:tr>
      <w:tr w:rsidR="00C978F0" w:rsidRPr="00DA352E" w14:paraId="57A96697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D40527D" w14:textId="7730979A" w:rsidR="00C978F0" w:rsidRPr="00DA352E" w:rsidRDefault="003C3EE1" w:rsidP="003365A5">
            <w:pPr>
              <w:pStyle w:val="Tabletextprimarysource"/>
            </w:pPr>
            <w:r w:rsidRPr="00396657">
              <w:t>No report</w:t>
            </w:r>
            <w:r w:rsidR="00250D98">
              <w:t>.</w:t>
            </w:r>
          </w:p>
        </w:tc>
      </w:tr>
      <w:tr w:rsidR="00C978F0" w:rsidRPr="00DA352E" w14:paraId="3CD9FF48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8D19F53" w14:textId="6DA35F48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694717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694717">
                  <w:t>NA</w:t>
                </w:r>
                <w:proofErr w:type="spellEnd"/>
              </w:sdtContent>
            </w:sdt>
          </w:p>
        </w:tc>
      </w:tr>
      <w:tr w:rsidR="00C978F0" w:rsidRPr="00DA352E" w14:paraId="6BCC944F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223359D" w14:textId="45A6032A" w:rsidR="00C978F0" w:rsidRPr="00DA352E" w:rsidRDefault="00694717" w:rsidP="003365A5">
            <w:pPr>
              <w:pStyle w:val="Tabletextprimarysource"/>
            </w:pPr>
            <w:r>
              <w:t>No report</w:t>
            </w:r>
            <w:r w:rsidR="00250D98">
              <w:t>.</w:t>
            </w:r>
          </w:p>
        </w:tc>
      </w:tr>
      <w:tr w:rsidR="00DA352E" w:rsidRPr="00DA352E" w14:paraId="3B59279D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2629775" w14:textId="1C797A01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694717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694717">
                  <w:t>NA</w:t>
                </w:r>
                <w:proofErr w:type="spellEnd"/>
              </w:sdtContent>
            </w:sdt>
          </w:p>
        </w:tc>
      </w:tr>
      <w:tr w:rsidR="00DA352E" w:rsidRPr="00DA352E" w14:paraId="6213BAAC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6519025" w14:textId="1C9664ED" w:rsidR="00DA352E" w:rsidRPr="00DA352E" w:rsidRDefault="00694717" w:rsidP="003365A5">
            <w:pPr>
              <w:pStyle w:val="Tabletextprimarysource"/>
            </w:pPr>
            <w:r>
              <w:t>No report</w:t>
            </w:r>
            <w:r w:rsidR="00250D98">
              <w:t>.</w:t>
            </w:r>
          </w:p>
        </w:tc>
      </w:tr>
      <w:tr w:rsidR="00DA352E" w:rsidRPr="00DA352E" w14:paraId="10A9D289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9ED5385" w14:textId="7E079F42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12251E">
                  <w:t>2002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D25799">
                  <w:t>TWA:</w:t>
                </w:r>
                <w:r w:rsidR="00525FE2">
                  <w:t xml:space="preserve"> 1ppm</w:t>
                </w:r>
              </w:sdtContent>
            </w:sdt>
          </w:p>
        </w:tc>
      </w:tr>
      <w:tr w:rsidR="00DA352E" w:rsidRPr="00DA352E" w14:paraId="0A97D90D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0B48F89" w14:textId="1147A0AE" w:rsidR="00791427" w:rsidRDefault="00791427" w:rsidP="00791427">
            <w:pPr>
              <w:pStyle w:val="Tabletextprimarysource"/>
            </w:pPr>
            <w:r>
              <w:t xml:space="preserve">Additional </w:t>
            </w:r>
            <w:r w:rsidR="00525FE2">
              <w:t>summary</w:t>
            </w:r>
            <w:r>
              <w:t xml:space="preserve"> of data:</w:t>
            </w:r>
          </w:p>
          <w:p w14:paraId="58C7E1E9" w14:textId="77777777" w:rsidR="00791427" w:rsidRDefault="00791427" w:rsidP="00791427">
            <w:pPr>
              <w:pStyle w:val="ListBullet"/>
              <w:numPr>
                <w:ilvl w:val="0"/>
                <w:numId w:val="0"/>
              </w:numPr>
            </w:pPr>
            <w:r>
              <w:t>Human data:</w:t>
            </w:r>
          </w:p>
          <w:p w14:paraId="001B59CD" w14:textId="56555B03" w:rsidR="00791427" w:rsidRDefault="00791427" w:rsidP="006D106F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Moderate eye irritant </w:t>
            </w:r>
            <w:r w:rsidR="00250D98">
              <w:t xml:space="preserve">at </w:t>
            </w:r>
            <w:r>
              <w:t>80 ppm</w:t>
            </w:r>
          </w:p>
          <w:p w14:paraId="16BD8A90" w14:textId="4A7D4434" w:rsidR="00791427" w:rsidRDefault="00791427" w:rsidP="006D106F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Nasal irritant </w:t>
            </w:r>
            <w:r w:rsidR="00250D98">
              <w:t xml:space="preserve">at </w:t>
            </w:r>
            <w:r>
              <w:t>10 ppm</w:t>
            </w:r>
          </w:p>
          <w:p w14:paraId="3518BE51" w14:textId="7521D58D" w:rsidR="00791427" w:rsidRDefault="00791427" w:rsidP="006D106F">
            <w:pPr>
              <w:pStyle w:val="ListBullet"/>
              <w:spacing w:before="60" w:after="60"/>
              <w:ind w:left="714" w:hanging="357"/>
              <w:contextualSpacing w:val="0"/>
            </w:pPr>
            <w:r>
              <w:t>Throat irritant &gt;60 ppm</w:t>
            </w:r>
          </w:p>
          <w:p w14:paraId="5BB039D8" w14:textId="29E35991" w:rsidR="00791427" w:rsidRDefault="00791427" w:rsidP="006D106F">
            <w:pPr>
              <w:pStyle w:val="ListBullet"/>
              <w:spacing w:before="60" w:after="60"/>
              <w:ind w:left="714" w:hanging="357"/>
              <w:contextualSpacing w:val="0"/>
            </w:pPr>
            <w:r>
              <w:t>Giddiness and increase</w:t>
            </w:r>
            <w:r w:rsidR="00FD69F8">
              <w:t>d</w:t>
            </w:r>
            <w:r>
              <w:t xml:space="preserve"> breathing 160 ppm</w:t>
            </w:r>
            <w:r w:rsidR="00E23911">
              <w:t>.</w:t>
            </w:r>
          </w:p>
          <w:p w14:paraId="3500ADF5" w14:textId="77777777" w:rsidR="00A87DC2" w:rsidRDefault="00A87DC2" w:rsidP="00D00DD6">
            <w:pPr>
              <w:pStyle w:val="ListBullet"/>
              <w:numPr>
                <w:ilvl w:val="0"/>
                <w:numId w:val="0"/>
              </w:numPr>
              <w:ind w:left="720"/>
            </w:pPr>
          </w:p>
          <w:p w14:paraId="0C7181F9" w14:textId="77777777" w:rsidR="00791427" w:rsidRDefault="00791427" w:rsidP="00791427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Animal data:</w:t>
            </w:r>
          </w:p>
          <w:p w14:paraId="27F08B65" w14:textId="1E962872" w:rsidR="00791427" w:rsidRDefault="00D8284A" w:rsidP="006D106F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Exposure of 60 ppm for 8 h reported to cause eye and respiratory tract irritation (rats) </w:t>
            </w:r>
          </w:p>
          <w:p w14:paraId="2AB4E12E" w14:textId="1EA08DC1" w:rsidR="00E21313" w:rsidRDefault="00E21313" w:rsidP="006D106F">
            <w:pPr>
              <w:pStyle w:val="ListBullet"/>
              <w:spacing w:before="60" w:after="60"/>
              <w:ind w:left="714" w:hanging="357"/>
              <w:contextualSpacing w:val="0"/>
            </w:pPr>
            <w:r>
              <w:t>Exposure of 200 ppm</w:t>
            </w:r>
            <w:r w:rsidR="005025CB">
              <w:t xml:space="preserve"> in mice</w:t>
            </w:r>
            <w:r>
              <w:t xml:space="preserve"> resulted in brain lesions characterised by oedema of meninges and white matter</w:t>
            </w:r>
            <w:r w:rsidR="000922EE">
              <w:t xml:space="preserve"> (no further information) </w:t>
            </w:r>
          </w:p>
          <w:p w14:paraId="5F6DFBFE" w14:textId="6E2405A8" w:rsidR="00E21313" w:rsidRDefault="00E21313" w:rsidP="006D106F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chromosomal damage detected in mammalian cell systems</w:t>
            </w:r>
          </w:p>
          <w:p w14:paraId="0B792DE6" w14:textId="11DA5516" w:rsidR="00DA352E" w:rsidRDefault="00E21313" w:rsidP="006D106F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Negative for testing of mutagenicity and genotoxicity</w:t>
            </w:r>
            <w:r w:rsidR="00AA791C">
              <w:t>.</w:t>
            </w:r>
          </w:p>
          <w:p w14:paraId="0D746177" w14:textId="05B1D701" w:rsidR="00A87DC2" w:rsidRDefault="00A87DC2" w:rsidP="00D00DD6">
            <w:pPr>
              <w:pStyle w:val="ListBullet"/>
              <w:numPr>
                <w:ilvl w:val="0"/>
                <w:numId w:val="0"/>
              </w:numPr>
              <w:ind w:left="720"/>
            </w:pPr>
          </w:p>
          <w:p w14:paraId="1767A739" w14:textId="584F916E" w:rsidR="00777EC9" w:rsidRDefault="007372C3" w:rsidP="00A009C1">
            <w:pPr>
              <w:rPr>
                <w:lang w:val="en-US"/>
              </w:rPr>
            </w:pPr>
            <w:proofErr w:type="gramStart"/>
            <w:r>
              <w:rPr>
                <w:lang w:val="en-US"/>
              </w:rPr>
              <w:t>C</w:t>
            </w:r>
            <w:r w:rsidR="00A009C1" w:rsidRPr="00A009C1">
              <w:rPr>
                <w:lang w:val="en-US"/>
              </w:rPr>
              <w:t>onclude</w:t>
            </w:r>
            <w:r>
              <w:rPr>
                <w:lang w:val="en-US"/>
              </w:rPr>
              <w:t>s</w:t>
            </w:r>
            <w:proofErr w:type="gramEnd"/>
            <w:r w:rsidR="00777EC9" w:rsidRPr="00A009C1">
              <w:rPr>
                <w:lang w:val="en-US"/>
              </w:rPr>
              <w:t xml:space="preserve"> that the limited information </w:t>
            </w:r>
            <w:r w:rsidR="00A009C1" w:rsidRPr="00A009C1">
              <w:rPr>
                <w:lang w:val="en-US"/>
              </w:rPr>
              <w:t>suggests</w:t>
            </w:r>
            <w:r w:rsidR="00777EC9" w:rsidRPr="00A009C1">
              <w:rPr>
                <w:lang w:val="en-US"/>
              </w:rPr>
              <w:t xml:space="preserve"> </w:t>
            </w:r>
            <w:r w:rsidR="00B113AE">
              <w:rPr>
                <w:lang w:val="en-US"/>
              </w:rPr>
              <w:t xml:space="preserve">present </w:t>
            </w:r>
            <w:r w:rsidR="00CB5BCF">
              <w:rPr>
                <w:lang w:val="en-US"/>
              </w:rPr>
              <w:t xml:space="preserve">OEL </w:t>
            </w:r>
            <w:r w:rsidR="00DD2C9C">
              <w:rPr>
                <w:lang w:val="en-US"/>
              </w:rPr>
              <w:t>may be too high.</w:t>
            </w:r>
          </w:p>
          <w:p w14:paraId="5DFE949B" w14:textId="0C5AEDF6" w:rsidR="00A87DC2" w:rsidRPr="00DA352E" w:rsidRDefault="00A87DC2" w:rsidP="00A009C1"/>
        </w:tc>
      </w:tr>
    </w:tbl>
    <w:p w14:paraId="4BBCA9EB" w14:textId="77777777" w:rsidR="00F3152C" w:rsidRPr="004C23F4" w:rsidRDefault="00F3152C" w:rsidP="001F7B46">
      <w:pPr>
        <w:pStyle w:val="Heading3"/>
      </w:pPr>
      <w:bookmarkStart w:id="0" w:name="SecondSource"/>
      <w:r w:rsidRPr="004C23F4">
        <w:t xml:space="preserve">Secondary </w:t>
      </w:r>
      <w:r>
        <w:t xml:space="preserve">source reports relied upon </w:t>
      </w:r>
    </w:p>
    <w:p w14:paraId="1FCF8832" w14:textId="35CD118D" w:rsidR="00F3152C" w:rsidRDefault="00F3152C" w:rsidP="001F7B46">
      <w:r>
        <w:t>NIL</w:t>
      </w:r>
      <w:r w:rsidR="006B32DA">
        <w:t>.</w:t>
      </w:r>
    </w:p>
    <w:bookmarkEnd w:id="0"/>
    <w:p w14:paraId="3A2A598F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2FAD4F5C" w14:textId="77777777" w:rsidTr="002553E7">
        <w:trPr>
          <w:trHeight w:val="454"/>
          <w:tblHeader/>
        </w:trPr>
        <w:tc>
          <w:tcPr>
            <w:tcW w:w="6597" w:type="dxa"/>
            <w:vAlign w:val="center"/>
          </w:tcPr>
          <w:p w14:paraId="05BA89AF" w14:textId="77777777" w:rsidR="002E0D61" w:rsidRPr="00CB5BCF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 w:rsidRPr="00CB5BCF">
              <w:t>Is the chemical mutagenic</w:t>
            </w:r>
            <w:r w:rsidR="002E0D61" w:rsidRPr="00CB5BCF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6040C408" w14:textId="6F35A725" w:rsidR="002E0D61" w:rsidRPr="00CB5BCF" w:rsidRDefault="002553E7" w:rsidP="00C3091E">
                <w:pPr>
                  <w:pStyle w:val="Tablefont"/>
                  <w:keepNext/>
                  <w:keepLines/>
                  <w:spacing w:before="40" w:after="40"/>
                </w:pPr>
                <w:r w:rsidRPr="00CB5BCF">
                  <w:t>Insufficient data</w:t>
                </w:r>
              </w:p>
            </w:tc>
          </w:sdtContent>
        </w:sdt>
      </w:tr>
      <w:tr w:rsidR="008A36CF" w14:paraId="73B2CEDE" w14:textId="77777777" w:rsidTr="002553E7">
        <w:trPr>
          <w:trHeight w:val="454"/>
        </w:trPr>
        <w:tc>
          <w:tcPr>
            <w:tcW w:w="6597" w:type="dxa"/>
            <w:vAlign w:val="center"/>
          </w:tcPr>
          <w:p w14:paraId="26CA37D8" w14:textId="77777777" w:rsidR="008A36CF" w:rsidRPr="00CB5BCF" w:rsidRDefault="008A36CF" w:rsidP="008A36CF">
            <w:pPr>
              <w:pStyle w:val="Tablefont"/>
              <w:keepNext/>
              <w:keepLines/>
              <w:spacing w:before="40" w:after="40"/>
            </w:pPr>
            <w:r w:rsidRPr="00CB5BCF"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36CD0E85" w14:textId="4B6D7B46" w:rsidR="008A36CF" w:rsidRPr="00CB5BCF" w:rsidRDefault="00CB5BCF" w:rsidP="008A36CF">
                <w:pPr>
                  <w:pStyle w:val="Tablefont"/>
                  <w:keepNext/>
                  <w:keepLines/>
                  <w:spacing w:before="40" w:after="40"/>
                </w:pPr>
                <w:r w:rsidRPr="00CB5BCF">
                  <w:t>No</w:t>
                </w:r>
              </w:p>
            </w:tc>
          </w:sdtContent>
        </w:sdt>
      </w:tr>
      <w:tr w:rsidR="006B32DA" w14:paraId="2893E93A" w14:textId="77777777" w:rsidTr="00E20E12">
        <w:trPr>
          <w:trHeight w:val="454"/>
        </w:trPr>
        <w:sdt>
          <w:sdtPr>
            <w:rPr>
              <w:b/>
            </w:rPr>
            <w:id w:val="1830936485"/>
            <w:placeholder>
              <w:docPart w:val="A847FB54B0394AFAB72B87605586AB57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51258CB5" w14:textId="6052B584" w:rsidR="006B32DA" w:rsidRPr="00CB5BCF" w:rsidRDefault="006B32DA" w:rsidP="00CB5BCF">
                <w:pPr>
                  <w:pStyle w:val="Tablefont"/>
                  <w:keepNext/>
                  <w:keepLines/>
                  <w:spacing w:before="40" w:after="40"/>
                </w:pPr>
                <w:r w:rsidRPr="008E4A12"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</w:tr>
    </w:tbl>
    <w:bookmarkEnd w:id="1"/>
    <w:p w14:paraId="01563D74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15A5AF6F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64802D75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245CC2B0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78980AB9" w14:textId="77777777" w:rsidTr="00812887">
        <w:trPr>
          <w:cantSplit/>
        </w:trPr>
        <w:tc>
          <w:tcPr>
            <w:tcW w:w="3227" w:type="dxa"/>
          </w:tcPr>
          <w:p w14:paraId="1047F278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332DA176" w14:textId="77777777" w:rsidR="00687890" w:rsidRPr="00DD2F9B" w:rsidRDefault="006C41F6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02C59DAC" w14:textId="77777777" w:rsidTr="00812887">
        <w:trPr>
          <w:cantSplit/>
        </w:trPr>
        <w:tc>
          <w:tcPr>
            <w:tcW w:w="3227" w:type="dxa"/>
          </w:tcPr>
          <w:p w14:paraId="7BE059C2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68E05FBC" w14:textId="77777777" w:rsidR="007925F0" w:rsidRPr="00DD2F9B" w:rsidRDefault="006C41F6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6AB32FD8" w14:textId="77777777" w:rsidTr="00812887">
        <w:trPr>
          <w:cantSplit/>
        </w:trPr>
        <w:tc>
          <w:tcPr>
            <w:tcW w:w="3227" w:type="dxa"/>
          </w:tcPr>
          <w:p w14:paraId="723E71F3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60A66666" w14:textId="69E2E230" w:rsidR="00AF483F" w:rsidRPr="00DD2F9B" w:rsidRDefault="009E7568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4472B54F" w14:textId="77777777" w:rsidTr="00812887">
        <w:trPr>
          <w:cantSplit/>
        </w:trPr>
        <w:tc>
          <w:tcPr>
            <w:tcW w:w="3227" w:type="dxa"/>
          </w:tcPr>
          <w:p w14:paraId="773F54AC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53A03734" w14:textId="330D21DE" w:rsidR="00687890" w:rsidRPr="00DD2F9B" w:rsidRDefault="009E7568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5A2FACB9" w14:textId="77777777" w:rsidTr="00812887">
        <w:trPr>
          <w:cantSplit/>
        </w:trPr>
        <w:tc>
          <w:tcPr>
            <w:tcW w:w="3227" w:type="dxa"/>
          </w:tcPr>
          <w:p w14:paraId="7FA2755B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167D2636" w14:textId="2B0A0E48" w:rsidR="00E41A26" w:rsidRPr="00DD2F9B" w:rsidRDefault="00602B51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77980E44" w14:textId="77777777" w:rsidTr="00812887">
        <w:trPr>
          <w:cantSplit/>
        </w:trPr>
        <w:tc>
          <w:tcPr>
            <w:tcW w:w="3227" w:type="dxa"/>
          </w:tcPr>
          <w:p w14:paraId="72021D81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5632D812" w14:textId="25771E8D" w:rsidR="002E0D61" w:rsidRPr="00DD2F9B" w:rsidRDefault="00602B51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4AE33400" w14:textId="77777777" w:rsidTr="00812887">
        <w:trPr>
          <w:cantSplit/>
        </w:trPr>
        <w:tc>
          <w:tcPr>
            <w:tcW w:w="3227" w:type="dxa"/>
          </w:tcPr>
          <w:p w14:paraId="1F683DD7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7D1933BF" w14:textId="1709016E" w:rsidR="002E0D61" w:rsidRPr="00DD2F9B" w:rsidRDefault="0014600D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020DCA0" w14:textId="77777777" w:rsidTr="00812887">
        <w:trPr>
          <w:cantSplit/>
        </w:trPr>
        <w:tc>
          <w:tcPr>
            <w:tcW w:w="3227" w:type="dxa"/>
          </w:tcPr>
          <w:p w14:paraId="094EC988" w14:textId="77777777" w:rsidR="004079B4" w:rsidRPr="004C23F4" w:rsidRDefault="002E0D61" w:rsidP="00F4402E">
            <w:pPr>
              <w:pStyle w:val="Tablefont"/>
            </w:pPr>
            <w:r>
              <w:lastRenderedPageBreak/>
              <w:t>SCOEL</w:t>
            </w:r>
          </w:p>
        </w:tc>
        <w:tc>
          <w:tcPr>
            <w:tcW w:w="6015" w:type="dxa"/>
          </w:tcPr>
          <w:p w14:paraId="2E961E9B" w14:textId="1F645F68" w:rsidR="002E0D61" w:rsidRPr="00DD2F9B" w:rsidRDefault="00EA376C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0C1E5E75" w14:textId="77777777" w:rsidTr="00812887">
        <w:trPr>
          <w:cantSplit/>
        </w:trPr>
        <w:tc>
          <w:tcPr>
            <w:tcW w:w="3227" w:type="dxa"/>
          </w:tcPr>
          <w:p w14:paraId="17BCC86F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406209CA" w14:textId="4E3834A9" w:rsidR="002E0D61" w:rsidRPr="00DD2F9B" w:rsidRDefault="00603F2B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1A18991A" w14:textId="77777777" w:rsidTr="00812887">
        <w:trPr>
          <w:cantSplit/>
        </w:trPr>
        <w:tc>
          <w:tcPr>
            <w:tcW w:w="3227" w:type="dxa"/>
          </w:tcPr>
          <w:p w14:paraId="041A5A57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0208790D" w14:textId="55FE649F" w:rsidR="00386093" w:rsidRPr="00DD2F9B" w:rsidRDefault="00EA376C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080ACE38" w14:textId="77777777" w:rsidTr="00812887">
        <w:trPr>
          <w:cantSplit/>
        </w:trPr>
        <w:tc>
          <w:tcPr>
            <w:tcW w:w="3227" w:type="dxa"/>
          </w:tcPr>
          <w:p w14:paraId="3CB648D3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381490FB" w14:textId="43278639" w:rsidR="00386093" w:rsidRPr="00DD2F9B" w:rsidRDefault="00EA376C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2195F670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111BF417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7744F804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786FE22E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0C7E469C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2BEBB4A7" w14:textId="7F54B5A1" w:rsidR="00932DCE" w:rsidRPr="004C23F4" w:rsidRDefault="007372C3" w:rsidP="00F9496B">
            <w:pPr>
              <w:pStyle w:val="Tablefont"/>
            </w:pPr>
            <w:r w:rsidRPr="007372C3">
              <w:t>Insufficient data to assign a skin notation</w:t>
            </w:r>
            <w:r w:rsidR="006B32DA">
              <w:t>.</w:t>
            </w:r>
          </w:p>
        </w:tc>
      </w:tr>
    </w:tbl>
    <w:bookmarkEnd w:id="3"/>
    <w:p w14:paraId="63677D47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5BD21929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143DE5E3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25A8E7D2" w14:textId="18014F9F" w:rsidR="00EB3D1B" w:rsidRDefault="00C220E9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261C2ABD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0C9CAC86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1A05D45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2026D3EB" w14:textId="77777777" w:rsidR="001B79E5" w:rsidRDefault="00FC26B9" w:rsidP="001B79E5">
                <w:pPr>
                  <w:pStyle w:val="Tablefont"/>
                </w:pPr>
                <w:r>
                  <w:t>148.18</w:t>
                </w:r>
              </w:p>
            </w:tc>
          </w:sdtContent>
        </w:sdt>
      </w:tr>
      <w:tr w:rsidR="00A31D99" w:rsidRPr="004C23F4" w14:paraId="5F28251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1935576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3C428654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7B821DA0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2240F18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C63CB7B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1DFD5CE8" w14:textId="77777777" w:rsidTr="00EA6243">
        <w:trPr>
          <w:cantSplit/>
        </w:trPr>
        <w:tc>
          <w:tcPr>
            <w:tcW w:w="4077" w:type="dxa"/>
            <w:vAlign w:val="center"/>
          </w:tcPr>
          <w:p w14:paraId="49B76B33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C9868E8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6DCAE943" w14:textId="77777777" w:rsidTr="00EA6243">
        <w:trPr>
          <w:cantSplit/>
        </w:trPr>
        <w:tc>
          <w:tcPr>
            <w:tcW w:w="4077" w:type="dxa"/>
            <w:vAlign w:val="center"/>
          </w:tcPr>
          <w:p w14:paraId="1BE1F4D8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67ABDA9" w14:textId="3F8A6D6C" w:rsidR="00687890" w:rsidRPr="004C23F4" w:rsidRDefault="008E4A12" w:rsidP="00717D45">
                <w:pPr>
                  <w:pStyle w:val="Tablefon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E06F40" w:rsidRPr="004C23F4" w14:paraId="1BADDE47" w14:textId="77777777" w:rsidTr="00EA6243">
        <w:trPr>
          <w:cantSplit/>
        </w:trPr>
        <w:tc>
          <w:tcPr>
            <w:tcW w:w="4077" w:type="dxa"/>
            <w:vAlign w:val="center"/>
          </w:tcPr>
          <w:p w14:paraId="1C63AC9F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36E21E36" w14:textId="412CD8BB" w:rsidR="00E06F40" w:rsidRPr="00A006A0" w:rsidRDefault="00FC4F34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F3152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78350967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F3152C" w:rsidRPr="004C23F4" w14:paraId="31D4AA47" w14:textId="77777777" w:rsidTr="00F3152C">
        <w:trPr>
          <w:tblHeader/>
        </w:trPr>
        <w:tc>
          <w:tcPr>
            <w:tcW w:w="3979" w:type="dxa"/>
            <w:shd w:val="clear" w:color="auto" w:fill="BFBFBF" w:themeFill="background1" w:themeFillShade="BF"/>
            <w:vAlign w:val="center"/>
          </w:tcPr>
          <w:p w14:paraId="497415ED" w14:textId="77777777" w:rsidR="00F3152C" w:rsidRPr="004C23F4" w:rsidRDefault="00F3152C" w:rsidP="001F7B46">
            <w:pPr>
              <w:pStyle w:val="Tableheader"/>
              <w:keepNext/>
              <w:keepLines/>
            </w:pPr>
            <w:r>
              <w:t>Year</w:t>
            </w:r>
          </w:p>
        </w:tc>
        <w:tc>
          <w:tcPr>
            <w:tcW w:w="5047" w:type="dxa"/>
            <w:shd w:val="clear" w:color="auto" w:fill="BFBFBF" w:themeFill="background1" w:themeFillShade="BF"/>
            <w:vAlign w:val="center"/>
          </w:tcPr>
          <w:p w14:paraId="0579EF0E" w14:textId="77777777" w:rsidR="00F3152C" w:rsidRPr="004C23F4" w:rsidRDefault="00F3152C" w:rsidP="001F7B46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F3152C" w:rsidRPr="004C23F4" w14:paraId="074DA669" w14:textId="77777777" w:rsidTr="00F3152C">
        <w:trPr>
          <w:tblHeader/>
        </w:trPr>
        <w:sdt>
          <w:sdtPr>
            <w:id w:val="-25557549"/>
            <w:placeholder>
              <w:docPart w:val="111D220FD2644F9B8E07247814D75BC1"/>
            </w:placeholder>
            <w:showingPlcHdr/>
            <w:text/>
          </w:sdtPr>
          <w:sdtEndPr/>
          <w:sdtContent>
            <w:tc>
              <w:tcPr>
                <w:tcW w:w="3979" w:type="dxa"/>
                <w:vAlign w:val="center"/>
              </w:tcPr>
              <w:p w14:paraId="4695367E" w14:textId="6E8F463D" w:rsidR="00F3152C" w:rsidRPr="004C23F4" w:rsidRDefault="00F3152C" w:rsidP="001F7B46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047" w:type="dxa"/>
            <w:vAlign w:val="center"/>
          </w:tcPr>
          <w:p w14:paraId="65584B4D" w14:textId="77777777" w:rsidR="00F3152C" w:rsidRPr="004C23F4" w:rsidRDefault="00F3152C" w:rsidP="001F7B46">
            <w:pPr>
              <w:pStyle w:val="Tablefont"/>
              <w:keepLines/>
            </w:pPr>
          </w:p>
        </w:tc>
      </w:tr>
    </w:tbl>
    <w:p w14:paraId="46754D04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1D185ECF" w14:textId="060D240E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412CDF96" w14:textId="7E2181DF" w:rsidR="006F6DCC" w:rsidRPr="00351FE0" w:rsidRDefault="00176C4C" w:rsidP="00176C4C">
      <w:r w:rsidRPr="002022B6">
        <w:t>Health Council of the Netherlands</w:t>
      </w:r>
      <w:r>
        <w:t xml:space="preserve"> (HCOTN) (2002) </w:t>
      </w:r>
      <w:r w:rsidRPr="00176C4C">
        <w:t>p-tert-</w:t>
      </w:r>
      <w:proofErr w:type="spellStart"/>
      <w:r w:rsidRPr="00176C4C">
        <w:t>Butyltoluene</w:t>
      </w:r>
      <w:proofErr w:type="spellEnd"/>
      <w:r w:rsidRPr="005F7416">
        <w:t xml:space="preserve">. </w:t>
      </w:r>
      <w:r>
        <w:t>Health-based</w:t>
      </w:r>
      <w:r w:rsidR="005A60FE">
        <w:t xml:space="preserve"> reassessment of a</w:t>
      </w:r>
      <w:r>
        <w:t xml:space="preserve">dministrative </w:t>
      </w:r>
      <w:r w:rsidR="005A60FE">
        <w:t>occupational exposure l</w:t>
      </w:r>
      <w:r>
        <w:t>imits</w:t>
      </w:r>
      <w:r w:rsidRPr="005F7416">
        <w:t xml:space="preserve">. The Hague: Health Council of the Netherlands; publication no. </w:t>
      </w:r>
      <w:r w:rsidR="00F3152C">
        <w:t>2000</w:t>
      </w:r>
      <w:r>
        <w:t>.</w:t>
      </w:r>
    </w:p>
    <w:sectPr w:rsidR="006F6DCC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A56EBC" w14:textId="77777777" w:rsidR="00167616" w:rsidRDefault="00167616" w:rsidP="00F43AD5">
      <w:pPr>
        <w:spacing w:after="0" w:line="240" w:lineRule="auto"/>
      </w:pPr>
      <w:r>
        <w:separator/>
      </w:r>
    </w:p>
  </w:endnote>
  <w:endnote w:type="continuationSeparator" w:id="0">
    <w:p w14:paraId="2C05A9C8" w14:textId="77777777" w:rsidR="00167616" w:rsidRDefault="00167616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96096306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03A70336" w14:textId="77777777" w:rsidR="00DB233A" w:rsidRDefault="00DB233A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p-tert-</w:t>
        </w:r>
        <w:proofErr w:type="spellStart"/>
        <w:r>
          <w:rPr>
            <w:b/>
            <w:sz w:val="18"/>
            <w:szCs w:val="18"/>
          </w:rPr>
          <w:t>Butyltoluene</w:t>
        </w:r>
        <w:proofErr w:type="spellEnd"/>
        <w:r>
          <w:rPr>
            <w:b/>
            <w:sz w:val="18"/>
            <w:szCs w:val="18"/>
          </w:rPr>
          <w:t xml:space="preserve"> (98-51-1)</w:t>
        </w:r>
        <w:r w:rsidRPr="00F43AD5">
          <w:rPr>
            <w:sz w:val="18"/>
            <w:szCs w:val="18"/>
          </w:rPr>
          <w:br/>
          <w:t xml:space="preserve">Safe Work Australia </w:t>
        </w:r>
        <w:r w:rsidRPr="00F43AD5">
          <w:rPr>
            <w:rFonts w:ascii="Courier New" w:hAnsi="Courier New" w:cs="Courier New"/>
            <w:sz w:val="18"/>
            <w:szCs w:val="18"/>
          </w:rPr>
          <w:t>—</w:t>
        </w:r>
        <w:r w:rsidRPr="00F43AD5">
          <w:rPr>
            <w:sz w:val="18"/>
            <w:szCs w:val="18"/>
          </w:rPr>
          <w:t xml:space="preserve"> 201</w:t>
        </w:r>
        <w:r>
          <w:rPr>
            <w:sz w:val="18"/>
            <w:szCs w:val="18"/>
          </w:rPr>
          <w:t>9</w:t>
        </w:r>
      </w:p>
      <w:p w14:paraId="3932E504" w14:textId="77AF05D5" w:rsidR="00DB233A" w:rsidRPr="00F43AD5" w:rsidRDefault="00DB233A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46575E">
          <w:rPr>
            <w:noProof/>
            <w:sz w:val="18"/>
            <w:szCs w:val="18"/>
          </w:rPr>
          <w:t>3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46F676" w14:textId="77777777" w:rsidR="00167616" w:rsidRDefault="00167616" w:rsidP="00F43AD5">
      <w:pPr>
        <w:spacing w:after="0" w:line="240" w:lineRule="auto"/>
      </w:pPr>
      <w:r>
        <w:separator/>
      </w:r>
    </w:p>
  </w:footnote>
  <w:footnote w:type="continuationSeparator" w:id="0">
    <w:p w14:paraId="5F114275" w14:textId="77777777" w:rsidR="00167616" w:rsidRDefault="00167616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A37DC7" w14:textId="0EE3E8DC" w:rsidR="00DB233A" w:rsidRDefault="00DB233A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7B651692" wp14:editId="701FE29C">
          <wp:extent cx="2938272" cy="594360"/>
          <wp:effectExtent l="0" t="0" r="0" b="0"/>
          <wp:docPr id="1" name="Picture 1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1D6187" w14:textId="44B8701B" w:rsidR="0046575E" w:rsidRDefault="0046575E" w:rsidP="0046575E">
    <w:pPr>
      <w:pStyle w:val="Header"/>
      <w:jc w:val="right"/>
    </w:pPr>
    <w:r>
      <w:rPr>
        <w:noProof/>
        <w:lang w:eastAsia="en-AU"/>
      </w:rPr>
      <w:drawing>
        <wp:inline distT="0" distB="0" distL="0" distR="0" wp14:anchorId="5933576D" wp14:editId="21ADD335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455EB74" w14:textId="77777777" w:rsidR="00DB233A" w:rsidRDefault="00DB233A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53CEC5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6FF4908"/>
    <w:multiLevelType w:val="hybridMultilevel"/>
    <w:tmpl w:val="03981F62"/>
    <w:lvl w:ilvl="0" w:tplc="0C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9FC69D7"/>
    <w:multiLevelType w:val="hybridMultilevel"/>
    <w:tmpl w:val="323A2ACE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1AF1DEF"/>
    <w:multiLevelType w:val="hybridMultilevel"/>
    <w:tmpl w:val="02C2484C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357542318">
    <w:abstractNumId w:val="0"/>
  </w:num>
  <w:num w:numId="2" w16cid:durableId="2094620167">
    <w:abstractNumId w:val="3"/>
  </w:num>
  <w:num w:numId="3" w16cid:durableId="963536150">
    <w:abstractNumId w:val="1"/>
  </w:num>
  <w:num w:numId="4" w16cid:durableId="1745183085">
    <w:abstractNumId w:val="0"/>
  </w:num>
  <w:num w:numId="5" w16cid:durableId="749813292">
    <w:abstractNumId w:val="2"/>
  </w:num>
  <w:num w:numId="6" w16cid:durableId="1535457413">
    <w:abstractNumId w:val="0"/>
  </w:num>
  <w:num w:numId="7" w16cid:durableId="436759663">
    <w:abstractNumId w:val="0"/>
  </w:num>
  <w:num w:numId="8" w16cid:durableId="1087262725">
    <w:abstractNumId w:val="0"/>
  </w:num>
  <w:num w:numId="9" w16cid:durableId="1598051485">
    <w:abstractNumId w:val="0"/>
  </w:num>
  <w:num w:numId="10" w16cid:durableId="1845389744">
    <w:abstractNumId w:val="0"/>
  </w:num>
  <w:num w:numId="11" w16cid:durableId="775946918">
    <w:abstractNumId w:val="0"/>
  </w:num>
  <w:num w:numId="12" w16cid:durableId="6180723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4EB2"/>
    <w:rsid w:val="00007B80"/>
    <w:rsid w:val="00007E8C"/>
    <w:rsid w:val="00013A22"/>
    <w:rsid w:val="0001416E"/>
    <w:rsid w:val="00014C3F"/>
    <w:rsid w:val="00017C82"/>
    <w:rsid w:val="00031550"/>
    <w:rsid w:val="00032B88"/>
    <w:rsid w:val="000414EC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2EE"/>
    <w:rsid w:val="00092D94"/>
    <w:rsid w:val="000A3721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4246"/>
    <w:rsid w:val="000E5A54"/>
    <w:rsid w:val="000E63D3"/>
    <w:rsid w:val="000E67CF"/>
    <w:rsid w:val="0010461E"/>
    <w:rsid w:val="00106FAA"/>
    <w:rsid w:val="00113443"/>
    <w:rsid w:val="0011538B"/>
    <w:rsid w:val="0012251E"/>
    <w:rsid w:val="001269A7"/>
    <w:rsid w:val="00131092"/>
    <w:rsid w:val="00140E6A"/>
    <w:rsid w:val="0014600D"/>
    <w:rsid w:val="00146545"/>
    <w:rsid w:val="00146B75"/>
    <w:rsid w:val="00150482"/>
    <w:rsid w:val="0015266D"/>
    <w:rsid w:val="0015288A"/>
    <w:rsid w:val="00160F47"/>
    <w:rsid w:val="00167616"/>
    <w:rsid w:val="00167955"/>
    <w:rsid w:val="00176C4C"/>
    <w:rsid w:val="00177CA1"/>
    <w:rsid w:val="00183823"/>
    <w:rsid w:val="00183942"/>
    <w:rsid w:val="00184DE8"/>
    <w:rsid w:val="00185B76"/>
    <w:rsid w:val="00195B98"/>
    <w:rsid w:val="001A009E"/>
    <w:rsid w:val="001A1287"/>
    <w:rsid w:val="001A3859"/>
    <w:rsid w:val="001A3C9D"/>
    <w:rsid w:val="001A43F8"/>
    <w:rsid w:val="001B66B2"/>
    <w:rsid w:val="001B79E5"/>
    <w:rsid w:val="001D5621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16010"/>
    <w:rsid w:val="00221547"/>
    <w:rsid w:val="002216FC"/>
    <w:rsid w:val="00222533"/>
    <w:rsid w:val="00222B80"/>
    <w:rsid w:val="00222F30"/>
    <w:rsid w:val="00224EE2"/>
    <w:rsid w:val="00227632"/>
    <w:rsid w:val="00227EC7"/>
    <w:rsid w:val="00244AD1"/>
    <w:rsid w:val="00245BD8"/>
    <w:rsid w:val="002463BC"/>
    <w:rsid w:val="002465CE"/>
    <w:rsid w:val="00250D98"/>
    <w:rsid w:val="002553E7"/>
    <w:rsid w:val="0025734A"/>
    <w:rsid w:val="002605BB"/>
    <w:rsid w:val="00263255"/>
    <w:rsid w:val="00276494"/>
    <w:rsid w:val="00276EC6"/>
    <w:rsid w:val="00277B0C"/>
    <w:rsid w:val="00283FC9"/>
    <w:rsid w:val="002B1A2C"/>
    <w:rsid w:val="002C34F2"/>
    <w:rsid w:val="002C58FF"/>
    <w:rsid w:val="002C7AFE"/>
    <w:rsid w:val="002D05D2"/>
    <w:rsid w:val="002E0D61"/>
    <w:rsid w:val="002E4C7B"/>
    <w:rsid w:val="00305B16"/>
    <w:rsid w:val="0030740C"/>
    <w:rsid w:val="00312A92"/>
    <w:rsid w:val="003132D4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57D4"/>
    <w:rsid w:val="003567A8"/>
    <w:rsid w:val="00362895"/>
    <w:rsid w:val="00370DBF"/>
    <w:rsid w:val="00386093"/>
    <w:rsid w:val="003867E7"/>
    <w:rsid w:val="00386FC7"/>
    <w:rsid w:val="003904A4"/>
    <w:rsid w:val="00391841"/>
    <w:rsid w:val="00391B6D"/>
    <w:rsid w:val="00394922"/>
    <w:rsid w:val="00396657"/>
    <w:rsid w:val="003A0E32"/>
    <w:rsid w:val="003A2B94"/>
    <w:rsid w:val="003B0290"/>
    <w:rsid w:val="003B387D"/>
    <w:rsid w:val="003B7124"/>
    <w:rsid w:val="003C0D58"/>
    <w:rsid w:val="003C3EE1"/>
    <w:rsid w:val="003D4FA3"/>
    <w:rsid w:val="003D5059"/>
    <w:rsid w:val="003E0807"/>
    <w:rsid w:val="003E1F53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A4B"/>
    <w:rsid w:val="00445E44"/>
    <w:rsid w:val="004509E2"/>
    <w:rsid w:val="004515EE"/>
    <w:rsid w:val="004529F0"/>
    <w:rsid w:val="00452D88"/>
    <w:rsid w:val="00460A03"/>
    <w:rsid w:val="00464A4D"/>
    <w:rsid w:val="0046575E"/>
    <w:rsid w:val="00472A11"/>
    <w:rsid w:val="00472AAD"/>
    <w:rsid w:val="00474E33"/>
    <w:rsid w:val="00475A0F"/>
    <w:rsid w:val="00476803"/>
    <w:rsid w:val="00482FB1"/>
    <w:rsid w:val="00485BFD"/>
    <w:rsid w:val="00485EF5"/>
    <w:rsid w:val="004867A2"/>
    <w:rsid w:val="004873F2"/>
    <w:rsid w:val="00490D4C"/>
    <w:rsid w:val="00493A35"/>
    <w:rsid w:val="0049527A"/>
    <w:rsid w:val="004966BF"/>
    <w:rsid w:val="00497984"/>
    <w:rsid w:val="004A5088"/>
    <w:rsid w:val="004B4EFF"/>
    <w:rsid w:val="004C1E3F"/>
    <w:rsid w:val="004C23F4"/>
    <w:rsid w:val="004C3475"/>
    <w:rsid w:val="004C58B6"/>
    <w:rsid w:val="004D16A3"/>
    <w:rsid w:val="004D20DE"/>
    <w:rsid w:val="004D4AA1"/>
    <w:rsid w:val="004D6D68"/>
    <w:rsid w:val="004E5EDD"/>
    <w:rsid w:val="004F448A"/>
    <w:rsid w:val="004F493D"/>
    <w:rsid w:val="004F65E8"/>
    <w:rsid w:val="0050005E"/>
    <w:rsid w:val="005025CB"/>
    <w:rsid w:val="00502B88"/>
    <w:rsid w:val="005142C4"/>
    <w:rsid w:val="0051509C"/>
    <w:rsid w:val="00525FE2"/>
    <w:rsid w:val="005272E2"/>
    <w:rsid w:val="0053108F"/>
    <w:rsid w:val="00532B56"/>
    <w:rsid w:val="00534B10"/>
    <w:rsid w:val="005446A2"/>
    <w:rsid w:val="00544D2F"/>
    <w:rsid w:val="00551BD8"/>
    <w:rsid w:val="00570E2D"/>
    <w:rsid w:val="00581055"/>
    <w:rsid w:val="00591E38"/>
    <w:rsid w:val="00597F40"/>
    <w:rsid w:val="005A0A6C"/>
    <w:rsid w:val="005A13C5"/>
    <w:rsid w:val="005A17E4"/>
    <w:rsid w:val="005A19C5"/>
    <w:rsid w:val="005A3034"/>
    <w:rsid w:val="005A462D"/>
    <w:rsid w:val="005A60FE"/>
    <w:rsid w:val="005B253B"/>
    <w:rsid w:val="005B2D77"/>
    <w:rsid w:val="005B771D"/>
    <w:rsid w:val="005C5D16"/>
    <w:rsid w:val="005D3193"/>
    <w:rsid w:val="005D3740"/>
    <w:rsid w:val="005D4A6E"/>
    <w:rsid w:val="005E526A"/>
    <w:rsid w:val="005E6979"/>
    <w:rsid w:val="005E75CB"/>
    <w:rsid w:val="006013C1"/>
    <w:rsid w:val="00602B51"/>
    <w:rsid w:val="00603F2B"/>
    <w:rsid w:val="00604DC1"/>
    <w:rsid w:val="0060669E"/>
    <w:rsid w:val="00610F2E"/>
    <w:rsid w:val="00611399"/>
    <w:rsid w:val="006234C3"/>
    <w:rsid w:val="00624C4E"/>
    <w:rsid w:val="00625200"/>
    <w:rsid w:val="00625395"/>
    <w:rsid w:val="00625A60"/>
    <w:rsid w:val="006363A8"/>
    <w:rsid w:val="00636DB7"/>
    <w:rsid w:val="006475FF"/>
    <w:rsid w:val="00650905"/>
    <w:rsid w:val="006509A2"/>
    <w:rsid w:val="00653136"/>
    <w:rsid w:val="006532ED"/>
    <w:rsid w:val="006549F2"/>
    <w:rsid w:val="006567B7"/>
    <w:rsid w:val="00657BFB"/>
    <w:rsid w:val="0066333C"/>
    <w:rsid w:val="006639B4"/>
    <w:rsid w:val="0066448B"/>
    <w:rsid w:val="006650FE"/>
    <w:rsid w:val="00666D92"/>
    <w:rsid w:val="0067305D"/>
    <w:rsid w:val="006777AB"/>
    <w:rsid w:val="00677D9B"/>
    <w:rsid w:val="006867F3"/>
    <w:rsid w:val="00687890"/>
    <w:rsid w:val="006901A2"/>
    <w:rsid w:val="00690368"/>
    <w:rsid w:val="0069079C"/>
    <w:rsid w:val="00690B53"/>
    <w:rsid w:val="00694717"/>
    <w:rsid w:val="00695B72"/>
    <w:rsid w:val="006B160A"/>
    <w:rsid w:val="006B32DA"/>
    <w:rsid w:val="006B4E6C"/>
    <w:rsid w:val="006B50B6"/>
    <w:rsid w:val="006C41F6"/>
    <w:rsid w:val="006D106F"/>
    <w:rsid w:val="006D79EA"/>
    <w:rsid w:val="006E5D05"/>
    <w:rsid w:val="006F6DCC"/>
    <w:rsid w:val="00701053"/>
    <w:rsid w:val="00701507"/>
    <w:rsid w:val="00714021"/>
    <w:rsid w:val="00716A0F"/>
    <w:rsid w:val="00717D45"/>
    <w:rsid w:val="007208F7"/>
    <w:rsid w:val="007218AF"/>
    <w:rsid w:val="007365D1"/>
    <w:rsid w:val="007372C3"/>
    <w:rsid w:val="00740E0E"/>
    <w:rsid w:val="0074149A"/>
    <w:rsid w:val="00750212"/>
    <w:rsid w:val="00754779"/>
    <w:rsid w:val="0075716D"/>
    <w:rsid w:val="00765F14"/>
    <w:rsid w:val="00770E31"/>
    <w:rsid w:val="0077493D"/>
    <w:rsid w:val="00775ABD"/>
    <w:rsid w:val="007770F1"/>
    <w:rsid w:val="00777EC9"/>
    <w:rsid w:val="00783FB1"/>
    <w:rsid w:val="00785CDD"/>
    <w:rsid w:val="00791427"/>
    <w:rsid w:val="007917B6"/>
    <w:rsid w:val="00791847"/>
    <w:rsid w:val="007925F0"/>
    <w:rsid w:val="007939B3"/>
    <w:rsid w:val="0079509C"/>
    <w:rsid w:val="00796708"/>
    <w:rsid w:val="007B1B42"/>
    <w:rsid w:val="007C30EB"/>
    <w:rsid w:val="007D28D6"/>
    <w:rsid w:val="007D361B"/>
    <w:rsid w:val="007D6711"/>
    <w:rsid w:val="007E063C"/>
    <w:rsid w:val="007E2A4B"/>
    <w:rsid w:val="007E307D"/>
    <w:rsid w:val="007E6A4E"/>
    <w:rsid w:val="007E6C94"/>
    <w:rsid w:val="007F1005"/>
    <w:rsid w:val="007F25E0"/>
    <w:rsid w:val="007F5328"/>
    <w:rsid w:val="008034F5"/>
    <w:rsid w:val="00804F5A"/>
    <w:rsid w:val="00810C6D"/>
    <w:rsid w:val="00812887"/>
    <w:rsid w:val="00812CAC"/>
    <w:rsid w:val="00820125"/>
    <w:rsid w:val="00826F21"/>
    <w:rsid w:val="00834CC8"/>
    <w:rsid w:val="00835E00"/>
    <w:rsid w:val="00837113"/>
    <w:rsid w:val="008414E4"/>
    <w:rsid w:val="00843E21"/>
    <w:rsid w:val="0084508E"/>
    <w:rsid w:val="00853163"/>
    <w:rsid w:val="00856FB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D5D8B"/>
    <w:rsid w:val="008E4A12"/>
    <w:rsid w:val="008E586C"/>
    <w:rsid w:val="008E7B64"/>
    <w:rsid w:val="008F567D"/>
    <w:rsid w:val="008F5DCD"/>
    <w:rsid w:val="00900951"/>
    <w:rsid w:val="00906D39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2C91"/>
    <w:rsid w:val="009578DD"/>
    <w:rsid w:val="00961124"/>
    <w:rsid w:val="009621B6"/>
    <w:rsid w:val="00974F2D"/>
    <w:rsid w:val="00977524"/>
    <w:rsid w:val="00977E88"/>
    <w:rsid w:val="0098027B"/>
    <w:rsid w:val="00984920"/>
    <w:rsid w:val="00986326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E7568"/>
    <w:rsid w:val="009F04D2"/>
    <w:rsid w:val="009F05CF"/>
    <w:rsid w:val="009F0F3A"/>
    <w:rsid w:val="00A009C1"/>
    <w:rsid w:val="00A01D0C"/>
    <w:rsid w:val="00A0643F"/>
    <w:rsid w:val="00A067EE"/>
    <w:rsid w:val="00A10FCE"/>
    <w:rsid w:val="00A16D91"/>
    <w:rsid w:val="00A174CC"/>
    <w:rsid w:val="00A2073D"/>
    <w:rsid w:val="00A20751"/>
    <w:rsid w:val="00A26475"/>
    <w:rsid w:val="00A27E2D"/>
    <w:rsid w:val="00A3073A"/>
    <w:rsid w:val="00A31D99"/>
    <w:rsid w:val="00A357BA"/>
    <w:rsid w:val="00A35ADC"/>
    <w:rsid w:val="00A402A3"/>
    <w:rsid w:val="00A44EDC"/>
    <w:rsid w:val="00A53681"/>
    <w:rsid w:val="00A633D4"/>
    <w:rsid w:val="00A6461A"/>
    <w:rsid w:val="00A665D0"/>
    <w:rsid w:val="00A804DA"/>
    <w:rsid w:val="00A84504"/>
    <w:rsid w:val="00A8672F"/>
    <w:rsid w:val="00A87DC2"/>
    <w:rsid w:val="00A93057"/>
    <w:rsid w:val="00A968B0"/>
    <w:rsid w:val="00AA168D"/>
    <w:rsid w:val="00AA791C"/>
    <w:rsid w:val="00AB2672"/>
    <w:rsid w:val="00AB2817"/>
    <w:rsid w:val="00AB43C4"/>
    <w:rsid w:val="00AC32E7"/>
    <w:rsid w:val="00AC3A9F"/>
    <w:rsid w:val="00AC6D2F"/>
    <w:rsid w:val="00AE0C53"/>
    <w:rsid w:val="00AE2745"/>
    <w:rsid w:val="00AE2F64"/>
    <w:rsid w:val="00AF42CB"/>
    <w:rsid w:val="00AF483F"/>
    <w:rsid w:val="00AF4CD5"/>
    <w:rsid w:val="00AF5E07"/>
    <w:rsid w:val="00AF5F06"/>
    <w:rsid w:val="00B00A25"/>
    <w:rsid w:val="00B113AE"/>
    <w:rsid w:val="00B1336C"/>
    <w:rsid w:val="00B1422A"/>
    <w:rsid w:val="00B1765C"/>
    <w:rsid w:val="00B213C4"/>
    <w:rsid w:val="00B40C60"/>
    <w:rsid w:val="00B479A9"/>
    <w:rsid w:val="00B52EDF"/>
    <w:rsid w:val="00B63AF0"/>
    <w:rsid w:val="00B71188"/>
    <w:rsid w:val="00B76A41"/>
    <w:rsid w:val="00B87D4C"/>
    <w:rsid w:val="00B925FD"/>
    <w:rsid w:val="00B93646"/>
    <w:rsid w:val="00BA0705"/>
    <w:rsid w:val="00BA0B38"/>
    <w:rsid w:val="00BA1DBB"/>
    <w:rsid w:val="00BA4510"/>
    <w:rsid w:val="00BA4DAB"/>
    <w:rsid w:val="00BA51E0"/>
    <w:rsid w:val="00BA529A"/>
    <w:rsid w:val="00BB4D8E"/>
    <w:rsid w:val="00BB612A"/>
    <w:rsid w:val="00BB776F"/>
    <w:rsid w:val="00BC10D7"/>
    <w:rsid w:val="00BD499F"/>
    <w:rsid w:val="00BD56DE"/>
    <w:rsid w:val="00BE3993"/>
    <w:rsid w:val="00BF1C4E"/>
    <w:rsid w:val="00BF2406"/>
    <w:rsid w:val="00BF6BDE"/>
    <w:rsid w:val="00C06E43"/>
    <w:rsid w:val="00C15C76"/>
    <w:rsid w:val="00C16315"/>
    <w:rsid w:val="00C220E9"/>
    <w:rsid w:val="00C231F0"/>
    <w:rsid w:val="00C26EF2"/>
    <w:rsid w:val="00C3091E"/>
    <w:rsid w:val="00C40FF1"/>
    <w:rsid w:val="00C419E2"/>
    <w:rsid w:val="00C5020E"/>
    <w:rsid w:val="00C57452"/>
    <w:rsid w:val="00C61EDF"/>
    <w:rsid w:val="00C6239D"/>
    <w:rsid w:val="00C63951"/>
    <w:rsid w:val="00C6594B"/>
    <w:rsid w:val="00C67FFB"/>
    <w:rsid w:val="00C7155E"/>
    <w:rsid w:val="00C71D1E"/>
    <w:rsid w:val="00C71D7D"/>
    <w:rsid w:val="00C74833"/>
    <w:rsid w:val="00C81C45"/>
    <w:rsid w:val="00C850A0"/>
    <w:rsid w:val="00C85A86"/>
    <w:rsid w:val="00C978F0"/>
    <w:rsid w:val="00CA0DF8"/>
    <w:rsid w:val="00CA58FE"/>
    <w:rsid w:val="00CA7F4D"/>
    <w:rsid w:val="00CB0AA8"/>
    <w:rsid w:val="00CB1CB1"/>
    <w:rsid w:val="00CB5BCF"/>
    <w:rsid w:val="00CB6BC1"/>
    <w:rsid w:val="00CB6CB8"/>
    <w:rsid w:val="00CC1A68"/>
    <w:rsid w:val="00CC2123"/>
    <w:rsid w:val="00CD2BFD"/>
    <w:rsid w:val="00CE5AD6"/>
    <w:rsid w:val="00CE5D24"/>
    <w:rsid w:val="00CE617F"/>
    <w:rsid w:val="00CE78EF"/>
    <w:rsid w:val="00D00DD6"/>
    <w:rsid w:val="00D027C3"/>
    <w:rsid w:val="00D048F7"/>
    <w:rsid w:val="00D0517E"/>
    <w:rsid w:val="00D140FC"/>
    <w:rsid w:val="00D16CEC"/>
    <w:rsid w:val="00D21D8C"/>
    <w:rsid w:val="00D25799"/>
    <w:rsid w:val="00D268A4"/>
    <w:rsid w:val="00D312D1"/>
    <w:rsid w:val="00D31357"/>
    <w:rsid w:val="00D33220"/>
    <w:rsid w:val="00D334D1"/>
    <w:rsid w:val="00D44C89"/>
    <w:rsid w:val="00D514BB"/>
    <w:rsid w:val="00D516CD"/>
    <w:rsid w:val="00D668E6"/>
    <w:rsid w:val="00D70670"/>
    <w:rsid w:val="00D74D80"/>
    <w:rsid w:val="00D76624"/>
    <w:rsid w:val="00D8284A"/>
    <w:rsid w:val="00D87570"/>
    <w:rsid w:val="00D91CB9"/>
    <w:rsid w:val="00D97989"/>
    <w:rsid w:val="00D97D8D"/>
    <w:rsid w:val="00DA352E"/>
    <w:rsid w:val="00DB233A"/>
    <w:rsid w:val="00DB2DFF"/>
    <w:rsid w:val="00DC7694"/>
    <w:rsid w:val="00DD1BF6"/>
    <w:rsid w:val="00DD23F1"/>
    <w:rsid w:val="00DD2C9C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21313"/>
    <w:rsid w:val="00E23911"/>
    <w:rsid w:val="00E2539B"/>
    <w:rsid w:val="00E26A07"/>
    <w:rsid w:val="00E32595"/>
    <w:rsid w:val="00E37CFD"/>
    <w:rsid w:val="00E41A26"/>
    <w:rsid w:val="00E46BCB"/>
    <w:rsid w:val="00E51CAF"/>
    <w:rsid w:val="00E60F04"/>
    <w:rsid w:val="00E62AAC"/>
    <w:rsid w:val="00E632F3"/>
    <w:rsid w:val="00E67C2F"/>
    <w:rsid w:val="00E67EF5"/>
    <w:rsid w:val="00E804EA"/>
    <w:rsid w:val="00E80A71"/>
    <w:rsid w:val="00E82337"/>
    <w:rsid w:val="00E90E33"/>
    <w:rsid w:val="00E92499"/>
    <w:rsid w:val="00E93AA8"/>
    <w:rsid w:val="00E949AF"/>
    <w:rsid w:val="00E96077"/>
    <w:rsid w:val="00EA0A06"/>
    <w:rsid w:val="00EA376C"/>
    <w:rsid w:val="00EA6243"/>
    <w:rsid w:val="00EA74AB"/>
    <w:rsid w:val="00EB3D1B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3152C"/>
    <w:rsid w:val="00F43AD5"/>
    <w:rsid w:val="00F4402E"/>
    <w:rsid w:val="00F5360C"/>
    <w:rsid w:val="00F56DD0"/>
    <w:rsid w:val="00F6491C"/>
    <w:rsid w:val="00F67BBB"/>
    <w:rsid w:val="00F84842"/>
    <w:rsid w:val="00F87D92"/>
    <w:rsid w:val="00F90AA7"/>
    <w:rsid w:val="00F92498"/>
    <w:rsid w:val="00F9496B"/>
    <w:rsid w:val="00F970C9"/>
    <w:rsid w:val="00FA06A8"/>
    <w:rsid w:val="00FA3DF5"/>
    <w:rsid w:val="00FA741F"/>
    <w:rsid w:val="00FB1273"/>
    <w:rsid w:val="00FB4E07"/>
    <w:rsid w:val="00FB755A"/>
    <w:rsid w:val="00FC26B9"/>
    <w:rsid w:val="00FC4F34"/>
    <w:rsid w:val="00FC60A2"/>
    <w:rsid w:val="00FD1871"/>
    <w:rsid w:val="00FD3110"/>
    <w:rsid w:val="00FD69F8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4E37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character" w:styleId="CommentReference">
    <w:name w:val="annotation reference"/>
    <w:basedOn w:val="DefaultParagraphFont"/>
    <w:uiPriority w:val="99"/>
    <w:semiHidden/>
    <w:unhideWhenUsed/>
    <w:rsid w:val="003C3E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C3EE1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C3EE1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3E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3EE1"/>
    <w:rPr>
      <w:b/>
      <w:bCs/>
      <w:szCs w:val="20"/>
    </w:rPr>
  </w:style>
  <w:style w:type="paragraph" w:styleId="ListBullet">
    <w:name w:val="List Bullet"/>
    <w:basedOn w:val="Normal"/>
    <w:uiPriority w:val="99"/>
    <w:unhideWhenUsed/>
    <w:rsid w:val="00C26EF2"/>
    <w:pPr>
      <w:numPr>
        <w:numId w:val="1"/>
      </w:numPr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952C9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293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0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11D220FD2644F9B8E07247814D75B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F8C089-4446-4FCE-9A64-DB4A6203D775}"/>
      </w:docPartPr>
      <w:docPartBody>
        <w:p w:rsidR="00176340" w:rsidRDefault="007C62F7" w:rsidP="007C62F7">
          <w:pPr>
            <w:pStyle w:val="111D220FD2644F9B8E07247814D75BC1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A847FB54B0394AFAB72B87605586AB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4F0FA9-40C3-40AB-9B69-87260CCDF5A4}"/>
      </w:docPartPr>
      <w:docPartBody>
        <w:p w:rsidR="00A306FA" w:rsidRDefault="00EA0E07" w:rsidP="00EA0E07">
          <w:pPr>
            <w:pStyle w:val="A847FB54B0394AFAB72B87605586AB57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76340"/>
    <w:rsid w:val="00596325"/>
    <w:rsid w:val="005A17E4"/>
    <w:rsid w:val="005E10D5"/>
    <w:rsid w:val="0066448B"/>
    <w:rsid w:val="007C62F7"/>
    <w:rsid w:val="00974691"/>
    <w:rsid w:val="009D1DB3"/>
    <w:rsid w:val="00A306FA"/>
    <w:rsid w:val="00D21A9F"/>
    <w:rsid w:val="00EA0E07"/>
    <w:rsid w:val="00F40C61"/>
    <w:rsid w:val="00F500F7"/>
    <w:rsid w:val="00F72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A0E07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111D220FD2644F9B8E07247814D75BC1">
    <w:name w:val="111D220FD2644F9B8E07247814D75BC1"/>
    <w:rsid w:val="007C62F7"/>
    <w:rPr>
      <w:lang w:val="en-US" w:eastAsia="en-US"/>
    </w:rPr>
  </w:style>
  <w:style w:type="paragraph" w:customStyle="1" w:styleId="A847FB54B0394AFAB72B87605586AB57">
    <w:name w:val="A847FB54B0394AFAB72B87605586AB57"/>
    <w:rsid w:val="00EA0E0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45FAD4F-3276-443D-AD43-E095476A663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A8775BC-F35F-47C3-8BD2-21D38C17F32D}">
  <ds:schemaRefs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1c567317-0c4d-4a62-8516-c22afd1b5354"/>
    <ds:schemaRef ds:uri="a0509f21-ed56-4150-9955-96be669e5f2d"/>
  </ds:schemaRefs>
</ds:datastoreItem>
</file>

<file path=customXml/itemProps3.xml><?xml version="1.0" encoding="utf-8"?>
<ds:datastoreItem xmlns:ds="http://schemas.openxmlformats.org/officeDocument/2006/customXml" ds:itemID="{F375C588-710C-44AD-8DD2-47F8CE8C4E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4FC6E03-8923-4293-B1E3-4F9667A77EE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980</Words>
  <Characters>5590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2019-08-28T01:26:00Z</dcterms:created>
  <dcterms:modified xsi:type="dcterms:W3CDTF">2026-01-09T00:18:00Z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2025-12-18T06:11:14Z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c9046b00-1f16-4140-9e9e-57d423800a2a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