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E81E00C" w14:textId="2C84FB55" w:rsidR="00BD499F" w:rsidRPr="004C23F4" w:rsidRDefault="00885790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o-sec-Butylphenol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0481BC27" w14:textId="77777777" w:rsidTr="00B76A41">
        <w:trPr>
          <w:cantSplit/>
          <w:tblHeader/>
        </w:trPr>
        <w:tc>
          <w:tcPr>
            <w:tcW w:w="4077" w:type="dxa"/>
          </w:tcPr>
          <w:p w14:paraId="577D283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77CA98F" w14:textId="77777777" w:rsidR="00F43AD5" w:rsidRPr="00717D45" w:rsidRDefault="0041043F" w:rsidP="00B76A41">
            <w:pPr>
              <w:pStyle w:val="Tablefont"/>
            </w:pPr>
            <w:r>
              <w:t>89-72-5</w:t>
            </w:r>
          </w:p>
        </w:tc>
      </w:tr>
      <w:tr w:rsidR="00F43AD5" w:rsidRPr="004C23F4" w14:paraId="424DA51D" w14:textId="77777777" w:rsidTr="00B76A41">
        <w:trPr>
          <w:cantSplit/>
        </w:trPr>
        <w:tc>
          <w:tcPr>
            <w:tcW w:w="4077" w:type="dxa"/>
          </w:tcPr>
          <w:p w14:paraId="001BD88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74F2510" w14:textId="69C49BC6" w:rsidR="00F43AD5" w:rsidRPr="00717D45" w:rsidRDefault="0041043F" w:rsidP="00B76A41">
            <w:pPr>
              <w:pStyle w:val="Tablefont"/>
            </w:pPr>
            <w:r>
              <w:t>2-sec-butylphenol, 2-(1-</w:t>
            </w:r>
            <w:proofErr w:type="gramStart"/>
            <w:r>
              <w:t>methylpropyl)phenol</w:t>
            </w:r>
            <w:proofErr w:type="gramEnd"/>
            <w:r w:rsidR="0069406F">
              <w:t xml:space="preserve">, </w:t>
            </w:r>
            <w:r w:rsidR="00E44269">
              <w:br/>
            </w:r>
            <w:r w:rsidR="0069406F" w:rsidRPr="00E82570">
              <w:t xml:space="preserve">o-sec-butylphenol, </w:t>
            </w:r>
            <w:proofErr w:type="spellStart"/>
            <w:proofErr w:type="gramStart"/>
            <w:r w:rsidR="0069406F" w:rsidRPr="00E82570">
              <w:t>phenol,</w:t>
            </w:r>
            <w:r w:rsidR="00E82570" w:rsidRPr="00E82570">
              <w:t>o</w:t>
            </w:r>
            <w:proofErr w:type="spellEnd"/>
            <w:proofErr w:type="gramEnd"/>
            <w:r w:rsidR="00E82570" w:rsidRPr="00E82570">
              <w:t>-sec-butyl</w:t>
            </w:r>
          </w:p>
        </w:tc>
      </w:tr>
      <w:tr w:rsidR="00F43AD5" w:rsidRPr="004C23F4" w14:paraId="7A4052A4" w14:textId="77777777" w:rsidTr="00B76A41">
        <w:trPr>
          <w:cantSplit/>
        </w:trPr>
        <w:tc>
          <w:tcPr>
            <w:tcW w:w="4077" w:type="dxa"/>
          </w:tcPr>
          <w:p w14:paraId="37C42AA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BA4BF00" w14:textId="77777777" w:rsidR="00F43AD5" w:rsidRPr="00717D45" w:rsidRDefault="000E09D5" w:rsidP="00B76A41">
            <w:pPr>
              <w:pStyle w:val="Tablefont"/>
            </w:pPr>
            <w:r>
              <w:t>C</w:t>
            </w:r>
            <w:r w:rsidRPr="000E09D5">
              <w:rPr>
                <w:vertAlign w:val="subscript"/>
              </w:rPr>
              <w:t>10</w:t>
            </w:r>
            <w:r>
              <w:t>H</w:t>
            </w:r>
            <w:r w:rsidRPr="000E09D5">
              <w:rPr>
                <w:vertAlign w:val="subscript"/>
              </w:rPr>
              <w:t>14</w:t>
            </w:r>
            <w:r>
              <w:t>O</w:t>
            </w:r>
          </w:p>
        </w:tc>
      </w:tr>
      <w:tr w:rsidR="00F43AD5" w:rsidRPr="004C23F4" w14:paraId="3E7A4275" w14:textId="77777777" w:rsidTr="00B76A41">
        <w:trPr>
          <w:cantSplit/>
        </w:trPr>
        <w:tc>
          <w:tcPr>
            <w:tcW w:w="4077" w:type="dxa"/>
          </w:tcPr>
          <w:p w14:paraId="10AF504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0A82AAF" w14:textId="77777777" w:rsidR="00F43AD5" w:rsidRPr="00B40C60" w:rsidRDefault="00A15348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35455E5" w14:textId="705612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049A1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1FDCD7E2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057038C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3D3E735F" w14:textId="77777777" w:rsidR="002C7AFE" w:rsidRPr="00EB3D1B" w:rsidRDefault="00931CA6" w:rsidP="00017C82">
            <w:pPr>
              <w:pStyle w:val="Tablefont"/>
              <w:rPr>
                <w:b/>
              </w:rPr>
            </w:pPr>
            <w:r w:rsidRPr="00931CA6">
              <w:rPr>
                <w:b/>
              </w:rPr>
              <w:t>5 ppm (31 mg/m</w:t>
            </w:r>
            <w:r w:rsidRPr="00BA407F">
              <w:rPr>
                <w:b/>
                <w:vertAlign w:val="superscript"/>
              </w:rPr>
              <w:t>3</w:t>
            </w:r>
            <w:r w:rsidRPr="00931CA6">
              <w:rPr>
                <w:b/>
              </w:rPr>
              <w:t>)</w:t>
            </w:r>
          </w:p>
        </w:tc>
      </w:tr>
      <w:tr w:rsidR="002C7AFE" w:rsidRPr="004C23F4" w14:paraId="3AD6FF8F" w14:textId="77777777" w:rsidTr="00921DE7">
        <w:trPr>
          <w:cantSplit/>
        </w:trPr>
        <w:tc>
          <w:tcPr>
            <w:tcW w:w="4077" w:type="dxa"/>
            <w:vAlign w:val="center"/>
          </w:tcPr>
          <w:p w14:paraId="7652C0CE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5FBB9885" w14:textId="77777777" w:rsidR="002C7AFE" w:rsidRPr="00EB3D1B" w:rsidRDefault="00A1534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B14FAC2" w14:textId="77777777" w:rsidTr="00921DE7">
        <w:trPr>
          <w:cantSplit/>
        </w:trPr>
        <w:tc>
          <w:tcPr>
            <w:tcW w:w="4077" w:type="dxa"/>
            <w:vAlign w:val="center"/>
          </w:tcPr>
          <w:p w14:paraId="6516D13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3765E528" w14:textId="77777777" w:rsidR="002C7AFE" w:rsidRPr="00EB3D1B" w:rsidRDefault="00A1534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7148AEB" w14:textId="77777777" w:rsidTr="00A2073D">
        <w:trPr>
          <w:cantSplit/>
        </w:trPr>
        <w:tc>
          <w:tcPr>
            <w:tcW w:w="4077" w:type="dxa"/>
          </w:tcPr>
          <w:p w14:paraId="4EE4CC67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3A8262C9" w14:textId="7BB578E0" w:rsidR="002C7AFE" w:rsidRPr="00EB3D1B" w:rsidRDefault="0054247E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7A0AC467" w14:textId="77777777" w:rsidTr="00921DE7">
        <w:trPr>
          <w:cantSplit/>
        </w:trPr>
        <w:tc>
          <w:tcPr>
            <w:tcW w:w="4077" w:type="dxa"/>
            <w:vAlign w:val="center"/>
          </w:tcPr>
          <w:p w14:paraId="2A22214E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7A646F32" w14:textId="77777777" w:rsidR="002C7AFE" w:rsidRPr="00EB3D1B" w:rsidRDefault="00DB4BA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F04D2" w:rsidRPr="004C23F4" w14:paraId="466C4302" w14:textId="77777777" w:rsidTr="00155A79">
        <w:trPr>
          <w:cantSplit/>
        </w:trPr>
        <w:tc>
          <w:tcPr>
            <w:tcW w:w="4077" w:type="dxa"/>
          </w:tcPr>
          <w:p w14:paraId="0A1D8B59" w14:textId="77777777" w:rsidR="009F04D2" w:rsidRDefault="009F04D2" w:rsidP="00155A79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2A778669" w14:textId="130C78CF" w:rsidR="009F04D2" w:rsidRPr="00155A79" w:rsidRDefault="00155A79" w:rsidP="007E74C2">
            <w:pPr>
              <w:pStyle w:val="Tablefont"/>
            </w:pPr>
            <w:r w:rsidRPr="00155A79">
              <w:t xml:space="preserve">The recommended value is quantifiable through available sampling and analysis techniques. </w:t>
            </w:r>
          </w:p>
        </w:tc>
      </w:tr>
    </w:tbl>
    <w:p w14:paraId="42538DE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A779928" w14:textId="5ABF7F4B" w:rsidR="00931CA6" w:rsidRDefault="00931CA6" w:rsidP="00931CA6">
      <w:pPr>
        <w:rPr>
          <w:rFonts w:cs="Arial"/>
        </w:rPr>
      </w:pPr>
      <w:r w:rsidRPr="007B14D6">
        <w:rPr>
          <w:rFonts w:cs="Arial"/>
        </w:rPr>
        <w:t xml:space="preserve">A TWA of </w:t>
      </w:r>
      <w:r w:rsidRPr="00931CA6">
        <w:rPr>
          <w:rFonts w:cs="Arial"/>
        </w:rPr>
        <w:t>5 ppm (31 mg/m</w:t>
      </w:r>
      <w:r w:rsidRPr="00BA407F">
        <w:rPr>
          <w:rFonts w:cs="Arial"/>
          <w:vertAlign w:val="superscript"/>
        </w:rPr>
        <w:t>3</w:t>
      </w:r>
      <w:r w:rsidRPr="00931CA6">
        <w:rPr>
          <w:rFonts w:cs="Arial"/>
        </w:rPr>
        <w:t>)</w:t>
      </w:r>
      <w:r w:rsidRPr="007B14D6">
        <w:rPr>
          <w:rFonts w:cs="Arial"/>
        </w:rPr>
        <w:t xml:space="preserve"> is </w:t>
      </w:r>
      <w:r w:rsidR="00EC5CEB">
        <w:rPr>
          <w:rFonts w:cs="Arial"/>
        </w:rPr>
        <w:t>recommended</w:t>
      </w:r>
      <w:r w:rsidR="00EC5CEB" w:rsidRPr="007B14D6">
        <w:rPr>
          <w:rFonts w:cs="Arial"/>
        </w:rPr>
        <w:t xml:space="preserve"> </w:t>
      </w:r>
      <w:r w:rsidRPr="007B14D6">
        <w:rPr>
          <w:rFonts w:cs="Arial"/>
        </w:rPr>
        <w:t xml:space="preserve">to protect </w:t>
      </w:r>
      <w:r>
        <w:rPr>
          <w:rFonts w:cs="Arial"/>
        </w:rPr>
        <w:t xml:space="preserve">for </w:t>
      </w:r>
      <w:r>
        <w:t xml:space="preserve">respiratory </w:t>
      </w:r>
      <w:r w:rsidRPr="00C91D05">
        <w:t xml:space="preserve">irritation </w:t>
      </w:r>
      <w:r>
        <w:t xml:space="preserve">and skin </w:t>
      </w:r>
      <w:r w:rsidR="00E44269">
        <w:t xml:space="preserve">corrosion </w:t>
      </w:r>
      <w:r>
        <w:t>in</w:t>
      </w:r>
      <w:r w:rsidRPr="005B4063">
        <w:rPr>
          <w:rFonts w:cs="Arial"/>
        </w:rPr>
        <w:t xml:space="preserve"> </w:t>
      </w:r>
      <w:r w:rsidRPr="005B4063">
        <w:rPr>
          <w:rFonts w:eastAsia="Calibri" w:cs="Times New Roman"/>
        </w:rPr>
        <w:t>exposed workers</w:t>
      </w:r>
      <w:r w:rsidRPr="005B4063">
        <w:rPr>
          <w:rFonts w:cs="Arial"/>
        </w:rPr>
        <w:t>.</w:t>
      </w:r>
    </w:p>
    <w:p w14:paraId="3337DA71" w14:textId="77777777" w:rsidR="009049A1" w:rsidRDefault="009049A1" w:rsidP="009049A1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793B5CE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47C982D" w14:textId="06145762" w:rsidR="00E44269" w:rsidRDefault="00931CA6" w:rsidP="00931CA6">
      <w:pPr>
        <w:rPr>
          <w:rFonts w:cs="Arial"/>
        </w:rPr>
      </w:pPr>
      <w:r w:rsidRPr="00931CA6">
        <w:rPr>
          <w:rFonts w:eastAsia="Calibri" w:cs="Times New Roman"/>
        </w:rPr>
        <w:t>O-</w:t>
      </w:r>
      <w:r>
        <w:rPr>
          <w:rFonts w:eastAsia="Calibri" w:cs="Times New Roman"/>
        </w:rPr>
        <w:t>sec</w:t>
      </w:r>
      <w:r w:rsidRPr="00931CA6">
        <w:rPr>
          <w:rFonts w:eastAsia="Calibri" w:cs="Times New Roman"/>
        </w:rPr>
        <w:t>-</w:t>
      </w:r>
      <w:r w:rsidR="00E44269">
        <w:rPr>
          <w:rFonts w:eastAsia="Calibri" w:cs="Times New Roman"/>
        </w:rPr>
        <w:t>b</w:t>
      </w:r>
      <w:r>
        <w:rPr>
          <w:rFonts w:eastAsia="Calibri" w:cs="Times New Roman"/>
        </w:rPr>
        <w:t>utylphenol</w:t>
      </w:r>
      <w:r w:rsidRPr="005B4063">
        <w:rPr>
          <w:rFonts w:eastAsia="Calibri" w:cs="Times New Roman"/>
        </w:rPr>
        <w:t xml:space="preserve"> </w:t>
      </w:r>
      <w:r>
        <w:rPr>
          <w:rFonts w:cs="Arial"/>
        </w:rPr>
        <w:t>is used as a chemical intermediate in resins, plastici</w:t>
      </w:r>
      <w:r w:rsidR="0054247E">
        <w:rPr>
          <w:rFonts w:cs="Arial"/>
        </w:rPr>
        <w:t>s</w:t>
      </w:r>
      <w:r>
        <w:rPr>
          <w:rFonts w:cs="Arial"/>
        </w:rPr>
        <w:t>ers</w:t>
      </w:r>
      <w:r w:rsidR="00E44269">
        <w:rPr>
          <w:rFonts w:cs="Arial"/>
        </w:rPr>
        <w:t xml:space="preserve"> and</w:t>
      </w:r>
      <w:r>
        <w:rPr>
          <w:rFonts w:cs="Arial"/>
        </w:rPr>
        <w:t xml:space="preserve"> </w:t>
      </w:r>
      <w:r w:rsidR="00142B00">
        <w:rPr>
          <w:rFonts w:cs="Arial"/>
        </w:rPr>
        <w:t>surface-active</w:t>
      </w:r>
      <w:r>
        <w:rPr>
          <w:rFonts w:cs="Arial"/>
        </w:rPr>
        <w:t xml:space="preserve"> agents. </w:t>
      </w:r>
      <w:r w:rsidR="00BA407F">
        <w:rPr>
          <w:rFonts w:cs="Arial"/>
        </w:rPr>
        <w:t>Phenols and cresols are considered similar analogues for toxicity.</w:t>
      </w:r>
    </w:p>
    <w:p w14:paraId="159A8FAC" w14:textId="65829A5C" w:rsidR="00931CA6" w:rsidRDefault="00BA407F" w:rsidP="00931CA6">
      <w:r>
        <w:t>The critical effect is irritation of</w:t>
      </w:r>
      <w:r w:rsidR="00931CA6">
        <w:t xml:space="preserve"> </w:t>
      </w:r>
      <w:r w:rsidR="00E44269">
        <w:t xml:space="preserve">the </w:t>
      </w:r>
      <w:r w:rsidR="00931CA6">
        <w:t>respiratory tract and skin</w:t>
      </w:r>
      <w:r w:rsidR="00EC5CEB">
        <w:t>.</w:t>
      </w:r>
      <w:r w:rsidR="00931CA6">
        <w:t xml:space="preserve"> </w:t>
      </w:r>
      <w:r w:rsidR="00E44269">
        <w:t>However, l</w:t>
      </w:r>
      <w:r w:rsidR="00844686">
        <w:t xml:space="preserve">imited </w:t>
      </w:r>
      <w:r w:rsidR="001C52D8">
        <w:t xml:space="preserve">toxicological </w:t>
      </w:r>
      <w:r w:rsidR="00844686">
        <w:t xml:space="preserve">evidence exists </w:t>
      </w:r>
      <w:r w:rsidR="00E44269">
        <w:t>for</w:t>
      </w:r>
      <w:r w:rsidR="00844686">
        <w:t xml:space="preserve"> humans and animals. As such, the ACGIH</w:t>
      </w:r>
      <w:r w:rsidR="001C52D8">
        <w:t xml:space="preserve"> have</w:t>
      </w:r>
      <w:r w:rsidR="00931CA6">
        <w:t xml:space="preserve"> </w:t>
      </w:r>
      <w:r w:rsidR="001C52D8">
        <w:t xml:space="preserve">based the </w:t>
      </w:r>
      <w:r w:rsidR="00931CA6">
        <w:t>recommendation</w:t>
      </w:r>
      <w:r w:rsidR="001C52D8">
        <w:t xml:space="preserve"> for the</w:t>
      </w:r>
      <w:r w:rsidR="00931CA6">
        <w:t xml:space="preserve"> </w:t>
      </w:r>
      <w:r w:rsidR="0033733A">
        <w:t>TLV</w:t>
      </w:r>
      <w:r w:rsidR="0033733A">
        <w:noBreakHyphen/>
      </w:r>
      <w:r w:rsidR="00931CA6">
        <w:t xml:space="preserve">TWA by analogy to </w:t>
      </w:r>
      <w:r w:rsidR="00E44269">
        <w:t>p</w:t>
      </w:r>
      <w:r w:rsidR="00931CA6">
        <w:t xml:space="preserve">henol and </w:t>
      </w:r>
      <w:r w:rsidR="00E44269">
        <w:t>c</w:t>
      </w:r>
      <w:r w:rsidR="00931CA6">
        <w:t>resol</w:t>
      </w:r>
      <w:r w:rsidR="001C52D8">
        <w:t xml:space="preserve"> (ACGIH</w:t>
      </w:r>
      <w:r w:rsidR="00EC5CEB">
        <w:t>,</w:t>
      </w:r>
      <w:r w:rsidR="001C52D8">
        <w:t xml:space="preserve"> 20</w:t>
      </w:r>
      <w:r w:rsidR="00EC5CEB">
        <w:t>18</w:t>
      </w:r>
      <w:r w:rsidR="001C52D8">
        <w:t xml:space="preserve">). </w:t>
      </w:r>
    </w:p>
    <w:p w14:paraId="5709CF35" w14:textId="51EE6742" w:rsidR="007A26B5" w:rsidRDefault="0004444D" w:rsidP="00931CA6">
      <w:pPr>
        <w:rPr>
          <w:rFonts w:eastAsia="Calibri" w:cs="Times New Roman"/>
        </w:rPr>
      </w:pPr>
      <w:r>
        <w:t xml:space="preserve">It is recommended that the current TWA be retained in the interim and that a review of additional data sources be carried out at the next scheduled review. </w:t>
      </w:r>
      <w:r w:rsidR="007A26B5">
        <w:t>The recommended</w:t>
      </w:r>
      <w:r w:rsidR="001C52D8">
        <w:t xml:space="preserve"> TWA </w:t>
      </w:r>
      <w:r w:rsidR="00931CA6">
        <w:t xml:space="preserve">is sufficiently low to minimise </w:t>
      </w:r>
      <w:r w:rsidR="00931CA6" w:rsidRPr="00C91D05">
        <w:t xml:space="preserve">the potential for </w:t>
      </w:r>
      <w:r w:rsidR="00931CA6">
        <w:t xml:space="preserve">respiratory </w:t>
      </w:r>
      <w:r w:rsidR="00931CA6" w:rsidRPr="00C91D05">
        <w:t xml:space="preserve">irritation </w:t>
      </w:r>
      <w:r w:rsidR="00931CA6">
        <w:t>and skin burns in</w:t>
      </w:r>
      <w:r w:rsidR="00931CA6" w:rsidRPr="005B4063">
        <w:rPr>
          <w:rFonts w:cs="Arial"/>
        </w:rPr>
        <w:t xml:space="preserve"> </w:t>
      </w:r>
      <w:r w:rsidR="00931CA6" w:rsidRPr="005B4063">
        <w:rPr>
          <w:rFonts w:eastAsia="Calibri" w:cs="Times New Roman"/>
        </w:rPr>
        <w:t>exposed workers</w:t>
      </w:r>
      <w:r w:rsidR="00931CA6">
        <w:rPr>
          <w:rFonts w:eastAsia="Calibri" w:cs="Times New Roman"/>
        </w:rPr>
        <w:t>.</w:t>
      </w:r>
      <w:r w:rsidR="00B94047">
        <w:rPr>
          <w:rFonts w:eastAsia="Calibri" w:cs="Times New Roman"/>
        </w:rPr>
        <w:t xml:space="preserve"> </w:t>
      </w:r>
    </w:p>
    <w:p w14:paraId="709070BA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04184D5" w14:textId="05D49287" w:rsidR="00185219" w:rsidRDefault="00185219" w:rsidP="00185219">
      <w:pPr>
        <w:rPr>
          <w:rFonts w:cs="Arial"/>
          <w:szCs w:val="20"/>
        </w:rPr>
      </w:pPr>
      <w:r>
        <w:t>Not classified as a carcinogen according to the Globally Harmonized System of Classification and Labelling o</w:t>
      </w:r>
      <w:r w:rsidR="00DC0237">
        <w:t>f</w:t>
      </w:r>
      <w:r>
        <w:t xml:space="preserve"> Chemicals (GHS). </w:t>
      </w:r>
    </w:p>
    <w:p w14:paraId="1C91C38F" w14:textId="1F3503CA" w:rsidR="00185219" w:rsidRDefault="00185219" w:rsidP="00185219">
      <w:pPr>
        <w:rPr>
          <w:rFonts w:ascii="Calibri" w:hAnsi="Calibri" w:cs="Calibri"/>
          <w:sz w:val="22"/>
        </w:rPr>
      </w:pPr>
      <w:r>
        <w:t>Not classified as a skin</w:t>
      </w:r>
      <w:r w:rsidR="00EC5CEB">
        <w:t xml:space="preserve"> sensitiser</w:t>
      </w:r>
      <w:r>
        <w:t xml:space="preserve"> or respiratory sensitiser according to the GHS.</w:t>
      </w:r>
    </w:p>
    <w:p w14:paraId="0738E6F9" w14:textId="11ADCA06" w:rsidR="00844686" w:rsidRDefault="00844686" w:rsidP="00185219">
      <w:r>
        <w:t>A skin notation is recommended based on dermal uptake data in animals</w:t>
      </w:r>
      <w:r w:rsidR="00EC5CEB">
        <w:t>.</w:t>
      </w:r>
    </w:p>
    <w:p w14:paraId="14BD46A1" w14:textId="77777777" w:rsidR="0025734A" w:rsidRPr="004C23F4" w:rsidRDefault="0025734A">
      <w:pPr>
        <w:rPr>
          <w:rFonts w:cs="Arial"/>
        </w:rPr>
      </w:pPr>
    </w:p>
    <w:p w14:paraId="3C4B3F91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DD2768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E1A764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F949E8B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83976EF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B80246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3930DAA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F5A9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F5A98">
                  <w:t>TWA: 5 ppm (31 mg/m</w:t>
                </w:r>
                <w:r w:rsidR="005F5A98" w:rsidRPr="005F5A98">
                  <w:rPr>
                    <w:vertAlign w:val="superscript"/>
                  </w:rPr>
                  <w:t>3</w:t>
                </w:r>
                <w:r w:rsidR="005F5A98">
                  <w:t>)</w:t>
                </w:r>
              </w:sdtContent>
            </w:sdt>
          </w:p>
        </w:tc>
      </w:tr>
      <w:tr w:rsidR="00C978F0" w:rsidRPr="00DA352E" w14:paraId="254CCF2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E02323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DEE680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EB4ECD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A2669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A2669">
                  <w:t>TLV-TWA: 5 ppm (31 mg/m</w:t>
                </w:r>
                <w:r w:rsidR="000A2669" w:rsidRPr="000A2669">
                  <w:rPr>
                    <w:vertAlign w:val="superscript"/>
                  </w:rPr>
                  <w:t>3</w:t>
                </w:r>
                <w:r w:rsidR="000A2669">
                  <w:t>)</w:t>
                </w:r>
              </w:sdtContent>
            </w:sdt>
          </w:p>
        </w:tc>
      </w:tr>
      <w:tr w:rsidR="00C978F0" w:rsidRPr="00DA352E" w14:paraId="3CA23E5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E1A3E78" w14:textId="77777777" w:rsidR="008C6D91" w:rsidRDefault="008C6D91" w:rsidP="008C6D91">
            <w:pPr>
              <w:pStyle w:val="Tabletextprimarysource"/>
            </w:pPr>
            <w:r>
              <w:t xml:space="preserve">TLV-TWA recommended to minimise </w:t>
            </w:r>
            <w:r w:rsidRPr="00C91D05">
              <w:t xml:space="preserve">the potential for </w:t>
            </w:r>
            <w:r>
              <w:t xml:space="preserve">respiratory </w:t>
            </w:r>
            <w:r w:rsidRPr="00C91D05">
              <w:t xml:space="preserve">irritation </w:t>
            </w:r>
            <w:r>
              <w:t>and skin burns.</w:t>
            </w:r>
          </w:p>
          <w:p w14:paraId="5FDB5E94" w14:textId="77777777" w:rsidR="008C6D91" w:rsidRDefault="008C6D91" w:rsidP="008C6D91">
            <w:pPr>
              <w:pStyle w:val="Tabletextprimarysource"/>
            </w:pPr>
            <w:r>
              <w:t>Summary of data:</w:t>
            </w:r>
          </w:p>
          <w:p w14:paraId="05EEA970" w14:textId="77777777" w:rsidR="008C6D91" w:rsidRDefault="008C6D91" w:rsidP="008C6D9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2FE6E55C" w14:textId="4977CC0A" w:rsidR="008C6D91" w:rsidRDefault="008C6D91" w:rsidP="0033733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Acute expos</w:t>
            </w:r>
            <w:r w:rsidR="00E44269">
              <w:t>ure</w:t>
            </w:r>
            <w:r>
              <w:t xml:space="preserve"> results in skin burns and mild respiratory irritation</w:t>
            </w:r>
            <w:r w:rsidR="00BA407F">
              <w:t xml:space="preserve"> (no further information)</w:t>
            </w:r>
            <w:r w:rsidR="00EC5CEB">
              <w:t>.</w:t>
            </w:r>
          </w:p>
          <w:p w14:paraId="7743BFE4" w14:textId="77777777" w:rsidR="00EC5CEB" w:rsidRDefault="00EC5CEB" w:rsidP="00BA407F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47F9D2B0" w14:textId="77777777" w:rsidR="008C6D91" w:rsidRDefault="008C6D91" w:rsidP="008C6D9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561482BA" w14:textId="13DB7493" w:rsidR="00A93CE2" w:rsidRDefault="00A93CE2" w:rsidP="0033733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LD</w:t>
            </w:r>
            <w:r w:rsidRPr="0033733A">
              <w:rPr>
                <w:vertAlign w:val="subscript"/>
              </w:rPr>
              <w:t>50</w:t>
            </w:r>
            <w:r>
              <w:t>: 0.6</w:t>
            </w:r>
            <w:r w:rsidR="00EC5CEB">
              <w:t>–</w:t>
            </w:r>
            <w:r>
              <w:t>2.4 g/kg (guinea pigs, oral</w:t>
            </w:r>
            <w:r w:rsidR="00962860">
              <w:t xml:space="preserve"> and </w:t>
            </w:r>
            <w:r>
              <w:t>dermal)</w:t>
            </w:r>
          </w:p>
          <w:p w14:paraId="6BE7FCC6" w14:textId="77777777" w:rsidR="00A93CE2" w:rsidRDefault="00A93CE2" w:rsidP="0033733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LD</w:t>
            </w:r>
            <w:r w:rsidRPr="0033733A">
              <w:rPr>
                <w:vertAlign w:val="subscript"/>
              </w:rPr>
              <w:t>50</w:t>
            </w:r>
            <w:r>
              <w:t>: 2.7 g/kg (rats, oral)</w:t>
            </w:r>
          </w:p>
          <w:p w14:paraId="3DD924A7" w14:textId="6513F62E" w:rsidR="00A93CE2" w:rsidRDefault="00A93CE2" w:rsidP="0033733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LD</w:t>
            </w:r>
            <w:r w:rsidRPr="0033733A">
              <w:rPr>
                <w:vertAlign w:val="subscript"/>
              </w:rPr>
              <w:t>50</w:t>
            </w:r>
            <w:r>
              <w:t>: 63 mg/kg (rats,</w:t>
            </w:r>
            <w:r w:rsidRPr="00AF0F6C">
              <w:t xml:space="preserve"> </w:t>
            </w:r>
            <w:proofErr w:type="spellStart"/>
            <w:r w:rsidR="00E44269" w:rsidRPr="00AF0F6C">
              <w:t>i</w:t>
            </w:r>
            <w:r w:rsidR="00E44269">
              <w:t>p</w:t>
            </w:r>
            <w:proofErr w:type="spellEnd"/>
            <w:r>
              <w:t>)</w:t>
            </w:r>
          </w:p>
          <w:p w14:paraId="4E5FE3B9" w14:textId="04644C89" w:rsidR="00A93CE2" w:rsidRDefault="00A93CE2" w:rsidP="0033733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LD</w:t>
            </w:r>
            <w:r w:rsidRPr="0033733A">
              <w:rPr>
                <w:vertAlign w:val="subscript"/>
              </w:rPr>
              <w:t>50</w:t>
            </w:r>
            <w:r>
              <w:t>: 60</w:t>
            </w:r>
            <w:r w:rsidR="00962860">
              <w:t xml:space="preserve"> </w:t>
            </w:r>
            <w:r>
              <w:t>mg/kg (rats,</w:t>
            </w:r>
            <w:r w:rsidRPr="00AF0F6C">
              <w:t xml:space="preserve"> </w:t>
            </w:r>
            <w:r w:rsidR="00E44269">
              <w:t>iv</w:t>
            </w:r>
            <w:r>
              <w:t>)</w:t>
            </w:r>
          </w:p>
          <w:p w14:paraId="4FB00DDE" w14:textId="1A97CF36" w:rsidR="00A93CE2" w:rsidRDefault="00A93CE2" w:rsidP="0033733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24 h dermal exposure</w:t>
            </w:r>
            <w:r w:rsidR="00E44269">
              <w:t xml:space="preserve"> (</w:t>
            </w:r>
            <w:r>
              <w:t>500</w:t>
            </w:r>
            <w:r w:rsidR="00885790">
              <w:t xml:space="preserve"> </w:t>
            </w:r>
            <w:r>
              <w:t>mg</w:t>
            </w:r>
            <w:r w:rsidR="00E44269">
              <w:t>)</w:t>
            </w:r>
            <w:r>
              <w:t xml:space="preserve"> </w:t>
            </w:r>
            <w:r w:rsidR="00E44269">
              <w:t>in rabbits reported</w:t>
            </w:r>
            <w:r>
              <w:t xml:space="preserve"> severe burns </w:t>
            </w:r>
          </w:p>
          <w:p w14:paraId="3010D970" w14:textId="5A5FCBF6" w:rsidR="00A93CE2" w:rsidRDefault="00B26E62" w:rsidP="0033733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7</w:t>
            </w:r>
            <w:r w:rsidR="00885790">
              <w:t xml:space="preserve"> </w:t>
            </w:r>
            <w:r>
              <w:t xml:space="preserve">h exposure to a saturated </w:t>
            </w:r>
            <w:r w:rsidR="00BA407F">
              <w:t xml:space="preserve">vapour </w:t>
            </w:r>
            <w:r>
              <w:t>atmosphere (rats), no fatalities</w:t>
            </w:r>
            <w:r w:rsidR="00885790">
              <w:t>.</w:t>
            </w:r>
          </w:p>
          <w:p w14:paraId="3B362ABD" w14:textId="77777777" w:rsidR="00DC0237" w:rsidRDefault="00DC0237" w:rsidP="00B26E62">
            <w:pPr>
              <w:pStyle w:val="Tabletextprimarysource"/>
              <w:spacing w:before="0"/>
            </w:pPr>
          </w:p>
          <w:p w14:paraId="117264B9" w14:textId="230475F3" w:rsidR="00B26E62" w:rsidRDefault="00B26E62" w:rsidP="00B26E62">
            <w:pPr>
              <w:pStyle w:val="Tabletextprimarysource"/>
              <w:spacing w:before="0"/>
            </w:pPr>
            <w:r>
              <w:t xml:space="preserve">TVL-TWA recommendation primarily by analogy to </w:t>
            </w:r>
            <w:r w:rsidR="00E44269">
              <w:t>p</w:t>
            </w:r>
            <w:r w:rsidR="00F77E8C">
              <w:t>h</w:t>
            </w:r>
            <w:r>
              <w:t xml:space="preserve">enol and </w:t>
            </w:r>
            <w:r w:rsidR="00E44269">
              <w:t>c</w:t>
            </w:r>
            <w:r>
              <w:t>resol</w:t>
            </w:r>
            <w:r w:rsidR="00BA407F">
              <w:t>;</w:t>
            </w:r>
            <w:r w:rsidR="0033733A">
              <w:t xml:space="preserve"> noting the properties of alkyl </w:t>
            </w:r>
            <w:r w:rsidR="00BA407F">
              <w:t>benzene derivatives change depending on the number and length of alkyl groups</w:t>
            </w:r>
            <w:r>
              <w:t xml:space="preserve">. </w:t>
            </w:r>
          </w:p>
          <w:p w14:paraId="08D954D1" w14:textId="77777777" w:rsidR="00EC5CEB" w:rsidRDefault="008C6D91" w:rsidP="008C6D91">
            <w:pPr>
              <w:pStyle w:val="Tabletextprimarysource"/>
            </w:pPr>
            <w:r>
              <w:t>Insufficie</w:t>
            </w:r>
            <w:r w:rsidR="00B94047">
              <w:t xml:space="preserve">nt data to assign a carcinogen or </w:t>
            </w:r>
            <w:r>
              <w:t xml:space="preserve">sensitiser </w:t>
            </w:r>
            <w:r w:rsidR="00B94047">
              <w:t xml:space="preserve">notation. </w:t>
            </w:r>
          </w:p>
          <w:p w14:paraId="6C8EC82C" w14:textId="1FF15868" w:rsidR="00EC5CEB" w:rsidRPr="00DA352E" w:rsidRDefault="00EC5CEB" w:rsidP="008C6D91">
            <w:pPr>
              <w:pStyle w:val="Tabletextprimarysource"/>
            </w:pPr>
          </w:p>
        </w:tc>
      </w:tr>
      <w:tr w:rsidR="00C978F0" w:rsidRPr="00DA352E" w14:paraId="4991CB0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73D667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024A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4024A4">
                  <w:t>NA</w:t>
                </w:r>
                <w:proofErr w:type="spellEnd"/>
              </w:sdtContent>
            </w:sdt>
          </w:p>
        </w:tc>
      </w:tr>
      <w:tr w:rsidR="00C978F0" w:rsidRPr="00DA352E" w14:paraId="67819E1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926FB3F" w14:textId="6404EB45" w:rsidR="00C978F0" w:rsidRPr="00DA352E" w:rsidRDefault="004024A4" w:rsidP="003365A5">
            <w:pPr>
              <w:pStyle w:val="Tabletextprimarysource"/>
            </w:pPr>
            <w:r>
              <w:t>No report</w:t>
            </w:r>
            <w:r w:rsidR="00E44269">
              <w:t>.</w:t>
            </w:r>
          </w:p>
        </w:tc>
      </w:tr>
      <w:tr w:rsidR="00C978F0" w:rsidRPr="00DA352E" w14:paraId="10880EE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299C78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024A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4024A4">
                  <w:t>NA</w:t>
                </w:r>
                <w:proofErr w:type="spellEnd"/>
              </w:sdtContent>
            </w:sdt>
          </w:p>
        </w:tc>
      </w:tr>
      <w:tr w:rsidR="00C978F0" w:rsidRPr="00DA352E" w14:paraId="4C004B4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EAFDEB9" w14:textId="43861752" w:rsidR="00C978F0" w:rsidRPr="00DA352E" w:rsidRDefault="004024A4" w:rsidP="003365A5">
            <w:pPr>
              <w:pStyle w:val="Tabletextprimarysource"/>
            </w:pPr>
            <w:r>
              <w:t>No report</w:t>
            </w:r>
            <w:r w:rsidR="00E44269">
              <w:t>.</w:t>
            </w:r>
          </w:p>
        </w:tc>
      </w:tr>
      <w:tr w:rsidR="00DA352E" w:rsidRPr="00DA352E" w14:paraId="24E9B6B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253D39B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024A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024A4">
                  <w:t>NA</w:t>
                </w:r>
                <w:proofErr w:type="spellEnd"/>
              </w:sdtContent>
            </w:sdt>
          </w:p>
        </w:tc>
      </w:tr>
      <w:tr w:rsidR="00DA352E" w:rsidRPr="00DA352E" w14:paraId="55A3242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513DA1C" w14:textId="36BC18E3" w:rsidR="00DA352E" w:rsidRPr="00DA352E" w:rsidRDefault="004024A4" w:rsidP="003365A5">
            <w:pPr>
              <w:pStyle w:val="Tabletextprimarysource"/>
            </w:pPr>
            <w:r>
              <w:t>No report</w:t>
            </w:r>
            <w:r w:rsidR="00E44269">
              <w:t>.</w:t>
            </w:r>
          </w:p>
        </w:tc>
      </w:tr>
      <w:tr w:rsidR="00DA352E" w:rsidRPr="00DA352E" w14:paraId="4E20BFF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EAF176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024A4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024A4">
                  <w:t>TWA: 5 ppm (30 mg/m</w:t>
                </w:r>
                <w:r w:rsidR="004024A4" w:rsidRPr="004024A4">
                  <w:rPr>
                    <w:vertAlign w:val="superscript"/>
                  </w:rPr>
                  <w:t>3</w:t>
                </w:r>
                <w:r w:rsidR="004024A4">
                  <w:t>)</w:t>
                </w:r>
              </w:sdtContent>
            </w:sdt>
          </w:p>
        </w:tc>
      </w:tr>
      <w:tr w:rsidR="00DA352E" w:rsidRPr="00DA352E" w14:paraId="13099FF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970B3B4" w14:textId="7616054D" w:rsidR="00F77E8C" w:rsidRDefault="00E44269" w:rsidP="00F77E8C">
            <w:pPr>
              <w:pStyle w:val="ListBullet"/>
              <w:numPr>
                <w:ilvl w:val="0"/>
                <w:numId w:val="0"/>
              </w:numPr>
              <w:spacing w:before="120"/>
            </w:pPr>
            <w:r>
              <w:t>I</w:t>
            </w:r>
            <w:r w:rsidR="00F77E8C" w:rsidRPr="00CF0768">
              <w:t xml:space="preserve">nsufficient information </w:t>
            </w:r>
            <w:r>
              <w:t>available</w:t>
            </w:r>
            <w:r w:rsidR="00F77E8C">
              <w:t>.</w:t>
            </w:r>
          </w:p>
          <w:p w14:paraId="53AAE5D8" w14:textId="77777777" w:rsidR="00F77E8C" w:rsidRDefault="00F77E8C" w:rsidP="00F77E8C">
            <w:pPr>
              <w:pStyle w:val="Tabletextprimarysource"/>
            </w:pPr>
            <w:r>
              <w:t>Summary of additional data:</w:t>
            </w:r>
          </w:p>
          <w:p w14:paraId="5E40670F" w14:textId="438295BD" w:rsidR="00B26E62" w:rsidRDefault="00B26E62" w:rsidP="0033733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LC</w:t>
            </w:r>
            <w:r w:rsidRPr="00A93CE2">
              <w:rPr>
                <w:vertAlign w:val="subscript"/>
              </w:rPr>
              <w:t>50</w:t>
            </w:r>
            <w:r>
              <w:t>: 1,810 mg/m</w:t>
            </w:r>
            <w:r w:rsidRPr="00B26E62">
              <w:rPr>
                <w:vertAlign w:val="superscript"/>
              </w:rPr>
              <w:t>3</w:t>
            </w:r>
            <w:r>
              <w:t xml:space="preserve"> (rats, 4</w:t>
            </w:r>
            <w:r w:rsidR="00885790">
              <w:t xml:space="preserve"> </w:t>
            </w:r>
            <w:r>
              <w:t>h)</w:t>
            </w:r>
          </w:p>
          <w:p w14:paraId="67BE9140" w14:textId="77777777" w:rsidR="00B26E62" w:rsidRDefault="00B26E62" w:rsidP="0033733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LD</w:t>
            </w:r>
            <w:r w:rsidRPr="00A93CE2">
              <w:rPr>
                <w:vertAlign w:val="subscript"/>
              </w:rPr>
              <w:t>50</w:t>
            </w:r>
            <w:r>
              <w:t>: 0.32 g/kg (rats, oral)</w:t>
            </w:r>
          </w:p>
          <w:p w14:paraId="6F25B780" w14:textId="2D4ECE97" w:rsidR="00E44269" w:rsidRDefault="00B26E62" w:rsidP="0033733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LD</w:t>
            </w:r>
            <w:r w:rsidRPr="00844686">
              <w:rPr>
                <w:vertAlign w:val="subscript"/>
              </w:rPr>
              <w:t>50</w:t>
            </w:r>
            <w:r>
              <w:t>: 5</w:t>
            </w:r>
            <w:r w:rsidR="00CF0768">
              <w:t>.</w:t>
            </w:r>
            <w:r>
              <w:t>5</w:t>
            </w:r>
            <w:r w:rsidR="00CF0768">
              <w:t xml:space="preserve">6 </w:t>
            </w:r>
            <w:r>
              <w:t>g/kg</w:t>
            </w:r>
            <w:r w:rsidR="00CF0768">
              <w:t xml:space="preserve"> </w:t>
            </w:r>
            <w:proofErr w:type="spellStart"/>
            <w:r w:rsidR="0054247E">
              <w:t>bw</w:t>
            </w:r>
            <w:proofErr w:type="spellEnd"/>
            <w:r>
              <w:t xml:space="preserve"> (</w:t>
            </w:r>
            <w:r w:rsidR="00CF0768">
              <w:t>rabbits</w:t>
            </w:r>
            <w:r>
              <w:t>, dermal)</w:t>
            </w:r>
            <w:r w:rsidR="00CE1F21">
              <w:t xml:space="preserve"> </w:t>
            </w:r>
          </w:p>
          <w:p w14:paraId="3BB2CB44" w14:textId="45D64033" w:rsidR="00844686" w:rsidRDefault="001C52D8" w:rsidP="0033733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Negative mutagenicity results in several strains of </w:t>
            </w:r>
            <w:r w:rsidRPr="00B94047">
              <w:rPr>
                <w:i/>
              </w:rPr>
              <w:t>S.</w:t>
            </w:r>
            <w:r w:rsidR="00CE1F21">
              <w:rPr>
                <w:i/>
              </w:rPr>
              <w:t> </w:t>
            </w:r>
            <w:r w:rsidRPr="00B94047">
              <w:rPr>
                <w:i/>
              </w:rPr>
              <w:t>typhimurium</w:t>
            </w:r>
            <w:r w:rsidRPr="001C52D8">
              <w:rPr>
                <w:i/>
              </w:rPr>
              <w:t xml:space="preserve"> </w:t>
            </w:r>
            <w:r>
              <w:t>with and without metabolic activation</w:t>
            </w:r>
          </w:p>
          <w:p w14:paraId="003DDAFC" w14:textId="188F17D1" w:rsidR="001C52D8" w:rsidRDefault="001C52D8" w:rsidP="0033733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No information on the derivation of value presented</w:t>
            </w:r>
          </w:p>
          <w:p w14:paraId="4C5A1E41" w14:textId="4769CDA7" w:rsidR="00B26E62" w:rsidRDefault="00F77E8C" w:rsidP="0033733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Insufficient data to assign a carcinogen</w:t>
            </w:r>
            <w:r w:rsidR="00844686">
              <w:t xml:space="preserve"> or</w:t>
            </w:r>
            <w:r>
              <w:t xml:space="preserve"> sensitiser</w:t>
            </w:r>
            <w:r w:rsidR="00844686">
              <w:t xml:space="preserve"> notation</w:t>
            </w:r>
            <w:r w:rsidR="00CE1F21">
              <w:t>.</w:t>
            </w:r>
            <w:r>
              <w:t xml:space="preserve"> </w:t>
            </w:r>
          </w:p>
          <w:p w14:paraId="6FCFD41F" w14:textId="321435A1" w:rsidR="00CE1F21" w:rsidRPr="00DA352E" w:rsidRDefault="00CE1F21" w:rsidP="00BA407F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7349FC53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7861EE31" w14:textId="41035370" w:rsidR="007E2A4B" w:rsidRDefault="00931CA6">
      <w:r>
        <w:t>N</w:t>
      </w:r>
      <w:r w:rsidR="00E44269">
        <w:t>IL.</w:t>
      </w:r>
    </w:p>
    <w:bookmarkEnd w:id="0"/>
    <w:p w14:paraId="5FFBB952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5DBFB8C" w14:textId="77777777" w:rsidTr="00907311">
        <w:trPr>
          <w:trHeight w:val="454"/>
          <w:tblHeader/>
        </w:trPr>
        <w:tc>
          <w:tcPr>
            <w:tcW w:w="6597" w:type="dxa"/>
            <w:vAlign w:val="center"/>
          </w:tcPr>
          <w:p w14:paraId="570171C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D77BEB4" w14:textId="1D6D5896" w:rsidR="002E0D61" w:rsidRDefault="00B9404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E44269" w14:paraId="799D7882" w14:textId="77777777" w:rsidTr="00F42885">
        <w:trPr>
          <w:trHeight w:val="454"/>
        </w:trPr>
        <w:sdt>
          <w:sdtPr>
            <w:rPr>
              <w:b/>
            </w:rPr>
            <w:id w:val="1830936485"/>
            <w:placeholder>
              <w:docPart w:val="1F967E9F244A4A1290BCED77ECDBA6C1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62D3FCFE" w14:textId="51503117" w:rsidR="00E44269" w:rsidRDefault="00E44269" w:rsidP="00E250EC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bookmarkEnd w:id="1"/>
    <w:p w14:paraId="29251B1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56CEB53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F8C678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86C14F6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30C20A6" w14:textId="77777777" w:rsidTr="00812887">
        <w:trPr>
          <w:cantSplit/>
        </w:trPr>
        <w:tc>
          <w:tcPr>
            <w:tcW w:w="3227" w:type="dxa"/>
          </w:tcPr>
          <w:p w14:paraId="3E8C8D5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1739AB" w14:textId="77777777" w:rsidR="00687890" w:rsidRPr="00DD2F9B" w:rsidRDefault="002C56ED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10EC7FAE" w14:textId="77777777" w:rsidTr="00812887">
        <w:trPr>
          <w:cantSplit/>
        </w:trPr>
        <w:tc>
          <w:tcPr>
            <w:tcW w:w="3227" w:type="dxa"/>
          </w:tcPr>
          <w:p w14:paraId="634D5DBD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A1208E8" w14:textId="77777777" w:rsidR="007925F0" w:rsidRPr="00DD2F9B" w:rsidRDefault="002C56ED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77E20C4" w14:textId="77777777" w:rsidTr="00812887">
        <w:trPr>
          <w:cantSplit/>
        </w:trPr>
        <w:tc>
          <w:tcPr>
            <w:tcW w:w="3227" w:type="dxa"/>
          </w:tcPr>
          <w:p w14:paraId="5BEAF00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F082B9D" w14:textId="77777777" w:rsidR="00AF483F" w:rsidRPr="00DD2F9B" w:rsidRDefault="002C56E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907C3FE" w14:textId="77777777" w:rsidTr="00812887">
        <w:trPr>
          <w:cantSplit/>
        </w:trPr>
        <w:tc>
          <w:tcPr>
            <w:tcW w:w="3227" w:type="dxa"/>
          </w:tcPr>
          <w:p w14:paraId="1CBBED4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08A69BF" w14:textId="77777777" w:rsidR="00687890" w:rsidRPr="00DD2F9B" w:rsidRDefault="00C32D93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542F2D2" w14:textId="77777777" w:rsidTr="00812887">
        <w:trPr>
          <w:cantSplit/>
        </w:trPr>
        <w:tc>
          <w:tcPr>
            <w:tcW w:w="3227" w:type="dxa"/>
          </w:tcPr>
          <w:p w14:paraId="09F6A7A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689F32D" w14:textId="77777777" w:rsidR="00E41A26" w:rsidRPr="00DD2F9B" w:rsidRDefault="00AE6B7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3832CBD" w14:textId="77777777" w:rsidTr="00812887">
        <w:trPr>
          <w:cantSplit/>
        </w:trPr>
        <w:tc>
          <w:tcPr>
            <w:tcW w:w="3227" w:type="dxa"/>
          </w:tcPr>
          <w:p w14:paraId="746A2439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6FC98EB" w14:textId="77777777" w:rsidR="002E0D61" w:rsidRPr="00DD2F9B" w:rsidRDefault="00FD4E5D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332ACC9B" w14:textId="77777777" w:rsidTr="00812887">
        <w:trPr>
          <w:cantSplit/>
        </w:trPr>
        <w:tc>
          <w:tcPr>
            <w:tcW w:w="3227" w:type="dxa"/>
          </w:tcPr>
          <w:p w14:paraId="1A581F6F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1BAB7D2" w14:textId="77777777" w:rsidR="002E0D61" w:rsidRPr="00DD2F9B" w:rsidRDefault="004024A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D61D3D3" w14:textId="77777777" w:rsidTr="00812887">
        <w:trPr>
          <w:cantSplit/>
        </w:trPr>
        <w:tc>
          <w:tcPr>
            <w:tcW w:w="3227" w:type="dxa"/>
          </w:tcPr>
          <w:p w14:paraId="0BF81D92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893138D" w14:textId="77777777" w:rsidR="002E0D61" w:rsidRPr="00DD2F9B" w:rsidRDefault="004024A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23F9F62" w14:textId="77777777" w:rsidTr="00812887">
        <w:trPr>
          <w:cantSplit/>
        </w:trPr>
        <w:tc>
          <w:tcPr>
            <w:tcW w:w="3227" w:type="dxa"/>
          </w:tcPr>
          <w:p w14:paraId="3D082A0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D424435" w14:textId="3E181BC9" w:rsidR="002E0D61" w:rsidRPr="00DD2F9B" w:rsidRDefault="00F17ED3" w:rsidP="00DD2F9B">
            <w:pPr>
              <w:pStyle w:val="Tablefont"/>
            </w:pPr>
            <w:r>
              <w:t>Skin</w:t>
            </w:r>
          </w:p>
        </w:tc>
      </w:tr>
      <w:tr w:rsidR="00386093" w:rsidRPr="004C23F4" w14:paraId="7788321C" w14:textId="77777777" w:rsidTr="00812887">
        <w:trPr>
          <w:cantSplit/>
        </w:trPr>
        <w:tc>
          <w:tcPr>
            <w:tcW w:w="3227" w:type="dxa"/>
          </w:tcPr>
          <w:p w14:paraId="0DD275C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DFE1568" w14:textId="77777777" w:rsidR="00386093" w:rsidRPr="00DD2F9B" w:rsidRDefault="00AE6B7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221B136" w14:textId="77777777" w:rsidTr="00812887">
        <w:trPr>
          <w:cantSplit/>
        </w:trPr>
        <w:tc>
          <w:tcPr>
            <w:tcW w:w="3227" w:type="dxa"/>
          </w:tcPr>
          <w:p w14:paraId="3EF75BA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282E1EB" w14:textId="77777777" w:rsidR="00386093" w:rsidRPr="00DD2F9B" w:rsidRDefault="007D4F5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1985157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B753F9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47FCEF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C15343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5A2E923" w14:textId="77777777" w:rsidTr="00B94047">
        <w:trPr>
          <w:cantSplit/>
          <w:trHeight w:val="3580"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584"/>
              <w:gridCol w:w="1057"/>
              <w:gridCol w:w="1057"/>
              <w:gridCol w:w="1557"/>
              <w:gridCol w:w="1555"/>
            </w:tblGrid>
            <w:tr w:rsidR="00844686" w:rsidRPr="00844686" w14:paraId="755F7B78" w14:textId="77777777" w:rsidTr="00BA407F">
              <w:trPr>
                <w:trHeight w:val="435"/>
              </w:trPr>
              <w:tc>
                <w:tcPr>
                  <w:tcW w:w="3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0D29C6" w14:textId="77777777" w:rsidR="00844686" w:rsidRPr="00844686" w:rsidRDefault="00844686" w:rsidP="008446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0869F2" w14:textId="77777777" w:rsidR="00844686" w:rsidRPr="00844686" w:rsidRDefault="00844686" w:rsidP="008446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D53AAA" w14:textId="77777777" w:rsidR="00844686" w:rsidRPr="00844686" w:rsidRDefault="00844686" w:rsidP="008446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3845C0" w14:textId="77777777" w:rsidR="00844686" w:rsidRPr="00844686" w:rsidRDefault="00844686" w:rsidP="008446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D8C737" w14:textId="77777777" w:rsidR="00844686" w:rsidRPr="00844686" w:rsidRDefault="00844686" w:rsidP="008446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44686" w:rsidRPr="00844686" w14:paraId="7766D307" w14:textId="77777777" w:rsidTr="00BA407F">
              <w:trPr>
                <w:trHeight w:val="435"/>
              </w:trPr>
              <w:tc>
                <w:tcPr>
                  <w:tcW w:w="3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109969" w14:textId="77777777" w:rsidR="00844686" w:rsidRPr="00844686" w:rsidRDefault="00844686" w:rsidP="008446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6DA43DB" w14:textId="77777777" w:rsidR="00844686" w:rsidRPr="00844686" w:rsidRDefault="00844686" w:rsidP="008446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6A2C5C" w14:textId="77777777" w:rsidR="00844686" w:rsidRPr="00844686" w:rsidRDefault="00844686" w:rsidP="008446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348C61" w14:textId="77777777" w:rsidR="00844686" w:rsidRPr="00844686" w:rsidRDefault="00844686" w:rsidP="008446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FA3F9B" w14:textId="77777777" w:rsidR="00844686" w:rsidRPr="00844686" w:rsidRDefault="00844686" w:rsidP="008446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44686" w:rsidRPr="00844686" w14:paraId="6F5C4081" w14:textId="77777777" w:rsidTr="00BA407F">
              <w:trPr>
                <w:trHeight w:val="435"/>
              </w:trPr>
              <w:tc>
                <w:tcPr>
                  <w:tcW w:w="3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BABCD0" w14:textId="77777777" w:rsidR="00844686" w:rsidRPr="00844686" w:rsidRDefault="00844686" w:rsidP="008446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EA486A" w14:textId="77777777" w:rsidR="00844686" w:rsidRPr="00844686" w:rsidRDefault="00844686" w:rsidP="008446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E8BD9B" w14:textId="77777777" w:rsidR="00844686" w:rsidRPr="00844686" w:rsidRDefault="00844686" w:rsidP="008446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BEDEDE" w14:textId="77777777" w:rsidR="00844686" w:rsidRPr="00844686" w:rsidRDefault="00844686" w:rsidP="008446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78B247" w14:textId="77777777" w:rsidR="00844686" w:rsidRPr="00844686" w:rsidRDefault="00844686" w:rsidP="008446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44686" w:rsidRPr="00844686" w14:paraId="475B6915" w14:textId="77777777" w:rsidTr="00BA407F">
              <w:trPr>
                <w:trHeight w:val="435"/>
              </w:trPr>
              <w:tc>
                <w:tcPr>
                  <w:tcW w:w="3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239896" w14:textId="77777777" w:rsidR="00844686" w:rsidRPr="00844686" w:rsidRDefault="00844686" w:rsidP="008446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A198EC" w14:textId="77777777" w:rsidR="00844686" w:rsidRPr="00844686" w:rsidRDefault="00844686" w:rsidP="008446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7454D4" w14:textId="77777777" w:rsidR="00844686" w:rsidRPr="00844686" w:rsidRDefault="00844686" w:rsidP="008446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E6FA3F" w14:textId="77777777" w:rsidR="00844686" w:rsidRPr="00844686" w:rsidRDefault="00844686" w:rsidP="008446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1B0354" w14:textId="77777777" w:rsidR="00844686" w:rsidRPr="00844686" w:rsidRDefault="00844686" w:rsidP="008446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44686" w:rsidRPr="00844686" w14:paraId="1B44F1BC" w14:textId="77777777" w:rsidTr="00BA407F">
              <w:trPr>
                <w:trHeight w:val="435"/>
              </w:trPr>
              <w:tc>
                <w:tcPr>
                  <w:tcW w:w="3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DB33FB" w14:textId="77777777" w:rsidR="00844686" w:rsidRPr="00844686" w:rsidRDefault="00844686" w:rsidP="008446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65E67F" w14:textId="77777777" w:rsidR="00844686" w:rsidRPr="00844686" w:rsidRDefault="00844686" w:rsidP="008446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486675" w14:textId="77777777" w:rsidR="00844686" w:rsidRPr="00844686" w:rsidRDefault="00844686" w:rsidP="008446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8F8BEA" w14:textId="77777777" w:rsidR="00844686" w:rsidRPr="00844686" w:rsidRDefault="00844686" w:rsidP="008446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F7820C" w14:textId="77777777" w:rsidR="00844686" w:rsidRPr="00844686" w:rsidRDefault="00844686" w:rsidP="008446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44686" w:rsidRPr="00844686" w14:paraId="33934447" w14:textId="77777777" w:rsidTr="00BA407F">
              <w:trPr>
                <w:trHeight w:val="435"/>
              </w:trPr>
              <w:tc>
                <w:tcPr>
                  <w:tcW w:w="3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FA7803" w14:textId="77777777" w:rsidR="00844686" w:rsidRPr="00844686" w:rsidRDefault="00844686" w:rsidP="008446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DAE634" w14:textId="77777777" w:rsidR="00844686" w:rsidRPr="00844686" w:rsidRDefault="00844686" w:rsidP="008446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BE2DEF" w14:textId="77777777" w:rsidR="00844686" w:rsidRPr="00844686" w:rsidRDefault="00844686" w:rsidP="008446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F509E3" w14:textId="77777777" w:rsidR="00844686" w:rsidRPr="00844686" w:rsidRDefault="00844686" w:rsidP="008446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88F7B2" w14:textId="77777777" w:rsidR="00844686" w:rsidRPr="00844686" w:rsidRDefault="00844686" w:rsidP="008446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44686" w:rsidRPr="00844686" w14:paraId="7E4000F7" w14:textId="77777777" w:rsidTr="00BA407F">
              <w:trPr>
                <w:trHeight w:val="435"/>
              </w:trPr>
              <w:tc>
                <w:tcPr>
                  <w:tcW w:w="3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AF1EC0" w14:textId="77777777" w:rsidR="00844686" w:rsidRPr="00844686" w:rsidRDefault="00844686" w:rsidP="008446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3B861D" w14:textId="77777777" w:rsidR="00844686" w:rsidRPr="00844686" w:rsidRDefault="00844686" w:rsidP="008446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94E29F" w14:textId="77777777" w:rsidR="00844686" w:rsidRPr="00844686" w:rsidRDefault="00844686" w:rsidP="008446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C6D0AA" w14:textId="77777777" w:rsidR="00844686" w:rsidRPr="00844686" w:rsidRDefault="00844686" w:rsidP="0084468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468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75C79B6F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55D6A846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2D6E5C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70266F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235BE6B" w14:textId="77777777" w:rsidR="00EB3D1B" w:rsidRDefault="00DB4BA8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3A44D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C1AD23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B6F800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F8FD63E" w14:textId="77777777" w:rsidR="001B79E5" w:rsidRDefault="00120589" w:rsidP="001B79E5">
                <w:pPr>
                  <w:pStyle w:val="Tablefont"/>
                </w:pPr>
                <w:r>
                  <w:t>150.24</w:t>
                </w:r>
              </w:p>
            </w:tc>
          </w:sdtContent>
        </w:sdt>
      </w:tr>
      <w:tr w:rsidR="00A31D99" w:rsidRPr="004C23F4" w14:paraId="5B7A1B8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BFF675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02BCD91" w14:textId="6D10FEEA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B94047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  <w:showingPlcHdr/>
              </w:sdtPr>
              <w:sdtEndPr/>
              <w:sdtContent>
                <w:r w:rsidR="00B94047" w:rsidRPr="00DF796F">
                  <w:rPr>
                    <w:rStyle w:val="PlaceholderText"/>
                  </w:rPr>
                  <w:t>Click or tap here to enter text.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336090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67EDA9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B94B6CE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9218720" w14:textId="77777777" w:rsidTr="00EA6243">
        <w:trPr>
          <w:cantSplit/>
        </w:trPr>
        <w:tc>
          <w:tcPr>
            <w:tcW w:w="4077" w:type="dxa"/>
            <w:vAlign w:val="center"/>
          </w:tcPr>
          <w:p w14:paraId="1B0525B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F83AA1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D4139D8" w14:textId="77777777" w:rsidTr="00EA6243">
        <w:trPr>
          <w:cantSplit/>
        </w:trPr>
        <w:tc>
          <w:tcPr>
            <w:tcW w:w="4077" w:type="dxa"/>
            <w:vAlign w:val="center"/>
          </w:tcPr>
          <w:p w14:paraId="4649D51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98137AA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063846D" w14:textId="77777777" w:rsidTr="00EA6243">
        <w:trPr>
          <w:cantSplit/>
        </w:trPr>
        <w:tc>
          <w:tcPr>
            <w:tcW w:w="4077" w:type="dxa"/>
            <w:vAlign w:val="center"/>
          </w:tcPr>
          <w:p w14:paraId="1A54D91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418A44A" w14:textId="77777777" w:rsidR="00E06F40" w:rsidRPr="00A006A0" w:rsidRDefault="00B3464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4DBFF6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F3E187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6E1AF9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B1928C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87F0D6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C3CADC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EE4BEF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D31218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0E0D380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C1E8EAC" w14:textId="77777777" w:rsidR="0063628E" w:rsidRPr="0063628E" w:rsidRDefault="0063628E" w:rsidP="0063628E">
      <w:pPr>
        <w:autoSpaceDE w:val="0"/>
        <w:autoSpaceDN w:val="0"/>
        <w:adjustRightInd w:val="0"/>
        <w:spacing w:after="0" w:line="240" w:lineRule="auto"/>
        <w:rPr>
          <w:rFonts w:cs="Arial"/>
          <w:szCs w:val="20"/>
          <w:lang w:val="en-US"/>
        </w:rPr>
      </w:pPr>
      <w:r w:rsidRPr="002022B6">
        <w:t>Health Council of the Netherlands</w:t>
      </w:r>
      <w:r>
        <w:t xml:space="preserve"> (HCOTN) (2002) </w:t>
      </w:r>
      <w:r w:rsidRPr="0063628E">
        <w:t>2-sec-Butylphenol</w:t>
      </w:r>
      <w:r w:rsidRPr="005F7416">
        <w:t xml:space="preserve">. </w:t>
      </w:r>
      <w:r w:rsidR="00ED5600">
        <w:rPr>
          <w:rFonts w:cs="Arial"/>
          <w:szCs w:val="20"/>
          <w:lang w:val="en-US"/>
        </w:rPr>
        <w:t>Health-based reassessment administrative occupational e</w:t>
      </w:r>
      <w:r>
        <w:rPr>
          <w:rFonts w:cs="Arial"/>
          <w:szCs w:val="20"/>
          <w:lang w:val="en-US"/>
        </w:rPr>
        <w:t xml:space="preserve">xposure </w:t>
      </w:r>
      <w:r w:rsidR="00ED5600">
        <w:rPr>
          <w:rFonts w:cs="Arial"/>
          <w:szCs w:val="20"/>
          <w:lang w:val="en-US"/>
        </w:rPr>
        <w:t>l</w:t>
      </w:r>
      <w:r>
        <w:rPr>
          <w:rFonts w:cs="Arial"/>
          <w:szCs w:val="20"/>
          <w:lang w:val="en-US"/>
        </w:rPr>
        <w:t>imit</w:t>
      </w:r>
      <w:r w:rsidRPr="005F7416">
        <w:t xml:space="preserve">. The Hague: Health Council of the Netherlands; publication no. </w:t>
      </w:r>
      <w:r w:rsidR="00CA4E7F">
        <w:t>2000/15OSH/044</w:t>
      </w:r>
      <w:r>
        <w:t>.</w:t>
      </w:r>
    </w:p>
    <w:p w14:paraId="5B5426A9" w14:textId="77777777" w:rsidR="0063628E" w:rsidRPr="00351FE0" w:rsidRDefault="0063628E" w:rsidP="00084859"/>
    <w:sectPr w:rsidR="0063628E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98EBD" w14:textId="77777777" w:rsidR="007A0EA5" w:rsidRDefault="007A0EA5" w:rsidP="00F43AD5">
      <w:pPr>
        <w:spacing w:after="0" w:line="240" w:lineRule="auto"/>
      </w:pPr>
      <w:r>
        <w:separator/>
      </w:r>
    </w:p>
  </w:endnote>
  <w:endnote w:type="continuationSeparator" w:id="0">
    <w:p w14:paraId="1E684128" w14:textId="77777777" w:rsidR="007A0EA5" w:rsidRDefault="007A0EA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DBB2291" w14:textId="77777777" w:rsidR="008A36CF" w:rsidRDefault="00160F2C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o-sec-Butylphenol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89-72-5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F29DC14" w14:textId="3CCF824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B2A69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4C531" w14:textId="77777777" w:rsidR="007A0EA5" w:rsidRDefault="007A0EA5" w:rsidP="00F43AD5">
      <w:pPr>
        <w:spacing w:after="0" w:line="240" w:lineRule="auto"/>
      </w:pPr>
      <w:r>
        <w:separator/>
      </w:r>
    </w:p>
  </w:footnote>
  <w:footnote w:type="continuationSeparator" w:id="0">
    <w:p w14:paraId="608E6D1A" w14:textId="77777777" w:rsidR="007A0EA5" w:rsidRDefault="007A0EA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400C0" w14:textId="5808ACBB" w:rsidR="00DB2A69" w:rsidRDefault="00DB2A69" w:rsidP="00DB2A69">
    <w:pPr>
      <w:pStyle w:val="Header"/>
      <w:jc w:val="right"/>
    </w:pPr>
    <w:r>
      <w:rPr>
        <w:noProof/>
        <w:lang w:eastAsia="en-AU"/>
      </w:rPr>
      <w:drawing>
        <wp:inline distT="0" distB="0" distL="0" distR="0" wp14:anchorId="28CD9327" wp14:editId="71930AFE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92A3A1" w14:textId="6C926230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36944" w14:textId="6022C12E" w:rsidR="00DB2A69" w:rsidRDefault="00DB2A69" w:rsidP="00DB2A69">
    <w:pPr>
      <w:pStyle w:val="Header"/>
      <w:jc w:val="right"/>
    </w:pPr>
    <w:r>
      <w:rPr>
        <w:noProof/>
        <w:lang w:eastAsia="en-AU"/>
      </w:rPr>
      <w:drawing>
        <wp:inline distT="0" distB="0" distL="0" distR="0" wp14:anchorId="049A2D99" wp14:editId="29D3FC88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AA856A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122DB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21370988">
    <w:abstractNumId w:val="0"/>
  </w:num>
  <w:num w:numId="2" w16cid:durableId="616333181">
    <w:abstractNumId w:val="0"/>
  </w:num>
  <w:num w:numId="3" w16cid:durableId="1122185221">
    <w:abstractNumId w:val="0"/>
  </w:num>
  <w:num w:numId="4" w16cid:durableId="85275804">
    <w:abstractNumId w:val="0"/>
  </w:num>
  <w:num w:numId="5" w16cid:durableId="1375076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2A2D"/>
    <w:rsid w:val="00032B88"/>
    <w:rsid w:val="0004444D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2669"/>
    <w:rsid w:val="000B0868"/>
    <w:rsid w:val="000B3E12"/>
    <w:rsid w:val="000B3E78"/>
    <w:rsid w:val="000B3E86"/>
    <w:rsid w:val="000B7B48"/>
    <w:rsid w:val="000C096D"/>
    <w:rsid w:val="000C139A"/>
    <w:rsid w:val="000C2053"/>
    <w:rsid w:val="000C248C"/>
    <w:rsid w:val="000D291C"/>
    <w:rsid w:val="000E09D5"/>
    <w:rsid w:val="000E5A54"/>
    <w:rsid w:val="000E63D3"/>
    <w:rsid w:val="000E67CF"/>
    <w:rsid w:val="0010461E"/>
    <w:rsid w:val="00106FAA"/>
    <w:rsid w:val="00113443"/>
    <w:rsid w:val="00120589"/>
    <w:rsid w:val="001269A7"/>
    <w:rsid w:val="00131092"/>
    <w:rsid w:val="00140E6A"/>
    <w:rsid w:val="00142B00"/>
    <w:rsid w:val="00146545"/>
    <w:rsid w:val="00146B75"/>
    <w:rsid w:val="0015266D"/>
    <w:rsid w:val="0015288A"/>
    <w:rsid w:val="00155A79"/>
    <w:rsid w:val="00160F2C"/>
    <w:rsid w:val="00160F47"/>
    <w:rsid w:val="00177CA1"/>
    <w:rsid w:val="00183823"/>
    <w:rsid w:val="00183942"/>
    <w:rsid w:val="00185219"/>
    <w:rsid w:val="001A009E"/>
    <w:rsid w:val="001A1287"/>
    <w:rsid w:val="001A3859"/>
    <w:rsid w:val="001A3C9D"/>
    <w:rsid w:val="001A43F8"/>
    <w:rsid w:val="001B79E5"/>
    <w:rsid w:val="001C52D8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512D"/>
    <w:rsid w:val="002463BC"/>
    <w:rsid w:val="002465CE"/>
    <w:rsid w:val="0025734A"/>
    <w:rsid w:val="00263255"/>
    <w:rsid w:val="00276494"/>
    <w:rsid w:val="00277B0C"/>
    <w:rsid w:val="002B1A2C"/>
    <w:rsid w:val="002C34F2"/>
    <w:rsid w:val="002C56ED"/>
    <w:rsid w:val="002C58FF"/>
    <w:rsid w:val="002C7AFE"/>
    <w:rsid w:val="002D05D2"/>
    <w:rsid w:val="002E0D61"/>
    <w:rsid w:val="002E4C7B"/>
    <w:rsid w:val="002E6C08"/>
    <w:rsid w:val="0030740C"/>
    <w:rsid w:val="00315833"/>
    <w:rsid w:val="00320370"/>
    <w:rsid w:val="003215EE"/>
    <w:rsid w:val="003224BF"/>
    <w:rsid w:val="003241A8"/>
    <w:rsid w:val="003253F0"/>
    <w:rsid w:val="003337DA"/>
    <w:rsid w:val="00334EFB"/>
    <w:rsid w:val="00335CDE"/>
    <w:rsid w:val="003365A5"/>
    <w:rsid w:val="0033733A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7B19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0D2B"/>
    <w:rsid w:val="004024A4"/>
    <w:rsid w:val="004030BC"/>
    <w:rsid w:val="00403F7D"/>
    <w:rsid w:val="00406785"/>
    <w:rsid w:val="004079B4"/>
    <w:rsid w:val="0041043F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247E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5A98"/>
    <w:rsid w:val="006013C1"/>
    <w:rsid w:val="0060669E"/>
    <w:rsid w:val="00610F2E"/>
    <w:rsid w:val="00611399"/>
    <w:rsid w:val="00624C4E"/>
    <w:rsid w:val="00625200"/>
    <w:rsid w:val="0063628E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406F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671C5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0EA5"/>
    <w:rsid w:val="007A26B5"/>
    <w:rsid w:val="007B1B42"/>
    <w:rsid w:val="007C30EB"/>
    <w:rsid w:val="007D4F51"/>
    <w:rsid w:val="007E063C"/>
    <w:rsid w:val="007E2A4B"/>
    <w:rsid w:val="007E307D"/>
    <w:rsid w:val="007E6A4E"/>
    <w:rsid w:val="007E6C94"/>
    <w:rsid w:val="007E74C2"/>
    <w:rsid w:val="007F1005"/>
    <w:rsid w:val="007F25E0"/>
    <w:rsid w:val="007F2DED"/>
    <w:rsid w:val="007F46C6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4686"/>
    <w:rsid w:val="0084508E"/>
    <w:rsid w:val="00857A8A"/>
    <w:rsid w:val="008630EE"/>
    <w:rsid w:val="00864D13"/>
    <w:rsid w:val="00871CD5"/>
    <w:rsid w:val="008745A2"/>
    <w:rsid w:val="008768A8"/>
    <w:rsid w:val="00884001"/>
    <w:rsid w:val="00885790"/>
    <w:rsid w:val="0088798F"/>
    <w:rsid w:val="00887E4B"/>
    <w:rsid w:val="008915C8"/>
    <w:rsid w:val="008A36CF"/>
    <w:rsid w:val="008A3BC4"/>
    <w:rsid w:val="008B403C"/>
    <w:rsid w:val="008B7983"/>
    <w:rsid w:val="008C2511"/>
    <w:rsid w:val="008C6D91"/>
    <w:rsid w:val="008D026D"/>
    <w:rsid w:val="008D23AB"/>
    <w:rsid w:val="008D4B8B"/>
    <w:rsid w:val="008D5A78"/>
    <w:rsid w:val="008D78AD"/>
    <w:rsid w:val="008E7B64"/>
    <w:rsid w:val="008F5DCD"/>
    <w:rsid w:val="00900951"/>
    <w:rsid w:val="0090277F"/>
    <w:rsid w:val="009049A1"/>
    <w:rsid w:val="00907311"/>
    <w:rsid w:val="009118A6"/>
    <w:rsid w:val="00916909"/>
    <w:rsid w:val="00916EC0"/>
    <w:rsid w:val="00920467"/>
    <w:rsid w:val="00921DE7"/>
    <w:rsid w:val="0093041A"/>
    <w:rsid w:val="00930714"/>
    <w:rsid w:val="00931B03"/>
    <w:rsid w:val="00931CA6"/>
    <w:rsid w:val="009323B9"/>
    <w:rsid w:val="00932DCE"/>
    <w:rsid w:val="0093327E"/>
    <w:rsid w:val="00934028"/>
    <w:rsid w:val="0093760E"/>
    <w:rsid w:val="00946044"/>
    <w:rsid w:val="0094660B"/>
    <w:rsid w:val="00946A33"/>
    <w:rsid w:val="009519E6"/>
    <w:rsid w:val="0095260E"/>
    <w:rsid w:val="009578DD"/>
    <w:rsid w:val="00961124"/>
    <w:rsid w:val="009621B6"/>
    <w:rsid w:val="00962860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0E3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5348"/>
    <w:rsid w:val="00A16D91"/>
    <w:rsid w:val="00A174CC"/>
    <w:rsid w:val="00A2073D"/>
    <w:rsid w:val="00A20751"/>
    <w:rsid w:val="00A27E2D"/>
    <w:rsid w:val="00A31D99"/>
    <w:rsid w:val="00A31E21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3CE2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E6B7B"/>
    <w:rsid w:val="00AE7914"/>
    <w:rsid w:val="00AF42CB"/>
    <w:rsid w:val="00AF483F"/>
    <w:rsid w:val="00AF4F80"/>
    <w:rsid w:val="00AF5E07"/>
    <w:rsid w:val="00AF5F06"/>
    <w:rsid w:val="00B00A25"/>
    <w:rsid w:val="00B1422A"/>
    <w:rsid w:val="00B1765C"/>
    <w:rsid w:val="00B213C4"/>
    <w:rsid w:val="00B24F18"/>
    <w:rsid w:val="00B26E62"/>
    <w:rsid w:val="00B34645"/>
    <w:rsid w:val="00B40C60"/>
    <w:rsid w:val="00B45CA9"/>
    <w:rsid w:val="00B479A9"/>
    <w:rsid w:val="00B52EDF"/>
    <w:rsid w:val="00B71188"/>
    <w:rsid w:val="00B76A41"/>
    <w:rsid w:val="00B83FF3"/>
    <w:rsid w:val="00B87D4C"/>
    <w:rsid w:val="00B93646"/>
    <w:rsid w:val="00B94047"/>
    <w:rsid w:val="00BA0B38"/>
    <w:rsid w:val="00BA1DBB"/>
    <w:rsid w:val="00BA407F"/>
    <w:rsid w:val="00BA4510"/>
    <w:rsid w:val="00BA529A"/>
    <w:rsid w:val="00BB2727"/>
    <w:rsid w:val="00BB612A"/>
    <w:rsid w:val="00BD499F"/>
    <w:rsid w:val="00BD56DE"/>
    <w:rsid w:val="00BF2406"/>
    <w:rsid w:val="00C069B3"/>
    <w:rsid w:val="00C06E43"/>
    <w:rsid w:val="00C159BA"/>
    <w:rsid w:val="00C16315"/>
    <w:rsid w:val="00C3091E"/>
    <w:rsid w:val="00C32D93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4E7F"/>
    <w:rsid w:val="00CA58FE"/>
    <w:rsid w:val="00CB1CB1"/>
    <w:rsid w:val="00CB6BC1"/>
    <w:rsid w:val="00CB6CB8"/>
    <w:rsid w:val="00CC1A68"/>
    <w:rsid w:val="00CC2123"/>
    <w:rsid w:val="00CD2BFD"/>
    <w:rsid w:val="00CE1F21"/>
    <w:rsid w:val="00CE5AD6"/>
    <w:rsid w:val="00CE617F"/>
    <w:rsid w:val="00CE78EF"/>
    <w:rsid w:val="00CF0768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2A69"/>
    <w:rsid w:val="00DB4BA8"/>
    <w:rsid w:val="00DC0237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50EC"/>
    <w:rsid w:val="00E26A07"/>
    <w:rsid w:val="00E32595"/>
    <w:rsid w:val="00E37CFD"/>
    <w:rsid w:val="00E41A26"/>
    <w:rsid w:val="00E44269"/>
    <w:rsid w:val="00E45728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2570"/>
    <w:rsid w:val="00E92499"/>
    <w:rsid w:val="00E949AF"/>
    <w:rsid w:val="00E96077"/>
    <w:rsid w:val="00EA0A06"/>
    <w:rsid w:val="00EA6243"/>
    <w:rsid w:val="00EA74AB"/>
    <w:rsid w:val="00EB3D1B"/>
    <w:rsid w:val="00EC5CEB"/>
    <w:rsid w:val="00ED1D89"/>
    <w:rsid w:val="00ED5600"/>
    <w:rsid w:val="00ED66BC"/>
    <w:rsid w:val="00EF233A"/>
    <w:rsid w:val="00EF303E"/>
    <w:rsid w:val="00EF3A40"/>
    <w:rsid w:val="00EF664F"/>
    <w:rsid w:val="00EF7F78"/>
    <w:rsid w:val="00F01B08"/>
    <w:rsid w:val="00F01C4D"/>
    <w:rsid w:val="00F053FA"/>
    <w:rsid w:val="00F10C97"/>
    <w:rsid w:val="00F11C71"/>
    <w:rsid w:val="00F16019"/>
    <w:rsid w:val="00F17ED3"/>
    <w:rsid w:val="00F20E68"/>
    <w:rsid w:val="00F22093"/>
    <w:rsid w:val="00F236DF"/>
    <w:rsid w:val="00F43AD5"/>
    <w:rsid w:val="00F4402E"/>
    <w:rsid w:val="00F56DD0"/>
    <w:rsid w:val="00F6491C"/>
    <w:rsid w:val="00F67BBB"/>
    <w:rsid w:val="00F77E8C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4E5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4B331F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8C6D91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31C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1CA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1CA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1C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1CA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F967E9F244A4A1290BCED77ECDBA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C43895-2828-4B25-8CA9-AB87BED4C216}"/>
      </w:docPartPr>
      <w:docPartBody>
        <w:p w:rsidR="002701F2" w:rsidRDefault="008B2DDD" w:rsidP="008B2DDD">
          <w:pPr>
            <w:pStyle w:val="1F967E9F244A4A1290BCED77ECDBA6C1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3188C"/>
    <w:rsid w:val="002701F2"/>
    <w:rsid w:val="002A10EF"/>
    <w:rsid w:val="003F0D2B"/>
    <w:rsid w:val="00522A58"/>
    <w:rsid w:val="008B2DDD"/>
    <w:rsid w:val="009064FA"/>
    <w:rsid w:val="009519E6"/>
    <w:rsid w:val="00D21A9F"/>
    <w:rsid w:val="00DC058B"/>
    <w:rsid w:val="00F4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2DD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F967E9F244A4A1290BCED77ECDBA6C1">
    <w:name w:val="1F967E9F244A4A1290BCED77ECDBA6C1"/>
    <w:rsid w:val="008B2D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34CA2CF-1905-486C-AB5D-D2DA61FB82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8C6AAE-ADE9-4DB4-8B9A-4461288CA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a0509f21-ed56-4150-9955-96be669e5f2d"/>
    <ds:schemaRef ds:uri="http://www.w3.org/XML/1998/namespace"/>
    <ds:schemaRef ds:uri="http://purl.org/dc/dcmitype/"/>
    <ds:schemaRef ds:uri="http://schemas.openxmlformats.org/package/2006/metadata/core-properties"/>
    <ds:schemaRef ds:uri="1c567317-0c4d-4a62-8516-c22afd1b5354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4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59</cp:revision>
  <cp:lastPrinted>2018-10-22T22:41:00Z</cp:lastPrinted>
  <dcterms:created xsi:type="dcterms:W3CDTF">2019-04-14T23:55:00Z</dcterms:created>
  <dcterms:modified xsi:type="dcterms:W3CDTF">2026-01-09T00:18:00Z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2025-12-18T06:10:47Z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9c6e4226-8cb4-4218-a130-22d0ac318e16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