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5636D8B" w14:textId="77777777" w:rsidR="00BD499F" w:rsidRPr="004C23F4" w:rsidRDefault="00E4445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n-Butyl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4E96638C" w14:textId="77777777" w:rsidTr="003A676C">
        <w:trPr>
          <w:cantSplit/>
          <w:tblHeader/>
        </w:trPr>
        <w:tc>
          <w:tcPr>
            <w:tcW w:w="3981" w:type="dxa"/>
          </w:tcPr>
          <w:p w14:paraId="426E3AE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19D65563" w14:textId="77777777" w:rsidR="00F43AD5" w:rsidRPr="00717D45" w:rsidRDefault="00E4445F" w:rsidP="00B76A41">
            <w:pPr>
              <w:pStyle w:val="Tablefont"/>
            </w:pPr>
            <w:r w:rsidRPr="00E4445F">
              <w:t>71-36-3</w:t>
            </w:r>
          </w:p>
        </w:tc>
      </w:tr>
      <w:tr w:rsidR="00F43AD5" w:rsidRPr="004C23F4" w14:paraId="39FBC53A" w14:textId="77777777" w:rsidTr="003A676C">
        <w:trPr>
          <w:cantSplit/>
        </w:trPr>
        <w:tc>
          <w:tcPr>
            <w:tcW w:w="3981" w:type="dxa"/>
          </w:tcPr>
          <w:p w14:paraId="7A75CE9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14847EA9" w14:textId="2B9925EE" w:rsidR="00F43AD5" w:rsidRPr="00717D45" w:rsidRDefault="00E4445F" w:rsidP="00E4445F">
            <w:pPr>
              <w:pStyle w:val="Tablefont"/>
            </w:pPr>
            <w:r>
              <w:t xml:space="preserve">Butan-1-ol, 1-Butanol, butyl alcohol, n-butanol, </w:t>
            </w:r>
            <w:r w:rsidR="00565DDD">
              <w:br/>
            </w:r>
            <w:r>
              <w:t xml:space="preserve">butyl hydroxide butyric alcohol, </w:t>
            </w:r>
            <w:proofErr w:type="spellStart"/>
            <w:r>
              <w:t>methylolpropane</w:t>
            </w:r>
            <w:proofErr w:type="spellEnd"/>
          </w:p>
        </w:tc>
      </w:tr>
      <w:tr w:rsidR="00F43AD5" w:rsidRPr="004C23F4" w14:paraId="2F8B7F46" w14:textId="77777777" w:rsidTr="003A676C">
        <w:trPr>
          <w:cantSplit/>
        </w:trPr>
        <w:tc>
          <w:tcPr>
            <w:tcW w:w="3981" w:type="dxa"/>
          </w:tcPr>
          <w:p w14:paraId="0ACA25E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081BDA1F" w14:textId="77777777" w:rsidR="00F43AD5" w:rsidRPr="00E4445F" w:rsidRDefault="00E4445F" w:rsidP="00B76A41">
            <w:pPr>
              <w:pStyle w:val="Tablefont"/>
            </w:pPr>
            <w:r>
              <w:t>C</w:t>
            </w:r>
            <w:r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10</w:t>
            </w:r>
            <w:r>
              <w:t>O</w:t>
            </w:r>
          </w:p>
        </w:tc>
      </w:tr>
    </w:tbl>
    <w:p w14:paraId="0E11E69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4445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AA0D8E1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FC9152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03DB6F6" w14:textId="77777777" w:rsidR="002C7AFE" w:rsidRPr="00E4445F" w:rsidRDefault="00E4445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(61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A2D2792" w14:textId="77777777" w:rsidTr="00921DE7">
        <w:trPr>
          <w:cantSplit/>
        </w:trPr>
        <w:tc>
          <w:tcPr>
            <w:tcW w:w="4077" w:type="dxa"/>
            <w:vAlign w:val="center"/>
          </w:tcPr>
          <w:p w14:paraId="27ACFD9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2895921" w14:textId="77777777" w:rsidR="002C7AFE" w:rsidRPr="00EB3D1B" w:rsidRDefault="00E4445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244B1FE" w14:textId="77777777" w:rsidTr="00921DE7">
        <w:trPr>
          <w:cantSplit/>
        </w:trPr>
        <w:tc>
          <w:tcPr>
            <w:tcW w:w="4077" w:type="dxa"/>
            <w:vAlign w:val="center"/>
          </w:tcPr>
          <w:p w14:paraId="1153EB0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B6D117C" w14:textId="77777777" w:rsidR="002C7AFE" w:rsidRPr="00EB3D1B" w:rsidRDefault="00E4445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85721DA" w14:textId="77777777" w:rsidTr="00A2073D">
        <w:trPr>
          <w:cantSplit/>
        </w:trPr>
        <w:tc>
          <w:tcPr>
            <w:tcW w:w="4077" w:type="dxa"/>
          </w:tcPr>
          <w:p w14:paraId="206D1EF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54A8EDB" w14:textId="77777777" w:rsidR="002C7AFE" w:rsidRPr="00EB3D1B" w:rsidRDefault="00E4445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D8B4D3A" w14:textId="77777777" w:rsidTr="00921DE7">
        <w:trPr>
          <w:cantSplit/>
        </w:trPr>
        <w:tc>
          <w:tcPr>
            <w:tcW w:w="4077" w:type="dxa"/>
            <w:vAlign w:val="center"/>
          </w:tcPr>
          <w:p w14:paraId="71BA8E2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CED0FFE" w14:textId="77777777" w:rsidR="002C7AFE" w:rsidRPr="00E4445F" w:rsidRDefault="0069780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981A1D">
              <w:rPr>
                <w:b/>
              </w:rPr>
              <w:t>,</w:t>
            </w:r>
            <w:r>
              <w:rPr>
                <w:b/>
              </w:rPr>
              <w:t>400 ppm</w:t>
            </w:r>
            <w:r w:rsidR="00E4445F">
              <w:rPr>
                <w:b/>
              </w:rPr>
              <w:t xml:space="preserve"> (4</w:t>
            </w:r>
            <w:r w:rsidR="00981A1D">
              <w:rPr>
                <w:b/>
              </w:rPr>
              <w:t>,</w:t>
            </w:r>
            <w:r w:rsidR="00E4445F">
              <w:rPr>
                <w:b/>
              </w:rPr>
              <w:t>240 mg/m</w:t>
            </w:r>
            <w:r w:rsidR="00E4445F">
              <w:rPr>
                <w:b/>
                <w:vertAlign w:val="superscript"/>
              </w:rPr>
              <w:t>3</w:t>
            </w:r>
            <w:r w:rsidR="00E4445F">
              <w:rPr>
                <w:b/>
              </w:rPr>
              <w:t>)</w:t>
            </w:r>
            <w:r w:rsidR="00C76207">
              <w:rPr>
                <w:b/>
              </w:rPr>
              <w:t>, 10% LEL</w:t>
            </w:r>
          </w:p>
        </w:tc>
      </w:tr>
      <w:tr w:rsidR="009F04D2" w:rsidRPr="004C23F4" w14:paraId="1A594A42" w14:textId="77777777" w:rsidTr="00921DE7">
        <w:trPr>
          <w:cantSplit/>
        </w:trPr>
        <w:tc>
          <w:tcPr>
            <w:tcW w:w="4077" w:type="dxa"/>
            <w:vAlign w:val="center"/>
          </w:tcPr>
          <w:p w14:paraId="741E8E9F" w14:textId="77777777" w:rsidR="009F04D2" w:rsidRDefault="009F04D2" w:rsidP="00921DE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35260D2" w14:textId="7155413D" w:rsidR="009F04D2" w:rsidRPr="003A676C" w:rsidRDefault="003A676C" w:rsidP="00017C82">
            <w:pPr>
              <w:pStyle w:val="Tablefont"/>
            </w:pPr>
            <w:r w:rsidRPr="003A676C">
              <w:t>The recommended value is readily quantifiable through currently available sampling and analysis techniques.</w:t>
            </w:r>
          </w:p>
        </w:tc>
      </w:tr>
    </w:tbl>
    <w:p w14:paraId="6E82840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00F7694" w14:textId="3A12FC00" w:rsidR="006639B4" w:rsidRDefault="00E4445F" w:rsidP="000C139A">
      <w:pPr>
        <w:rPr>
          <w:rFonts w:cs="Arial"/>
        </w:rPr>
      </w:pPr>
      <w:r w:rsidRPr="00E4445F">
        <w:rPr>
          <w:rFonts w:cs="Arial"/>
        </w:rPr>
        <w:t xml:space="preserve">A TWA of </w:t>
      </w:r>
      <w:r>
        <w:rPr>
          <w:rFonts w:cs="Arial"/>
        </w:rPr>
        <w:t>20</w:t>
      </w:r>
      <w:r w:rsidRPr="00E4445F">
        <w:rPr>
          <w:rFonts w:cs="Arial"/>
        </w:rPr>
        <w:t xml:space="preserve"> ppm (</w:t>
      </w:r>
      <w:r>
        <w:rPr>
          <w:rFonts w:cs="Arial"/>
        </w:rPr>
        <w:t>61</w:t>
      </w:r>
      <w:r w:rsidRPr="00E4445F">
        <w:rPr>
          <w:rFonts w:cs="Arial"/>
        </w:rPr>
        <w:t xml:space="preserve"> mg/m</w:t>
      </w:r>
      <w:r w:rsidRPr="00E4445F">
        <w:rPr>
          <w:rFonts w:cs="Arial"/>
          <w:vertAlign w:val="superscript"/>
        </w:rPr>
        <w:t>3</w:t>
      </w:r>
      <w:r w:rsidRPr="00E4445F">
        <w:rPr>
          <w:rFonts w:cs="Arial"/>
        </w:rPr>
        <w:t xml:space="preserve">) is recommended to protect for </w:t>
      </w:r>
      <w:r w:rsidR="00BF17A8">
        <w:rPr>
          <w:rFonts w:cs="Arial"/>
        </w:rPr>
        <w:t xml:space="preserve">eye and upper respiratory tract </w:t>
      </w:r>
      <w:r w:rsidR="00A93656">
        <w:rPr>
          <w:rFonts w:cs="Arial"/>
        </w:rPr>
        <w:t>irritation</w:t>
      </w:r>
      <w:r w:rsidRPr="00E4445F">
        <w:rPr>
          <w:rFonts w:cs="Arial"/>
        </w:rPr>
        <w:t xml:space="preserve"> in exposed workers. </w:t>
      </w:r>
    </w:p>
    <w:p w14:paraId="5188B25F" w14:textId="5C4261EC" w:rsidR="008B35FA" w:rsidRPr="008B35FA" w:rsidRDefault="008B35FA" w:rsidP="000C139A">
      <w:pPr>
        <w:rPr>
          <w:rFonts w:cs="Arial"/>
        </w:rPr>
      </w:pPr>
      <w:r>
        <w:rPr>
          <w:rFonts w:cs="Arial"/>
        </w:rPr>
        <w:t xml:space="preserve">A </w:t>
      </w:r>
      <w:r w:rsidR="0029759B">
        <w:rPr>
          <w:rFonts w:cs="Arial"/>
        </w:rPr>
        <w:t>STEL or peak limitation</w:t>
      </w:r>
      <w:r w:rsidR="00694E5C">
        <w:rPr>
          <w:rFonts w:cs="Arial"/>
        </w:rPr>
        <w:t xml:space="preserve"> </w:t>
      </w:r>
      <w:r w:rsidR="00F15D24">
        <w:rPr>
          <w:rFonts w:cs="Arial"/>
        </w:rPr>
        <w:t xml:space="preserve">is </w:t>
      </w:r>
      <w:r>
        <w:rPr>
          <w:rFonts w:cs="Arial"/>
        </w:rPr>
        <w:t xml:space="preserve">not recommended as </w:t>
      </w:r>
      <w:r w:rsidR="0020168B">
        <w:rPr>
          <w:rFonts w:cs="Arial"/>
        </w:rPr>
        <w:t xml:space="preserve">the TWA is considered protective of </w:t>
      </w:r>
      <w:r>
        <w:rPr>
          <w:rFonts w:cs="Arial"/>
        </w:rPr>
        <w:t xml:space="preserve">acute </w:t>
      </w:r>
      <w:r w:rsidR="00565DDD">
        <w:rPr>
          <w:rFonts w:cs="Arial"/>
        </w:rPr>
        <w:t xml:space="preserve">irritation </w:t>
      </w:r>
      <w:r w:rsidRPr="008B35FA">
        <w:rPr>
          <w:rFonts w:cs="Arial"/>
        </w:rPr>
        <w:t xml:space="preserve">effects at concentrations </w:t>
      </w:r>
      <w:r>
        <w:rPr>
          <w:rFonts w:cs="Arial"/>
        </w:rPr>
        <w:t xml:space="preserve">at or </w:t>
      </w:r>
      <w:r w:rsidR="0020168B">
        <w:rPr>
          <w:rFonts w:cs="Arial"/>
        </w:rPr>
        <w:t xml:space="preserve">above </w:t>
      </w:r>
      <w:r>
        <w:rPr>
          <w:rFonts w:cs="Arial"/>
        </w:rPr>
        <w:t>200 ppm (601 mg/m</w:t>
      </w:r>
      <w:r>
        <w:rPr>
          <w:rFonts w:cs="Arial"/>
          <w:vertAlign w:val="superscript"/>
        </w:rPr>
        <w:t>3</w:t>
      </w:r>
      <w:r>
        <w:rPr>
          <w:rFonts w:cs="Arial"/>
        </w:rPr>
        <w:t>).</w:t>
      </w:r>
    </w:p>
    <w:p w14:paraId="0C44DF9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B451285" w14:textId="77777777" w:rsidR="003A676C" w:rsidRDefault="00D21B8A" w:rsidP="006639B4">
      <w:pPr>
        <w:rPr>
          <w:rFonts w:cs="Arial"/>
        </w:rPr>
      </w:pPr>
      <w:r>
        <w:rPr>
          <w:rFonts w:cs="Arial"/>
        </w:rPr>
        <w:t xml:space="preserve">n-Butyl alcohol is </w:t>
      </w:r>
      <w:r w:rsidR="002C1BFD">
        <w:rPr>
          <w:rFonts w:cs="Arial"/>
        </w:rPr>
        <w:t>used</w:t>
      </w:r>
      <w:r>
        <w:rPr>
          <w:rFonts w:cs="Arial"/>
        </w:rPr>
        <w:t xml:space="preserve"> </w:t>
      </w:r>
      <w:r w:rsidR="003D6A46">
        <w:rPr>
          <w:rFonts w:cs="Arial"/>
        </w:rPr>
        <w:t xml:space="preserve">as a solvent in </w:t>
      </w:r>
      <w:r w:rsidR="002C1BFD">
        <w:rPr>
          <w:rFonts w:cs="Arial"/>
        </w:rPr>
        <w:t>the food industry,</w:t>
      </w:r>
      <w:r w:rsidR="002C1BFD" w:rsidRPr="003D6A46">
        <w:rPr>
          <w:rFonts w:cs="Arial"/>
        </w:rPr>
        <w:t xml:space="preserve"> </w:t>
      </w:r>
      <w:r w:rsidR="003D6A46" w:rsidRPr="003D6A46">
        <w:rPr>
          <w:rFonts w:cs="Arial"/>
        </w:rPr>
        <w:t>cosmetics, gums, dye</w:t>
      </w:r>
      <w:r w:rsidR="003D6A46">
        <w:rPr>
          <w:rFonts w:cs="Arial"/>
        </w:rPr>
        <w:t>s, paints</w:t>
      </w:r>
      <w:r w:rsidR="003D6A46" w:rsidRPr="003D6A46">
        <w:rPr>
          <w:rFonts w:cs="Arial"/>
        </w:rPr>
        <w:t xml:space="preserve"> </w:t>
      </w:r>
      <w:r w:rsidR="003D6A46">
        <w:rPr>
          <w:rFonts w:cs="Arial"/>
        </w:rPr>
        <w:t>and in hydraulic fluids</w:t>
      </w:r>
      <w:r w:rsidR="003D6A46" w:rsidRPr="003D6A46">
        <w:rPr>
          <w:rFonts w:cs="Arial"/>
        </w:rPr>
        <w:t xml:space="preserve">. </w:t>
      </w:r>
    </w:p>
    <w:p w14:paraId="1B740952" w14:textId="5FDE447E" w:rsidR="00B11AB8" w:rsidRDefault="003D6A46" w:rsidP="006639B4">
      <w:pPr>
        <w:rPr>
          <w:rFonts w:cs="Arial"/>
        </w:rPr>
      </w:pPr>
      <w:r>
        <w:rPr>
          <w:rFonts w:cs="Arial"/>
        </w:rPr>
        <w:t xml:space="preserve">Critical effects of exposure are irritation of the eyes and upper respiratory tract. </w:t>
      </w:r>
      <w:r w:rsidR="00467FC0">
        <w:rPr>
          <w:rFonts w:cs="Arial"/>
        </w:rPr>
        <w:t xml:space="preserve">No complaints of irritation were reported for exposures below 100 ppm in an observational human study. Eye and upper airway irritation were reported </w:t>
      </w:r>
      <w:r w:rsidR="00B11AB8">
        <w:rPr>
          <w:rFonts w:cs="Arial"/>
        </w:rPr>
        <w:t>for</w:t>
      </w:r>
      <w:r w:rsidR="00467FC0">
        <w:rPr>
          <w:rFonts w:cs="Arial"/>
        </w:rPr>
        <w:t xml:space="preserve"> exposures above 200 ppm in human experimental studies (ACGIH, 2018). </w:t>
      </w:r>
      <w:r w:rsidR="002C1BFD">
        <w:rPr>
          <w:rFonts w:cs="Arial"/>
        </w:rPr>
        <w:t xml:space="preserve">A chamber study with naïve volunteers reported the lowest tolerable concentration for an </w:t>
      </w:r>
      <w:r w:rsidR="00F15D24">
        <w:rPr>
          <w:rFonts w:cs="Arial"/>
        </w:rPr>
        <w:t>eight-hour</w:t>
      </w:r>
      <w:r w:rsidR="002C1BFD">
        <w:rPr>
          <w:rFonts w:cs="Arial"/>
        </w:rPr>
        <w:t xml:space="preserve"> shift was 25 ppm. </w:t>
      </w:r>
    </w:p>
    <w:p w14:paraId="61172548" w14:textId="222C5F80" w:rsidR="00BF17A8" w:rsidRDefault="00F15D24" w:rsidP="006639B4">
      <w:pPr>
        <w:rPr>
          <w:rFonts w:cs="Arial"/>
        </w:rPr>
      </w:pPr>
      <w:r>
        <w:rPr>
          <w:rFonts w:cs="Arial"/>
        </w:rPr>
        <w:t>T</w:t>
      </w:r>
      <w:r w:rsidR="00697809">
        <w:rPr>
          <w:rFonts w:cs="Arial"/>
        </w:rPr>
        <w:t>he recommended TWA of 20 ppm</w:t>
      </w:r>
      <w:r w:rsidR="00E4445F">
        <w:rPr>
          <w:rFonts w:cs="Arial"/>
        </w:rPr>
        <w:t xml:space="preserve"> is expected</w:t>
      </w:r>
      <w:r w:rsidR="00697809">
        <w:rPr>
          <w:rFonts w:cs="Arial"/>
        </w:rPr>
        <w:t xml:space="preserve"> to protect for potential irritation effects in unacclimated individuals</w:t>
      </w:r>
      <w:r w:rsidR="0071764B">
        <w:rPr>
          <w:rFonts w:cs="Arial"/>
        </w:rPr>
        <w:t>.</w:t>
      </w:r>
      <w:r w:rsidR="00C168B4">
        <w:rPr>
          <w:rFonts w:cs="Arial"/>
        </w:rPr>
        <w:t xml:space="preserve"> </w:t>
      </w:r>
      <w:r w:rsidR="005E6D7F">
        <w:rPr>
          <w:rFonts w:cs="Arial"/>
        </w:rPr>
        <w:t>T</w:t>
      </w:r>
      <w:r w:rsidR="00467FC0">
        <w:rPr>
          <w:rFonts w:cs="Arial"/>
        </w:rPr>
        <w:t>he recommended TWA</w:t>
      </w:r>
      <w:r w:rsidR="00697809">
        <w:rPr>
          <w:rFonts w:cs="Arial"/>
        </w:rPr>
        <w:t xml:space="preserve"> is also </w:t>
      </w:r>
      <w:r w:rsidR="000925CD">
        <w:rPr>
          <w:rFonts w:cs="Arial"/>
        </w:rPr>
        <w:t xml:space="preserve">considered </w:t>
      </w:r>
      <w:r w:rsidR="00697809">
        <w:rPr>
          <w:rFonts w:cs="Arial"/>
        </w:rPr>
        <w:t xml:space="preserve">protective </w:t>
      </w:r>
      <w:r w:rsidR="00A04E54">
        <w:rPr>
          <w:rFonts w:cs="Arial"/>
        </w:rPr>
        <w:t>for irrita</w:t>
      </w:r>
      <w:r w:rsidR="00EC3FB0">
        <w:rPr>
          <w:rFonts w:cs="Arial"/>
        </w:rPr>
        <w:t>nt</w:t>
      </w:r>
      <w:r w:rsidR="00697809">
        <w:rPr>
          <w:rFonts w:cs="Arial"/>
        </w:rPr>
        <w:t xml:space="preserve"> effects observed</w:t>
      </w:r>
      <w:r w:rsidR="00565DDD">
        <w:rPr>
          <w:rFonts w:cs="Arial"/>
        </w:rPr>
        <w:t xml:space="preserve"> above 100 ppm</w:t>
      </w:r>
      <w:r w:rsidR="00697809">
        <w:rPr>
          <w:rFonts w:cs="Arial"/>
        </w:rPr>
        <w:t xml:space="preserve"> in acclimated workers (ACGIH, 2018).</w:t>
      </w:r>
      <w:r w:rsidR="00BF17A8" w:rsidRPr="00BF17A8">
        <w:rPr>
          <w:rFonts w:cs="Arial"/>
        </w:rPr>
        <w:t xml:space="preserve"> </w:t>
      </w:r>
    </w:p>
    <w:p w14:paraId="61CEBF6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391D1B8" w14:textId="77777777" w:rsidR="00C76207" w:rsidRDefault="00C76207" w:rsidP="004529F0">
      <w:pPr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>nd Labelling of Chemicals (GHS).</w:t>
      </w:r>
    </w:p>
    <w:p w14:paraId="1C2770FD" w14:textId="77777777" w:rsidR="00C76207" w:rsidRDefault="00C76207" w:rsidP="004529F0">
      <w:pPr>
        <w:rPr>
          <w:rFonts w:cs="Arial"/>
        </w:rPr>
      </w:pPr>
      <w:r w:rsidRPr="00C76207">
        <w:rPr>
          <w:rFonts w:cs="Arial"/>
        </w:rPr>
        <w:t xml:space="preserve">Not classified as a skin </w:t>
      </w:r>
      <w:r w:rsidR="00A04E54">
        <w:rPr>
          <w:rFonts w:cs="Arial"/>
        </w:rPr>
        <w:t xml:space="preserve">sensitiser </w:t>
      </w:r>
      <w:r w:rsidRPr="00C76207">
        <w:rPr>
          <w:rFonts w:cs="Arial"/>
        </w:rPr>
        <w:t xml:space="preserve">or respiratory sensitiser according to the GHS. </w:t>
      </w:r>
    </w:p>
    <w:p w14:paraId="00107099" w14:textId="55EF80A2" w:rsidR="00565DDD" w:rsidRPr="004C23F4" w:rsidRDefault="00C76207" w:rsidP="00565DDD">
      <w:pPr>
        <w:rPr>
          <w:rFonts w:cs="Arial"/>
        </w:rPr>
      </w:pPr>
      <w:r w:rsidRPr="00C76207">
        <w:rPr>
          <w:rFonts w:cs="Arial"/>
        </w:rPr>
        <w:lastRenderedPageBreak/>
        <w:t xml:space="preserve">A skin notation is not </w:t>
      </w:r>
      <w:r w:rsidR="00565DDD">
        <w:rPr>
          <w:rFonts w:cs="Arial"/>
        </w:rPr>
        <w:t>recommended</w:t>
      </w:r>
      <w:r w:rsidR="00565DDD" w:rsidRPr="00C76207">
        <w:rPr>
          <w:rFonts w:cs="Arial"/>
        </w:rPr>
        <w:t xml:space="preserve"> </w:t>
      </w:r>
      <w:r w:rsidRPr="00C76207">
        <w:rPr>
          <w:rFonts w:cs="Arial"/>
        </w:rPr>
        <w:t xml:space="preserve">as there </w:t>
      </w:r>
      <w:r w:rsidR="00565DDD">
        <w:rPr>
          <w:rFonts w:cs="Arial"/>
        </w:rPr>
        <w:t>were no systemic effects in animals and insignificant absorption</w:t>
      </w:r>
      <w:r w:rsidR="00565DDD" w:rsidRPr="00EC3FB0">
        <w:rPr>
          <w:rFonts w:cs="Arial"/>
        </w:rPr>
        <w:t xml:space="preserve"> </w:t>
      </w:r>
      <w:r w:rsidR="00565DDD">
        <w:rPr>
          <w:rFonts w:cs="Arial"/>
        </w:rPr>
        <w:t>was reported in dermal absorption studies.</w:t>
      </w:r>
    </w:p>
    <w:p w14:paraId="4A0BCE46" w14:textId="77777777" w:rsidR="005E6979" w:rsidRPr="004C23F4" w:rsidRDefault="005E6979">
      <w:pPr>
        <w:rPr>
          <w:rFonts w:cs="Arial"/>
        </w:rPr>
        <w:sectPr w:rsidR="005E6979" w:rsidRPr="004C23F4" w:rsidSect="009042A6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</w:p>
    <w:p w14:paraId="41F5231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44F935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6A96A72" w14:textId="77777777" w:rsidTr="00553244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D3C7E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C6E6880" w14:textId="77777777" w:rsidTr="0055324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5C657CB7" w14:textId="33A90B98" w:rsidR="00DE26E8" w:rsidRPr="003365A5" w:rsidRDefault="00DE26E8" w:rsidP="00EA478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A478B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74007">
                  <w:t>Peak limitation: 50 ppm (152 mg/m</w:t>
                </w:r>
                <w:r w:rsidR="00C74007">
                  <w:rPr>
                    <w:vertAlign w:val="superscript"/>
                  </w:rPr>
                  <w:t>3</w:t>
                </w:r>
                <w:r w:rsidR="00C74007">
                  <w:t>)</w:t>
                </w:r>
              </w:sdtContent>
            </w:sdt>
          </w:p>
        </w:tc>
      </w:tr>
      <w:tr w:rsidR="00C978F0" w:rsidRPr="00DA352E" w14:paraId="41D228E5" w14:textId="77777777" w:rsidTr="00553244">
        <w:trPr>
          <w:gridAfter w:val="1"/>
          <w:wAfter w:w="8" w:type="pct"/>
        </w:trPr>
        <w:tc>
          <w:tcPr>
            <w:tcW w:w="4992" w:type="pct"/>
          </w:tcPr>
          <w:p w14:paraId="72ABBF2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6C066BD" w14:textId="77777777" w:rsidTr="0055324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677A34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67CE9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67CE9">
                  <w:t>TLV-TWA: 20 ppm (61 mg/m</w:t>
                </w:r>
                <w:r w:rsidR="00667CE9">
                  <w:rPr>
                    <w:vertAlign w:val="superscript"/>
                  </w:rPr>
                  <w:t>3</w:t>
                </w:r>
              </w:sdtContent>
            </w:sdt>
            <w:r w:rsidR="003A3032">
              <w:t>)</w:t>
            </w:r>
          </w:p>
        </w:tc>
      </w:tr>
      <w:tr w:rsidR="00D70ED2" w:rsidRPr="00F15D24" w14:paraId="65E316C0" w14:textId="77777777" w:rsidTr="00553244">
        <w:trPr>
          <w:gridAfter w:val="1"/>
          <w:wAfter w:w="8" w:type="pct"/>
        </w:trPr>
        <w:tc>
          <w:tcPr>
            <w:tcW w:w="4992" w:type="pct"/>
          </w:tcPr>
          <w:p w14:paraId="1AC5DD5C" w14:textId="77777777" w:rsidR="00565DDD" w:rsidRDefault="006E2FEA" w:rsidP="00D70ED2">
            <w:pPr>
              <w:pStyle w:val="Tabletextprimarysource"/>
            </w:pPr>
            <w:r>
              <w:t xml:space="preserve">TLV-TWA </w:t>
            </w:r>
            <w:r w:rsidR="004C10C7">
              <w:t>expected to be protective of eye irritation reported by naïve volunteers at 25 ppm, which is lower than the eye irritation complaint threshold of acclimated workers (100 ppm)</w:t>
            </w:r>
            <w:r w:rsidR="00D21B8A">
              <w:t xml:space="preserve">. </w:t>
            </w:r>
          </w:p>
          <w:p w14:paraId="305A8C5A" w14:textId="77777777" w:rsidR="00565DDD" w:rsidRDefault="006E2FEA" w:rsidP="00D70ED2">
            <w:pPr>
              <w:pStyle w:val="Tabletextprimarysource"/>
            </w:pPr>
            <w:r>
              <w:t xml:space="preserve">Unacclimated workers may experience discomfort from odour, which diminishes over time. </w:t>
            </w:r>
          </w:p>
          <w:p w14:paraId="1A655279" w14:textId="77777777" w:rsidR="00565DDD" w:rsidRDefault="005117C5" w:rsidP="00D70ED2">
            <w:pPr>
              <w:pStyle w:val="Tabletextprimarysource"/>
            </w:pPr>
            <w:r>
              <w:t xml:space="preserve">Skin notation not warranted due to low skin uptake. </w:t>
            </w:r>
          </w:p>
          <w:p w14:paraId="3E32291E" w14:textId="26E85570" w:rsidR="005117C5" w:rsidRDefault="005117C5" w:rsidP="00D70ED2">
            <w:pPr>
              <w:pStyle w:val="Tabletextprimarysource"/>
            </w:pPr>
            <w:r>
              <w:t>Insufficient data to derive a TLV-STEL or notations for carcinogenicity or sensitisation.</w:t>
            </w:r>
            <w:r w:rsidR="00C72F7D">
              <w:t xml:space="preserve"> </w:t>
            </w:r>
          </w:p>
          <w:p w14:paraId="2560302D" w14:textId="77777777" w:rsidR="004B12E9" w:rsidRDefault="004C10C7" w:rsidP="004C10C7">
            <w:pPr>
              <w:pStyle w:val="Tabletextprimarysource"/>
            </w:pPr>
            <w:r>
              <w:t>Summary of data:</w:t>
            </w:r>
            <w:r w:rsidR="004B12E9">
              <w:t xml:space="preserve"> </w:t>
            </w:r>
          </w:p>
          <w:p w14:paraId="762504BD" w14:textId="77777777" w:rsidR="00D70ED2" w:rsidRDefault="00D70ED2" w:rsidP="00D70ED2">
            <w:pPr>
              <w:pStyle w:val="Tabletextprimarysource"/>
            </w:pPr>
            <w:r>
              <w:t>Human data:</w:t>
            </w:r>
          </w:p>
          <w:p w14:paraId="7411EF5A" w14:textId="3CBE5F7B" w:rsidR="00BA2D35" w:rsidRDefault="00F904A9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Comprehensive 10-yr workplace study (n=16</w:t>
            </w:r>
            <w:r w:rsidR="005A0DE3">
              <w:t>–</w:t>
            </w:r>
            <w:r>
              <w:t>99) reported</w:t>
            </w:r>
            <w:r w:rsidR="00BA2D35">
              <w:t>:</w:t>
            </w:r>
          </w:p>
          <w:p w14:paraId="60DD0ADB" w14:textId="3A22700C" w:rsidR="00565DDD" w:rsidRDefault="00F904A9" w:rsidP="003A676C">
            <w:pPr>
              <w:pStyle w:val="Tabletextprimarysource"/>
              <w:numPr>
                <w:ilvl w:val="0"/>
                <w:numId w:val="10"/>
              </w:numPr>
              <w:spacing w:before="0" w:after="80"/>
            </w:pPr>
            <w:r>
              <w:t xml:space="preserve">no effects at 100 ppm in breathing zone </w:t>
            </w:r>
          </w:p>
          <w:p w14:paraId="663421ED" w14:textId="0A08BF60" w:rsidR="00BA2D35" w:rsidRDefault="00F904A9" w:rsidP="003A676C">
            <w:pPr>
              <w:pStyle w:val="Tabletextprimarysource"/>
              <w:numPr>
                <w:ilvl w:val="0"/>
                <w:numId w:val="10"/>
              </w:numPr>
              <w:spacing w:before="0" w:after="80"/>
            </w:pPr>
            <w:r>
              <w:t xml:space="preserve">complaints of irritation during short </w:t>
            </w:r>
            <w:r w:rsidR="00565DDD">
              <w:t>exposures &gt;100 ppm</w:t>
            </w:r>
            <w:r>
              <w:t xml:space="preserve"> (duration and concentration no specified)</w:t>
            </w:r>
          </w:p>
          <w:p w14:paraId="2FFE08BB" w14:textId="3BE45B03" w:rsidR="00BA2D35" w:rsidRDefault="00F904A9" w:rsidP="003A676C">
            <w:pPr>
              <w:pStyle w:val="Tabletextprimarysource"/>
              <w:numPr>
                <w:ilvl w:val="0"/>
                <w:numId w:val="10"/>
              </w:numPr>
              <w:spacing w:before="0" w:after="80"/>
            </w:pPr>
            <w:r>
              <w:t>lachrymation, blurred vision, photophobia, corneal oedema reported at 200 ppm</w:t>
            </w:r>
          </w:p>
          <w:p w14:paraId="314D65A9" w14:textId="5A0CDCAA" w:rsidR="00BA2D35" w:rsidRDefault="00A41FD1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Plant study (n=35) with mixed exposure of n-butanol (major) and diacetone alcohol (minor) reported</w:t>
            </w:r>
            <w:r w:rsidR="00BA2D35">
              <w:t>:</w:t>
            </w:r>
          </w:p>
          <w:p w14:paraId="0586D8EE" w14:textId="47F995CB" w:rsidR="00BA2D35" w:rsidRDefault="00A41FD1" w:rsidP="003A676C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 xml:space="preserve">lachrymation, eye irritation and reversible eye inflammation in 28/35 workers in areas with the highest concentrations &lt;100 </w:t>
            </w:r>
            <w:r w:rsidR="00475F05">
              <w:t xml:space="preserve">ppm (lower limit not specified; </w:t>
            </w:r>
            <w:r>
              <w:t>concentrations ranged from 15</w:t>
            </w:r>
            <w:r w:rsidR="005A0DE3">
              <w:t>–</w:t>
            </w:r>
            <w:r>
              <w:t xml:space="preserve">100 ppm in the whole plant) </w:t>
            </w:r>
          </w:p>
          <w:p w14:paraId="2B1C6398" w14:textId="2996494D" w:rsidR="00A41FD1" w:rsidRDefault="00A41FD1" w:rsidP="003A676C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>effects reversible within 10 d</w:t>
            </w:r>
          </w:p>
          <w:p w14:paraId="51266C08" w14:textId="2CCCE950" w:rsidR="00565DDD" w:rsidRDefault="00A41FD1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No irrita</w:t>
            </w:r>
            <w:r w:rsidR="008E6807">
              <w:t>nt</w:t>
            </w:r>
            <w:r>
              <w:t xml:space="preserve"> effects in volunteers </w:t>
            </w:r>
            <w:r w:rsidR="004B12E9">
              <w:t xml:space="preserve">(n=6) </w:t>
            </w:r>
            <w:r>
              <w:t>inhaling through mouthpiece at 100 or 197 p</w:t>
            </w:r>
            <w:r w:rsidR="00475F05">
              <w:t>pm</w:t>
            </w:r>
          </w:p>
          <w:p w14:paraId="7B257B35" w14:textId="00039EC9" w:rsidR="00A41FD1" w:rsidRDefault="00A41FD1" w:rsidP="003A676C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>47</w:t>
            </w:r>
            <w:r w:rsidR="005A0DE3">
              <w:t>–</w:t>
            </w:r>
            <w:r w:rsidR="00C0106E">
              <w:t>48</w:t>
            </w:r>
            <w:r>
              <w:t>%</w:t>
            </w:r>
            <w:r w:rsidR="00475F05">
              <w:t xml:space="preserve"> (at rest)</w:t>
            </w:r>
            <w:r>
              <w:t xml:space="preserve"> and 3</w:t>
            </w:r>
            <w:r w:rsidR="00C0106E">
              <w:t>7</w:t>
            </w:r>
            <w:r w:rsidR="005A0DE3">
              <w:t>–</w:t>
            </w:r>
            <w:r w:rsidR="00C0106E">
              <w:t>41</w:t>
            </w:r>
            <w:r>
              <w:t>%</w:t>
            </w:r>
            <w:r w:rsidR="00475F05">
              <w:t xml:space="preserve"> (exercise)</w:t>
            </w:r>
            <w:r>
              <w:t xml:space="preserve"> absorbed </w:t>
            </w:r>
            <w:r w:rsidR="00475F05">
              <w:t>by inhalation</w:t>
            </w:r>
          </w:p>
          <w:p w14:paraId="776AFE8D" w14:textId="77777777" w:rsidR="00565DDD" w:rsidRDefault="00F904A9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 xml:space="preserve">Throat </w:t>
            </w:r>
            <w:r w:rsidR="004B12E9">
              <w:t xml:space="preserve">and eye </w:t>
            </w:r>
            <w:r>
              <w:t>irritation reported in volunteer chamber study at 50 ppm</w:t>
            </w:r>
          </w:p>
          <w:p w14:paraId="67F49AE9" w14:textId="6BF00079" w:rsidR="00F904A9" w:rsidRDefault="00F904A9" w:rsidP="003A676C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>mild throat and upper respiratory tract irritation at 25 ppm (n=10, 3</w:t>
            </w:r>
            <w:r w:rsidR="005A0DE3">
              <w:t>–</w:t>
            </w:r>
            <w:r>
              <w:t>5 min)</w:t>
            </w:r>
          </w:p>
          <w:p w14:paraId="29E48C02" w14:textId="51649257" w:rsidR="00BA2D35" w:rsidRDefault="00565DDD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S</w:t>
            </w:r>
            <w:r w:rsidR="00EB1638">
              <w:t>tudy</w:t>
            </w:r>
            <w:r w:rsidR="00C0464A">
              <w:t xml:space="preserve"> of naïve and </w:t>
            </w:r>
            <w:r w:rsidR="004B12E9">
              <w:t>acclimated</w:t>
            </w:r>
            <w:r w:rsidR="00C0464A">
              <w:t xml:space="preserve"> </w:t>
            </w:r>
            <w:r w:rsidR="004B12E9">
              <w:t>volunteers (n=32/group) reported</w:t>
            </w:r>
            <w:r w:rsidR="00BA2D35">
              <w:t>:</w:t>
            </w:r>
            <w:r w:rsidR="004B12E9">
              <w:t xml:space="preserve"> </w:t>
            </w:r>
          </w:p>
          <w:p w14:paraId="378A178E" w14:textId="099A64EE" w:rsidR="00BA2D35" w:rsidRDefault="00C0464A" w:rsidP="003A676C">
            <w:pPr>
              <w:pStyle w:val="Tabletextprimarysource"/>
              <w:numPr>
                <w:ilvl w:val="0"/>
                <w:numId w:val="13"/>
              </w:numPr>
              <w:spacing w:before="0" w:after="80"/>
            </w:pPr>
            <w:r>
              <w:t xml:space="preserve">median odour and irritation thresholds </w:t>
            </w:r>
            <w:r w:rsidR="004B12E9">
              <w:t>of</w:t>
            </w:r>
            <w:r>
              <w:t xml:space="preserve"> </w:t>
            </w:r>
            <w:r w:rsidR="004C10C7">
              <w:t xml:space="preserve">0.17 and </w:t>
            </w:r>
            <w:r w:rsidR="004B12E9">
              <w:t>2</w:t>
            </w:r>
            <w:r w:rsidR="004E10AE">
              <w:t>,</w:t>
            </w:r>
            <w:r w:rsidR="004B12E9">
              <w:t>042</w:t>
            </w:r>
            <w:r w:rsidR="004C10C7">
              <w:t xml:space="preserve"> ppm</w:t>
            </w:r>
            <w:r>
              <w:t xml:space="preserve"> respectively</w:t>
            </w:r>
            <w:r w:rsidR="004B12E9">
              <w:t xml:space="preserve"> </w:t>
            </w:r>
          </w:p>
          <w:p w14:paraId="32D7B62D" w14:textId="4227BA98" w:rsidR="00BA2D35" w:rsidRDefault="004B12E9" w:rsidP="003A676C">
            <w:pPr>
              <w:pStyle w:val="Tabletextprimarysource"/>
              <w:numPr>
                <w:ilvl w:val="0"/>
                <w:numId w:val="13"/>
              </w:numPr>
              <w:spacing w:before="0" w:after="80"/>
            </w:pPr>
            <w:r>
              <w:t xml:space="preserve">lowest </w:t>
            </w:r>
            <w:r w:rsidR="00D21B8A">
              <w:t xml:space="preserve">nasal </w:t>
            </w:r>
            <w:r>
              <w:t>irritation threshold was 289 ppm</w:t>
            </w:r>
            <w:r w:rsidR="00C0464A">
              <w:t xml:space="preserve"> </w:t>
            </w:r>
          </w:p>
          <w:p w14:paraId="2DE7C3D2" w14:textId="7E48EB54" w:rsidR="0042540E" w:rsidRDefault="00BA2D35" w:rsidP="003A676C">
            <w:pPr>
              <w:pStyle w:val="Tabletextprimarysource"/>
              <w:numPr>
                <w:ilvl w:val="0"/>
                <w:numId w:val="13"/>
              </w:numPr>
              <w:spacing w:before="0" w:after="80"/>
            </w:pPr>
            <w:r>
              <w:t>n</w:t>
            </w:r>
            <w:r w:rsidR="00C0464A">
              <w:t xml:space="preserve">aïve </w:t>
            </w:r>
            <w:r w:rsidR="004B12E9">
              <w:t>subjects reported significantly more subjective irritation below thresholds than acclimated subjects</w:t>
            </w:r>
          </w:p>
          <w:p w14:paraId="0162F529" w14:textId="699AA693" w:rsidR="008E6807" w:rsidRDefault="00D21B8A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Recent study reported</w:t>
            </w:r>
            <w:r w:rsidR="008E6807">
              <w:t>:</w:t>
            </w:r>
            <w:r>
              <w:t xml:space="preserve"> </w:t>
            </w:r>
          </w:p>
          <w:p w14:paraId="42428AA0" w14:textId="2D670A53" w:rsidR="008E6807" w:rsidRDefault="00D21B8A" w:rsidP="003A676C">
            <w:pPr>
              <w:pStyle w:val="Tabletextprimarysource"/>
              <w:numPr>
                <w:ilvl w:val="0"/>
                <w:numId w:val="14"/>
              </w:numPr>
              <w:spacing w:before="0" w:after="80"/>
            </w:pPr>
            <w:r>
              <w:t>c</w:t>
            </w:r>
            <w:r w:rsidR="00D557F8">
              <w:t xml:space="preserve">onjunctival </w:t>
            </w:r>
            <w:r w:rsidR="00162EF1">
              <w:t>hyperaemia</w:t>
            </w:r>
            <w:r w:rsidR="00D557F8">
              <w:t xml:space="preserve"> in expose</w:t>
            </w:r>
            <w:r w:rsidR="003D6A46">
              <w:t>d volunteers at 990 ppm (n=8, 1 </w:t>
            </w:r>
            <w:r w:rsidR="00D557F8">
              <w:t xml:space="preserve">h) </w:t>
            </w:r>
          </w:p>
          <w:p w14:paraId="6947DDB1" w14:textId="21C2D669" w:rsidR="008E6807" w:rsidRDefault="00422B22" w:rsidP="003A676C">
            <w:pPr>
              <w:pStyle w:val="Tabletextprimarysource"/>
              <w:numPr>
                <w:ilvl w:val="0"/>
                <w:numId w:val="14"/>
              </w:numPr>
              <w:spacing w:before="0" w:after="80"/>
            </w:pPr>
            <w:r>
              <w:t xml:space="preserve">no effects at </w:t>
            </w:r>
            <w:r w:rsidR="00D557F8">
              <w:t>99</w:t>
            </w:r>
            <w:r w:rsidR="004E10AE">
              <w:t>–</w:t>
            </w:r>
            <w:r w:rsidR="00D557F8">
              <w:t>314 ppm</w:t>
            </w:r>
          </w:p>
          <w:p w14:paraId="2F502DB3" w14:textId="44D638A5" w:rsidR="00D557F8" w:rsidRDefault="00D557F8" w:rsidP="003A676C">
            <w:pPr>
              <w:pStyle w:val="Tabletextprimarysource"/>
              <w:numPr>
                <w:ilvl w:val="0"/>
                <w:numId w:val="14"/>
              </w:numPr>
              <w:spacing w:before="0" w:after="80"/>
            </w:pPr>
            <w:r>
              <w:t>none of the tested concentrations produced irritation</w:t>
            </w:r>
          </w:p>
          <w:p w14:paraId="4588701D" w14:textId="05754B12" w:rsidR="004E10AE" w:rsidRDefault="003C0191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 xml:space="preserve">Acclimatisation based on subjective irritation responses given in volunteer chamber study at low concentrations (0.8 and 1.5 ppm) </w:t>
            </w:r>
            <w:r w:rsidR="00622217">
              <w:t xml:space="preserve">compared with high </w:t>
            </w:r>
            <w:r w:rsidR="005162D9">
              <w:t>concentrations</w:t>
            </w:r>
            <w:r w:rsidR="00622217">
              <w:t xml:space="preserve"> (3.3 ppm) </w:t>
            </w:r>
            <w:r w:rsidR="00565DDD">
              <w:t>&gt;</w:t>
            </w:r>
            <w:r w:rsidR="00622217">
              <w:t>90</w:t>
            </w:r>
            <w:r w:rsidR="006E1DF4">
              <w:t> </w:t>
            </w:r>
            <w:r w:rsidR="00622217">
              <w:t xml:space="preserve">min, irritation responses </w:t>
            </w:r>
            <w:r w:rsidR="00F506B3">
              <w:t>possibly</w:t>
            </w:r>
            <w:r w:rsidR="00622217">
              <w:t xml:space="preserve"> confounded by odour perception</w:t>
            </w:r>
            <w:r w:rsidR="008E6807">
              <w:t>.</w:t>
            </w:r>
            <w:r w:rsidR="00C0106E">
              <w:t xml:space="preserve"> </w:t>
            </w:r>
          </w:p>
          <w:p w14:paraId="1E41ED9E" w14:textId="77777777" w:rsidR="00C0106E" w:rsidRDefault="00C0106E" w:rsidP="003A676C">
            <w:pPr>
              <w:pStyle w:val="Tabletextprimarysource"/>
              <w:spacing w:before="0" w:after="80"/>
            </w:pPr>
            <w:r>
              <w:t>Animal data:</w:t>
            </w:r>
          </w:p>
          <w:p w14:paraId="62457B25" w14:textId="54927808" w:rsidR="006E2FEA" w:rsidRDefault="006E2FEA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2</w:t>
            </w:r>
            <w:r w:rsidR="004E10AE">
              <w:t>,</w:t>
            </w:r>
            <w:r>
              <w:t>510 mg/kg (rat, 24 h), 3</w:t>
            </w:r>
            <w:r w:rsidR="008E6807">
              <w:t>,</w:t>
            </w:r>
            <w:r>
              <w:t xml:space="preserve">500 mg/kg (rabbit, 24 h); </w:t>
            </w:r>
            <w:r w:rsidR="00475F05">
              <w:t>narcosis at</w:t>
            </w:r>
            <w:r>
              <w:t xml:space="preserve"> 815 mg/kg (rabbit)</w:t>
            </w:r>
          </w:p>
          <w:p w14:paraId="1E9235DA" w14:textId="77777777" w:rsidR="00037C12" w:rsidRDefault="00414E69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lastRenderedPageBreak/>
              <w:t>LD</w:t>
            </w:r>
            <w:r w:rsidRPr="00475F05">
              <w:rPr>
                <w:vertAlign w:val="subscript"/>
              </w:rPr>
              <w:t>50</w:t>
            </w:r>
            <w:r>
              <w:t>: 5</w:t>
            </w:r>
            <w:r w:rsidR="004E10AE">
              <w:t>,</w:t>
            </w:r>
            <w:r>
              <w:t>300 mg/kg</w:t>
            </w:r>
            <w:r w:rsidR="00475F05">
              <w:t xml:space="preserve"> (rabbits</w:t>
            </w:r>
            <w:r w:rsidR="00F506B3">
              <w:t>, dermal</w:t>
            </w:r>
            <w:r w:rsidR="00475F05">
              <w:t>); d</w:t>
            </w:r>
            <w:r w:rsidR="00C0106E">
              <w:t>ermal penetration rate 8.8 µg/min/cm</w:t>
            </w:r>
            <w:r w:rsidR="00C0106E" w:rsidRPr="00475F05">
              <w:rPr>
                <w:vertAlign w:val="superscript"/>
              </w:rPr>
              <w:t>2</w:t>
            </w:r>
            <w:r w:rsidR="00C0106E">
              <w:t xml:space="preserve"> (beagles)</w:t>
            </w:r>
          </w:p>
          <w:p w14:paraId="7725E5D4" w14:textId="77777777" w:rsidR="00565DDD" w:rsidRDefault="00414E69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Dose-related decrease in activity and narcotic effects reported in mice at 6</w:t>
            </w:r>
            <w:r w:rsidR="004E10AE">
              <w:t>,</w:t>
            </w:r>
            <w:r>
              <w:t>600 ppm (2 h) or 470</w:t>
            </w:r>
            <w:r w:rsidR="004E10AE">
              <w:t>–</w:t>
            </w:r>
            <w:r>
              <w:t>965 ppm (4 h)</w:t>
            </w:r>
          </w:p>
          <w:p w14:paraId="6A28A5E3" w14:textId="15173920" w:rsidR="00414E69" w:rsidRDefault="00414E69" w:rsidP="003A676C">
            <w:pPr>
              <w:pStyle w:val="Tabletextprimarysource"/>
              <w:numPr>
                <w:ilvl w:val="0"/>
                <w:numId w:val="13"/>
              </w:numPr>
              <w:spacing w:before="0" w:after="80"/>
            </w:pPr>
            <w:r>
              <w:t>respiratory depression 50% (RD</w:t>
            </w:r>
            <w:r w:rsidRPr="00414E69">
              <w:rPr>
                <w:vertAlign w:val="subscript"/>
              </w:rPr>
              <w:t>50</w:t>
            </w:r>
            <w:r>
              <w:t>): 1</w:t>
            </w:r>
            <w:r w:rsidR="00F506B3">
              <w:t>,</w:t>
            </w:r>
            <w:r>
              <w:t>268 ppm (mice), cited study supports the use of an RD</w:t>
            </w:r>
            <w:r>
              <w:rPr>
                <w:vertAlign w:val="subscript"/>
              </w:rPr>
              <w:t>50</w:t>
            </w:r>
            <w:r>
              <w:t xml:space="preserve"> to establish a TLV within the range of 0.01</w:t>
            </w:r>
            <w:r w:rsidR="005E4F1B">
              <w:t>–</w:t>
            </w:r>
            <w:r>
              <w:t>0.1 x RD</w:t>
            </w:r>
            <w:r>
              <w:rPr>
                <w:vertAlign w:val="subscript"/>
              </w:rPr>
              <w:t>50</w:t>
            </w:r>
            <w:r>
              <w:rPr>
                <w:vertAlign w:val="subscript"/>
              </w:rPr>
              <w:softHyphen/>
            </w:r>
          </w:p>
          <w:p w14:paraId="3562B1D2" w14:textId="77777777" w:rsidR="00430433" w:rsidRPr="00F15D24" w:rsidRDefault="00B50D42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  <w:rPr>
                <w:lang w:val="it-IT"/>
              </w:rPr>
            </w:pPr>
            <w:r w:rsidRPr="00F15D24">
              <w:rPr>
                <w:lang w:val="it-IT"/>
              </w:rPr>
              <w:t xml:space="preserve">Non-mutagenic </w:t>
            </w:r>
            <w:r w:rsidRPr="00F15D24">
              <w:rPr>
                <w:i/>
                <w:lang w:val="it-IT"/>
              </w:rPr>
              <w:t>in vitro</w:t>
            </w:r>
            <w:r w:rsidRPr="00F15D24">
              <w:rPr>
                <w:lang w:val="it-IT"/>
              </w:rPr>
              <w:t xml:space="preserve"> or </w:t>
            </w:r>
            <w:r w:rsidRPr="00F15D24">
              <w:rPr>
                <w:i/>
                <w:lang w:val="it-IT"/>
              </w:rPr>
              <w:t>in vivo</w:t>
            </w:r>
            <w:r w:rsidRPr="00F15D24">
              <w:rPr>
                <w:lang w:val="it-IT"/>
              </w:rPr>
              <w:t>.</w:t>
            </w:r>
          </w:p>
          <w:p w14:paraId="264CA859" w14:textId="77777777" w:rsidR="004E10AE" w:rsidRPr="00F15D24" w:rsidRDefault="004E10AE" w:rsidP="00553244">
            <w:pPr>
              <w:pStyle w:val="Tabletextprimarysource"/>
              <w:ind w:left="714"/>
              <w:contextualSpacing/>
              <w:rPr>
                <w:lang w:val="it-IT"/>
              </w:rPr>
            </w:pPr>
          </w:p>
        </w:tc>
      </w:tr>
      <w:tr w:rsidR="00D70ED2" w:rsidRPr="00DA352E" w14:paraId="3BDBA82F" w14:textId="77777777" w:rsidTr="0055324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ECBB56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064D3C44D7D3422EACFE869790C49D27"/>
                </w:placeholder>
                <w:text/>
              </w:sdtPr>
              <w:sdtEndPr/>
              <w:sdtContent>
                <w:r w:rsidR="00667CE9">
                  <w:t>1958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099AA673D2704B659F3A015E1CD1F7F2"/>
                </w:placeholder>
              </w:sdtPr>
              <w:sdtEndPr/>
              <w:sdtContent>
                <w:r w:rsidR="003A3032">
                  <w:t>MAK: 100 ppm (300 mg/m</w:t>
                </w:r>
                <w:r w:rsidR="003A3032">
                  <w:rPr>
                    <w:vertAlign w:val="superscript"/>
                  </w:rPr>
                  <w:t>3</w:t>
                </w:r>
                <w:r w:rsidR="003A3032">
                  <w:t>)</w:t>
                </w:r>
              </w:sdtContent>
            </w:sdt>
          </w:p>
        </w:tc>
      </w:tr>
      <w:tr w:rsidR="00D70ED2" w:rsidRPr="00DA352E" w14:paraId="1506ACD0" w14:textId="77777777" w:rsidTr="00553244">
        <w:trPr>
          <w:gridAfter w:val="1"/>
          <w:wAfter w:w="8" w:type="pct"/>
        </w:trPr>
        <w:tc>
          <w:tcPr>
            <w:tcW w:w="4992" w:type="pct"/>
          </w:tcPr>
          <w:p w14:paraId="74CFFA06" w14:textId="77777777" w:rsidR="00B50D42" w:rsidRDefault="00B50D42" w:rsidP="00D70ED2">
            <w:pPr>
              <w:pStyle w:val="Tabletextprimarysource"/>
            </w:pPr>
            <w:r>
              <w:t>Summary of additional data:</w:t>
            </w:r>
          </w:p>
          <w:p w14:paraId="0E5B539A" w14:textId="77777777" w:rsidR="00565DDD" w:rsidRDefault="00285DF6" w:rsidP="00AF2E49">
            <w:pPr>
              <w:pStyle w:val="Tabletextprimarysource"/>
            </w:pPr>
            <w:r>
              <w:t xml:space="preserve">MAK considered protective of critical effect of eye irritation. </w:t>
            </w:r>
          </w:p>
          <w:p w14:paraId="24C52944" w14:textId="6C9751E9" w:rsidR="00D66138" w:rsidRDefault="00285DF6" w:rsidP="00AF2E49">
            <w:pPr>
              <w:pStyle w:val="Tabletextprimarysource"/>
            </w:pPr>
            <w:r>
              <w:t xml:space="preserve">Continuous exposure at the MAK results in 25 mg/kg </w:t>
            </w:r>
            <w:r w:rsidR="00565DDD">
              <w:t>for</w:t>
            </w:r>
            <w:r>
              <w:t xml:space="preserve"> 70</w:t>
            </w:r>
            <w:r w:rsidR="00565DDD">
              <w:t xml:space="preserve"> </w:t>
            </w:r>
            <w:r>
              <w:t>kg adult during an 8</w:t>
            </w:r>
            <w:r w:rsidR="00565DDD">
              <w:t xml:space="preserve"> </w:t>
            </w:r>
            <w:r>
              <w:t>h shift, which is 10</w:t>
            </w:r>
            <w:r w:rsidR="00422B22">
              <w:t> </w:t>
            </w:r>
            <w:r>
              <w:t xml:space="preserve">times lower than the NOAEL of 250 mg/kg reported for central nervous depression in rats. </w:t>
            </w:r>
          </w:p>
          <w:p w14:paraId="1658EC59" w14:textId="0225C3C2" w:rsidR="00D66138" w:rsidRDefault="00422B22" w:rsidP="00AF2E49">
            <w:pPr>
              <w:pStyle w:val="Tabletextprimarysource"/>
            </w:pPr>
            <w:r>
              <w:t xml:space="preserve">Appreciable </w:t>
            </w:r>
            <w:r w:rsidR="00285DF6">
              <w:t xml:space="preserve">skin absorption is unlikely </w:t>
            </w:r>
            <w:r>
              <w:t xml:space="preserve">at exposures </w:t>
            </w:r>
            <w:r>
              <w:rPr>
                <w:rFonts w:cs="Arial"/>
              </w:rPr>
              <w:t>≤</w:t>
            </w:r>
            <w:r>
              <w:t>100 ppm;</w:t>
            </w:r>
            <w:r w:rsidR="00285DF6">
              <w:t xml:space="preserve"> no skin notation is warranted.</w:t>
            </w:r>
            <w:r w:rsidR="00AF2E49">
              <w:t xml:space="preserve"> </w:t>
            </w:r>
          </w:p>
          <w:p w14:paraId="69B7A80C" w14:textId="25966978" w:rsidR="00285DF6" w:rsidRDefault="00AF2E49" w:rsidP="00AF2E49">
            <w:pPr>
              <w:pStyle w:val="Tabletextprimarysource"/>
            </w:pPr>
            <w:r>
              <w:t>BAT</w:t>
            </w:r>
            <w:r w:rsidR="004A05E5">
              <w:t>:</w:t>
            </w:r>
            <w:r>
              <w:t xml:space="preserve"> 10 mg/g creatinine (urine: end of shift)</w:t>
            </w:r>
            <w:r w:rsidR="004A05E5">
              <w:t xml:space="preserve">, </w:t>
            </w:r>
            <w:r>
              <w:t>2 mg/g creatinine (beginning of next shift)</w:t>
            </w:r>
            <w:r w:rsidR="004A05E5">
              <w:t>.</w:t>
            </w:r>
          </w:p>
          <w:p w14:paraId="45B6B58B" w14:textId="77777777" w:rsidR="00B50D42" w:rsidRDefault="00B50D42" w:rsidP="003A676C">
            <w:pPr>
              <w:pStyle w:val="Tabletextprimarysource"/>
              <w:spacing w:before="0" w:after="80"/>
            </w:pPr>
            <w:r>
              <w:t>Human data:</w:t>
            </w:r>
          </w:p>
          <w:p w14:paraId="0D5F5F87" w14:textId="1B815644" w:rsidR="00B50D42" w:rsidRDefault="00B50D42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 xml:space="preserve">Volunteer chamber study </w:t>
            </w:r>
            <w:r w:rsidR="00D66138">
              <w:t>(</w:t>
            </w:r>
            <w:r w:rsidR="000813E8">
              <w:t>also</w:t>
            </w:r>
            <w:r>
              <w:t xml:space="preserve"> cited in ACGIH</w:t>
            </w:r>
            <w:r w:rsidR="00D66138">
              <w:t>,</w:t>
            </w:r>
            <w:r>
              <w:t xml:space="preserve"> 2002) considered contradictory to </w:t>
            </w:r>
            <w:r w:rsidR="00C72F7D">
              <w:t>10</w:t>
            </w:r>
            <w:r w:rsidR="00D66138">
              <w:t xml:space="preserve"> </w:t>
            </w:r>
            <w:r w:rsidR="00C72F7D">
              <w:t>yr</w:t>
            </w:r>
            <w:r>
              <w:t xml:space="preserve"> observational workplace study</w:t>
            </w:r>
          </w:p>
          <w:p w14:paraId="52A295BA" w14:textId="77777777" w:rsidR="008E6807" w:rsidRDefault="004A05E5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Case study of 6 factories reported</w:t>
            </w:r>
            <w:r w:rsidR="008E6807">
              <w:t>:</w:t>
            </w:r>
            <w:r>
              <w:t xml:space="preserve"> </w:t>
            </w:r>
          </w:p>
          <w:p w14:paraId="7FD01266" w14:textId="1E552E83" w:rsidR="008E6807" w:rsidRDefault="004A05E5" w:rsidP="003A676C">
            <w:pPr>
              <w:pStyle w:val="Tabletextprimarysource"/>
              <w:numPr>
                <w:ilvl w:val="0"/>
                <w:numId w:val="16"/>
              </w:numPr>
              <w:spacing w:before="0" w:after="80"/>
            </w:pPr>
            <w:r>
              <w:t>no symptoms from critical effects at 5</w:t>
            </w:r>
            <w:r w:rsidR="000A71D5">
              <w:t>–</w:t>
            </w:r>
            <w:r>
              <w:t>14 ppm in one factory</w:t>
            </w:r>
          </w:p>
          <w:p w14:paraId="5221E99A" w14:textId="1818E6F2" w:rsidR="008E6807" w:rsidRDefault="008E6807" w:rsidP="003A676C">
            <w:pPr>
              <w:pStyle w:val="Tabletextprimarysource"/>
              <w:numPr>
                <w:ilvl w:val="0"/>
                <w:numId w:val="16"/>
              </w:numPr>
              <w:spacing w:before="0" w:after="80"/>
            </w:pPr>
            <w:r>
              <w:t>e</w:t>
            </w:r>
            <w:r w:rsidR="004A05E5">
              <w:t>xposures ranged between 20</w:t>
            </w:r>
            <w:r w:rsidR="000A71D5">
              <w:t>–</w:t>
            </w:r>
            <w:r w:rsidR="004A05E5">
              <w:t xml:space="preserve">115 ppm in other factories, </w:t>
            </w:r>
            <w:r w:rsidR="00D66138">
              <w:t>that</w:t>
            </w:r>
            <w:r w:rsidR="004A05E5">
              <w:t xml:space="preserve"> represented mixed exposures to </w:t>
            </w:r>
            <w:r w:rsidR="004A05E5" w:rsidRPr="004A05E5">
              <w:t>2-butanone, ethanol, naphtha or diacetone alcohol</w:t>
            </w:r>
            <w:r w:rsidR="004A05E5">
              <w:t xml:space="preserve"> </w:t>
            </w:r>
          </w:p>
          <w:p w14:paraId="39E83DE1" w14:textId="2719FE8E" w:rsidR="00D66138" w:rsidRDefault="004A05E5" w:rsidP="003A676C">
            <w:pPr>
              <w:pStyle w:val="Tabletextprimarysource"/>
              <w:numPr>
                <w:ilvl w:val="0"/>
                <w:numId w:val="16"/>
              </w:numPr>
              <w:spacing w:before="0" w:after="80"/>
            </w:pPr>
            <w:r>
              <w:t xml:space="preserve">exposures </w:t>
            </w:r>
            <w:r w:rsidR="000A71D5">
              <w:t>&gt;</w:t>
            </w:r>
            <w:r>
              <w:t>50 ppm cause eye irritation</w:t>
            </w:r>
          </w:p>
          <w:p w14:paraId="59F33DD6" w14:textId="1CAA49A9" w:rsidR="0071764B" w:rsidRDefault="004A05E5" w:rsidP="003A676C">
            <w:pPr>
              <w:pStyle w:val="Tabletextprimarysource"/>
              <w:numPr>
                <w:ilvl w:val="0"/>
                <w:numId w:val="16"/>
              </w:numPr>
              <w:spacing w:before="0" w:after="80"/>
            </w:pPr>
            <w:r>
              <w:t>systemic intoxication does not occur</w:t>
            </w:r>
            <w:r w:rsidR="000A71D5">
              <w:t xml:space="preserve"> &lt;</w:t>
            </w:r>
            <w:r>
              <w:t>100 ppm</w:t>
            </w:r>
          </w:p>
          <w:p w14:paraId="1EE08334" w14:textId="049CA3D8" w:rsidR="004A05E5" w:rsidRDefault="004A05E5" w:rsidP="003A676C">
            <w:pPr>
              <w:pStyle w:val="Tabletextprimarysource"/>
              <w:numPr>
                <w:ilvl w:val="0"/>
                <w:numId w:val="16"/>
              </w:numPr>
              <w:spacing w:before="0" w:after="80"/>
            </w:pPr>
            <w:r>
              <w:t>uncertainty in data acquisition and interpretation for this study as severe limitation</w:t>
            </w:r>
          </w:p>
          <w:p w14:paraId="7D94B611" w14:textId="77777777" w:rsidR="00D66138" w:rsidRDefault="00D84BEF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Maximum levels in blood were 1.3 mg/L after exercise and exposure to 200 ppm through mouthpiece</w:t>
            </w:r>
          </w:p>
          <w:p w14:paraId="26162E78" w14:textId="225913EA" w:rsidR="004A05E5" w:rsidRDefault="00D84BEF" w:rsidP="003A676C">
            <w:pPr>
              <w:pStyle w:val="Tabletextprimarysource"/>
              <w:numPr>
                <w:ilvl w:val="0"/>
                <w:numId w:val="16"/>
              </w:numPr>
              <w:spacing w:before="0" w:after="80"/>
            </w:pPr>
            <w:r>
              <w:t xml:space="preserve">levels decreased below detection limit </w:t>
            </w:r>
            <w:r w:rsidR="005008AB">
              <w:t xml:space="preserve">by </w:t>
            </w:r>
            <w:r>
              <w:t xml:space="preserve">30 min </w:t>
            </w:r>
            <w:r w:rsidR="005008AB">
              <w:t xml:space="preserve">after </w:t>
            </w:r>
            <w:r>
              <w:t xml:space="preserve">exposure </w:t>
            </w:r>
          </w:p>
          <w:p w14:paraId="3C017D7F" w14:textId="77777777" w:rsidR="0042540E" w:rsidRDefault="0042540E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rPr>
                <w:i/>
              </w:rPr>
              <w:t>In vitro</w:t>
            </w:r>
            <w:r>
              <w:t xml:space="preserve"> skin penetration rate: 0.048 mg/cm</w:t>
            </w:r>
            <w:r>
              <w:rPr>
                <w:vertAlign w:val="superscript"/>
              </w:rPr>
              <w:t>2</w:t>
            </w:r>
            <w:r>
              <w:t>/h (epidermis) and 0.82 mg/cm</w:t>
            </w:r>
            <w:r>
              <w:rPr>
                <w:vertAlign w:val="superscript"/>
              </w:rPr>
              <w:t>2</w:t>
            </w:r>
            <w:r>
              <w:t>/h (dermis)</w:t>
            </w:r>
            <w:r w:rsidR="0010489B">
              <w:t>.</w:t>
            </w:r>
          </w:p>
          <w:p w14:paraId="20384B0E" w14:textId="77777777" w:rsidR="000A71D5" w:rsidRDefault="000A71D5" w:rsidP="003A676C">
            <w:pPr>
              <w:pStyle w:val="Tabletextprimarysource"/>
              <w:spacing w:before="0" w:after="80"/>
              <w:ind w:left="714"/>
            </w:pPr>
          </w:p>
          <w:p w14:paraId="2AA40A5D" w14:textId="77777777" w:rsidR="00285DF6" w:rsidRDefault="00285DF6" w:rsidP="003A676C">
            <w:pPr>
              <w:pStyle w:val="Tabletextprimarysource"/>
              <w:spacing w:before="0" w:after="80"/>
            </w:pPr>
            <w:r>
              <w:t>Animal data:</w:t>
            </w:r>
          </w:p>
          <w:p w14:paraId="722E670D" w14:textId="77777777" w:rsidR="00D84BEF" w:rsidRPr="00D84BEF" w:rsidRDefault="00D84BEF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 w:rsidRPr="00D84BEF">
              <w:t>Mainly eliminated by lungs; 80% of inhaled substance exhaled as CO</w:t>
            </w:r>
            <w:r w:rsidRPr="00D84BEF">
              <w:rPr>
                <w:vertAlign w:val="subscript"/>
              </w:rPr>
              <w:t>2</w:t>
            </w:r>
            <w:r w:rsidRPr="00D84BEF">
              <w:t xml:space="preserve"> within 24 h (rats)</w:t>
            </w:r>
          </w:p>
          <w:p w14:paraId="793452AF" w14:textId="0E23BE2A" w:rsidR="000813E8" w:rsidRDefault="000813E8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2</w:t>
            </w:r>
            <w:r w:rsidR="0010489B">
              <w:t>,</w:t>
            </w:r>
            <w:r>
              <w:t>700 mg/kg (mice)</w:t>
            </w:r>
            <w:r w:rsidR="00D66138">
              <w:t>;</w:t>
            </w:r>
            <w:r>
              <w:t xml:space="preserve"> 3</w:t>
            </w:r>
            <w:r w:rsidR="00F506B3">
              <w:t>,</w:t>
            </w:r>
            <w:r>
              <w:t>400</w:t>
            </w:r>
            <w:r w:rsidR="0010489B">
              <w:t>–</w:t>
            </w:r>
            <w:r>
              <w:t>5</w:t>
            </w:r>
            <w:r w:rsidR="00F506B3">
              <w:t>,</w:t>
            </w:r>
            <w:r>
              <w:t xml:space="preserve">300 mg/kg </w:t>
            </w:r>
            <w:r w:rsidR="007C33E0">
              <w:t>(rabbits)</w:t>
            </w:r>
          </w:p>
          <w:p w14:paraId="6754F23E" w14:textId="0C430051" w:rsidR="007C33E0" w:rsidRDefault="0071764B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EC</w:t>
            </w:r>
            <w:r>
              <w:rPr>
                <w:vertAlign w:val="subscript"/>
              </w:rPr>
              <w:t>50</w:t>
            </w:r>
            <w:r w:rsidR="007C33E0">
              <w:t>: 7</w:t>
            </w:r>
            <w:r w:rsidR="0010489B">
              <w:t>,</w:t>
            </w:r>
            <w:r w:rsidR="007C33E0">
              <w:t>559 ppm for pain response (rats, 4 h)</w:t>
            </w:r>
            <w:r w:rsidR="00D66138">
              <w:t>;</w:t>
            </w:r>
            <w:r w:rsidR="007C33E0">
              <w:t xml:space="preserve"> 617 ppm for behavioural changes in swimming test (mice, 4 h)</w:t>
            </w:r>
          </w:p>
          <w:p w14:paraId="40DE194D" w14:textId="77777777" w:rsidR="007C33E0" w:rsidRDefault="007C33E0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Mouse RD</w:t>
            </w:r>
            <w:r>
              <w:rPr>
                <w:vertAlign w:val="subscript"/>
              </w:rPr>
              <w:t>50</w:t>
            </w:r>
            <w:r>
              <w:t>: 1</w:t>
            </w:r>
            <w:r w:rsidR="00F506B3">
              <w:t>,</w:t>
            </w:r>
            <w:r>
              <w:t>268 ppm (5 min), 4</w:t>
            </w:r>
            <w:r w:rsidR="00F506B3">
              <w:t>,</w:t>
            </w:r>
            <w:r>
              <w:t>784 ppm (10 min), 11,696 ppm (30 min)</w:t>
            </w:r>
          </w:p>
          <w:p w14:paraId="237D8494" w14:textId="77777777" w:rsidR="00A820AF" w:rsidRDefault="00A820AF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Strongly irritating to rabbit eyes as undiluted substance</w:t>
            </w:r>
          </w:p>
          <w:p w14:paraId="2153E0EF" w14:textId="34CFC7C9" w:rsidR="000813E8" w:rsidRDefault="00D66138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C</w:t>
            </w:r>
            <w:r w:rsidR="000813E8">
              <w:t>ontradictory inhalational studies with rats and guinea pigs at 50</w:t>
            </w:r>
            <w:r w:rsidR="0010489B">
              <w:t>–</w:t>
            </w:r>
            <w:r w:rsidR="000813E8">
              <w:t>100 ppm</w:t>
            </w:r>
            <w:r>
              <w:t>;</w:t>
            </w:r>
            <w:r w:rsidR="000813E8">
              <w:t xml:space="preserve"> inconsistencies with </w:t>
            </w:r>
            <w:r w:rsidR="007C33E0">
              <w:t xml:space="preserve">oral exposure </w:t>
            </w:r>
            <w:r w:rsidR="000813E8">
              <w:t xml:space="preserve">data </w:t>
            </w:r>
          </w:p>
          <w:p w14:paraId="29E8E906" w14:textId="77777777" w:rsidR="0042540E" w:rsidRDefault="0042540E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rPr>
                <w:i/>
              </w:rPr>
              <w:t>In vivo</w:t>
            </w:r>
            <w:r>
              <w:t xml:space="preserve"> skin penetration rate: 0.53 mg/cm</w:t>
            </w:r>
            <w:r>
              <w:rPr>
                <w:vertAlign w:val="superscript"/>
              </w:rPr>
              <w:t>2</w:t>
            </w:r>
            <w:r>
              <w:t>/h (dogs)</w:t>
            </w:r>
          </w:p>
          <w:p w14:paraId="6740477F" w14:textId="77777777" w:rsidR="001E5F2A" w:rsidRDefault="00285DF6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t>Contradictory mutagenicity result in one bacterial study dismissed due to likely confounding reactivity of test medium at high substance concentrations (0.1 M)</w:t>
            </w:r>
          </w:p>
          <w:p w14:paraId="2803B572" w14:textId="77777777" w:rsidR="00572845" w:rsidRDefault="00A820AF" w:rsidP="003A676C">
            <w:pPr>
              <w:pStyle w:val="Tabletextprimarysource"/>
              <w:numPr>
                <w:ilvl w:val="0"/>
                <w:numId w:val="7"/>
              </w:numPr>
              <w:spacing w:before="0" w:after="80"/>
              <w:ind w:left="714" w:hanging="357"/>
            </w:pPr>
            <w:r>
              <w:rPr>
                <w:i/>
              </w:rPr>
              <w:t xml:space="preserve">In vivo </w:t>
            </w:r>
            <w:r>
              <w:t>study reporting increase in polyploid bone marrow cells dismissed due to insufficient evidence of dose-dependence (rats, n=8)</w:t>
            </w:r>
            <w:r w:rsidR="00E4445F">
              <w:t>.</w:t>
            </w:r>
          </w:p>
          <w:p w14:paraId="315495E1" w14:textId="77777777" w:rsidR="000A71D5" w:rsidRPr="007C6458" w:rsidRDefault="000A71D5" w:rsidP="00553244">
            <w:pPr>
              <w:pStyle w:val="Tabletextprimarysource"/>
              <w:ind w:left="714"/>
              <w:contextualSpacing/>
            </w:pPr>
          </w:p>
        </w:tc>
      </w:tr>
      <w:tr w:rsidR="00D70ED2" w:rsidRPr="00DA352E" w14:paraId="3F2C2D7F" w14:textId="77777777" w:rsidTr="0055324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205365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C5DA2FD273DE47E791CD3AE541001107"/>
                </w:placeholder>
                <w:text/>
              </w:sdtPr>
              <w:sdtEndPr/>
              <w:sdtContent>
                <w:r w:rsidR="00C76207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1007377B0968426D9DCE9E87297F289A"/>
                </w:placeholder>
              </w:sdtPr>
              <w:sdtEndPr/>
              <w:sdtContent>
                <w:proofErr w:type="spellStart"/>
                <w:r w:rsidR="00C76207">
                  <w:t>NA</w:t>
                </w:r>
                <w:proofErr w:type="spellEnd"/>
              </w:sdtContent>
            </w:sdt>
          </w:p>
        </w:tc>
      </w:tr>
      <w:tr w:rsidR="00D70ED2" w:rsidRPr="00DA352E" w14:paraId="7AC4DE1C" w14:textId="77777777" w:rsidTr="00553244">
        <w:trPr>
          <w:gridAfter w:val="1"/>
          <w:wAfter w:w="8" w:type="pct"/>
        </w:trPr>
        <w:tc>
          <w:tcPr>
            <w:tcW w:w="4992" w:type="pct"/>
          </w:tcPr>
          <w:p w14:paraId="1CDA38E1" w14:textId="0FA4DD04" w:rsidR="00D70ED2" w:rsidRPr="00DA352E" w:rsidRDefault="00C76207" w:rsidP="00D70ED2">
            <w:pPr>
              <w:pStyle w:val="Tabletextprimarysource"/>
            </w:pPr>
            <w:r>
              <w:t>No report</w:t>
            </w:r>
            <w:r w:rsidR="00D66138">
              <w:t>.</w:t>
            </w:r>
          </w:p>
        </w:tc>
      </w:tr>
      <w:tr w:rsidR="00D70ED2" w:rsidRPr="00DA352E" w14:paraId="5C38ECE1" w14:textId="77777777" w:rsidTr="0055324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D89D839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D086BCE2D69244198331177E324B187E"/>
                </w:placeholder>
                <w:text/>
              </w:sdtPr>
              <w:sdtEndPr/>
              <w:sdtContent>
                <w:r w:rsidR="00C76207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0AC4AA7890D74B16BB1D39CE02E2AF06"/>
                </w:placeholder>
              </w:sdtPr>
              <w:sdtEndPr/>
              <w:sdtContent>
                <w:proofErr w:type="spellStart"/>
                <w:r w:rsidR="00C76207">
                  <w:t>NA</w:t>
                </w:r>
                <w:proofErr w:type="spellEnd"/>
              </w:sdtContent>
            </w:sdt>
          </w:p>
        </w:tc>
      </w:tr>
      <w:tr w:rsidR="00D70ED2" w:rsidRPr="00DA352E" w14:paraId="69BA1ED4" w14:textId="77777777" w:rsidTr="00553244">
        <w:trPr>
          <w:gridAfter w:val="1"/>
          <w:wAfter w:w="8" w:type="pct"/>
        </w:trPr>
        <w:tc>
          <w:tcPr>
            <w:tcW w:w="4992" w:type="pct"/>
          </w:tcPr>
          <w:p w14:paraId="0EE45C6B" w14:textId="58645F4B" w:rsidR="00D70ED2" w:rsidRPr="00DA352E" w:rsidRDefault="00C76207" w:rsidP="00D70ED2">
            <w:pPr>
              <w:pStyle w:val="Tabletextprimarysource"/>
            </w:pPr>
            <w:r>
              <w:t>No report</w:t>
            </w:r>
            <w:r w:rsidR="00D66138">
              <w:t>.</w:t>
            </w:r>
          </w:p>
        </w:tc>
      </w:tr>
      <w:tr w:rsidR="00D70ED2" w:rsidRPr="00DA352E" w14:paraId="6B4067A3" w14:textId="77777777" w:rsidTr="0055324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43DA06E" w14:textId="77777777" w:rsidR="00D70ED2" w:rsidRPr="00DA352E" w:rsidRDefault="00D70ED2" w:rsidP="00D70ED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9CB4C4C64EE24AD8B9347C569A1AA320"/>
                </w:placeholder>
                <w:text/>
              </w:sdtPr>
              <w:sdtEndPr/>
              <w:sdtContent>
                <w:r w:rsidR="00C76207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034E5D42807D4C27AC4DD5876F665CD3"/>
                </w:placeholder>
              </w:sdtPr>
              <w:sdtEndPr/>
              <w:sdtContent>
                <w:proofErr w:type="spellStart"/>
                <w:r w:rsidR="00C76207">
                  <w:t>NA</w:t>
                </w:r>
                <w:proofErr w:type="spellEnd"/>
              </w:sdtContent>
            </w:sdt>
          </w:p>
        </w:tc>
      </w:tr>
      <w:tr w:rsidR="00D70ED2" w:rsidRPr="00DA352E" w14:paraId="1D603693" w14:textId="77777777" w:rsidTr="00553244">
        <w:trPr>
          <w:gridAfter w:val="1"/>
          <w:wAfter w:w="8" w:type="pct"/>
        </w:trPr>
        <w:tc>
          <w:tcPr>
            <w:tcW w:w="4992" w:type="pct"/>
          </w:tcPr>
          <w:p w14:paraId="20D4C397" w14:textId="0F86F0C7" w:rsidR="00D70ED2" w:rsidRPr="00DA352E" w:rsidRDefault="00C76207" w:rsidP="00D70ED2">
            <w:pPr>
              <w:pStyle w:val="Tabletextprimarysource"/>
            </w:pPr>
            <w:r>
              <w:t>No report</w:t>
            </w:r>
            <w:r w:rsidR="00D66138">
              <w:t>.</w:t>
            </w:r>
          </w:p>
        </w:tc>
      </w:tr>
    </w:tbl>
    <w:p w14:paraId="0F1A5A2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85236B" w:rsidRPr="00263255" w14:paraId="0C7726D4" w14:textId="77777777" w:rsidTr="00162EF1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01015F3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CAE7AA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CA5137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23E7BE2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08E517B" w14:textId="77777777" w:rsidTr="00162EF1">
        <w:trPr>
          <w:cantSplit/>
        </w:trPr>
        <w:tc>
          <w:tcPr>
            <w:tcW w:w="1494" w:type="dxa"/>
          </w:tcPr>
          <w:p w14:paraId="52195720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313044BC" w14:textId="77777777" w:rsidR="004966BF" w:rsidRPr="00CE617F" w:rsidRDefault="000B66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28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3C9BF88" w14:textId="77777777" w:rsidR="004966BF" w:rsidRPr="004C23F4" w:rsidRDefault="00FF599E" w:rsidP="00717D45">
            <w:pPr>
              <w:pStyle w:val="Tablefont"/>
            </w:pPr>
            <w:r>
              <w:t>2002</w:t>
            </w:r>
          </w:p>
        </w:tc>
        <w:tc>
          <w:tcPr>
            <w:tcW w:w="6449" w:type="dxa"/>
          </w:tcPr>
          <w:p w14:paraId="0DC59914" w14:textId="509E4FA5" w:rsidR="004966BF" w:rsidRPr="00572845" w:rsidRDefault="00572845" w:rsidP="00D66138">
            <w:pPr>
              <w:pStyle w:val="Tablefont"/>
              <w:numPr>
                <w:ilvl w:val="0"/>
                <w:numId w:val="7"/>
              </w:numPr>
              <w:ind w:left="434"/>
            </w:pPr>
            <w:r>
              <w:t>STEL: 50 ppm (154 mg/m</w:t>
            </w:r>
            <w:r>
              <w:rPr>
                <w:vertAlign w:val="superscript"/>
              </w:rPr>
              <w:t>3</w:t>
            </w:r>
            <w:r>
              <w:t>); Sk</w:t>
            </w:r>
            <w:r w:rsidR="003A676C">
              <w:t>.</w:t>
            </w:r>
          </w:p>
        </w:tc>
      </w:tr>
      <w:tr w:rsidR="004966BF" w:rsidRPr="004C23F4" w14:paraId="238A9360" w14:textId="77777777" w:rsidTr="00162EF1">
        <w:trPr>
          <w:cantSplit/>
        </w:trPr>
        <w:tc>
          <w:tcPr>
            <w:tcW w:w="1494" w:type="dxa"/>
          </w:tcPr>
          <w:p w14:paraId="1ED8C4E3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7D05ECD6" w14:textId="77777777" w:rsidR="004966BF" w:rsidRPr="00CE617F" w:rsidRDefault="000B66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62EF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75BCCAB" w14:textId="77777777" w:rsidR="004966BF" w:rsidRPr="004C23F4" w:rsidRDefault="0085236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9" w:type="dxa"/>
          </w:tcPr>
          <w:p w14:paraId="47C7B0EF" w14:textId="47ED3B08" w:rsidR="00697809" w:rsidRPr="00697809" w:rsidRDefault="0085236B" w:rsidP="0085236B">
            <w:pPr>
              <w:pStyle w:val="Tablefont"/>
              <w:numPr>
                <w:ilvl w:val="0"/>
                <w:numId w:val="7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Contradictory</w:t>
            </w:r>
            <w:r w:rsidR="00697809" w:rsidRPr="00697809">
              <w:rPr>
                <w:rStyle w:val="checkbox"/>
                <w:rFonts w:ascii="Arial" w:hAnsi="Arial" w:cs="Arial"/>
              </w:rPr>
              <w:t xml:space="preserve"> reports </w:t>
            </w:r>
            <w:r w:rsidR="00D66138">
              <w:rPr>
                <w:rStyle w:val="checkbox"/>
                <w:rFonts w:ascii="Arial" w:hAnsi="Arial" w:cs="Arial"/>
              </w:rPr>
              <w:t>for</w:t>
            </w:r>
            <w:r w:rsidR="00697809" w:rsidRPr="00697809">
              <w:rPr>
                <w:rStyle w:val="checkbox"/>
                <w:rFonts w:ascii="Arial" w:hAnsi="Arial" w:cs="Arial"/>
              </w:rPr>
              <w:t xml:space="preserve"> limit for respira</w:t>
            </w:r>
            <w:r>
              <w:rPr>
                <w:rStyle w:val="checkbox"/>
                <w:rFonts w:ascii="Arial" w:hAnsi="Arial" w:cs="Arial"/>
              </w:rPr>
              <w:t>tory tract irritation in humans, cited range: 25</w:t>
            </w:r>
            <w:r w:rsidR="0010489B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4</w:t>
            </w:r>
            <w:r w:rsidR="00F506B3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>163 ppm</w:t>
            </w:r>
          </w:p>
          <w:p w14:paraId="52DBA17B" w14:textId="77777777" w:rsidR="00697809" w:rsidRPr="00697809" w:rsidRDefault="0085236B" w:rsidP="0085236B">
            <w:pPr>
              <w:pStyle w:val="Tablefont"/>
              <w:numPr>
                <w:ilvl w:val="0"/>
                <w:numId w:val="7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An</w:t>
            </w:r>
            <w:r w:rsidR="00697809" w:rsidRPr="00697809">
              <w:rPr>
                <w:rStyle w:val="checkbox"/>
                <w:rFonts w:ascii="Arial" w:hAnsi="Arial" w:cs="Arial"/>
              </w:rPr>
              <w:t xml:space="preserve"> overview of studies</w:t>
            </w:r>
            <w:r>
              <w:rPr>
                <w:rStyle w:val="checkbox"/>
                <w:rFonts w:ascii="Arial" w:hAnsi="Arial" w:cs="Arial"/>
              </w:rPr>
              <w:t xml:space="preserve"> (1996) </w:t>
            </w:r>
            <w:r w:rsidR="00697809" w:rsidRPr="00697809">
              <w:rPr>
                <w:rStyle w:val="checkbox"/>
                <w:rFonts w:ascii="Arial" w:hAnsi="Arial" w:cs="Arial"/>
              </w:rPr>
              <w:t>concluded that 50 ppm poses some risk of mild</w:t>
            </w:r>
            <w:r>
              <w:rPr>
                <w:rStyle w:val="checkbox"/>
                <w:rFonts w:ascii="Arial" w:hAnsi="Arial" w:cs="Arial"/>
              </w:rPr>
              <w:t xml:space="preserve"> eye irritation</w:t>
            </w:r>
            <w:r w:rsidR="00697809" w:rsidRPr="00697809">
              <w:rPr>
                <w:rStyle w:val="checkbox"/>
                <w:rFonts w:ascii="Arial" w:hAnsi="Arial" w:cs="Arial"/>
              </w:rPr>
              <w:t xml:space="preserve"> in </w:t>
            </w:r>
            <w:r>
              <w:rPr>
                <w:rStyle w:val="checkbox"/>
                <w:rFonts w:ascii="Arial" w:hAnsi="Arial" w:cs="Arial"/>
              </w:rPr>
              <w:t xml:space="preserve">unacclimated </w:t>
            </w:r>
            <w:r w:rsidR="00697809" w:rsidRPr="00697809">
              <w:rPr>
                <w:rStyle w:val="checkbox"/>
                <w:rFonts w:ascii="Arial" w:hAnsi="Arial" w:cs="Arial"/>
              </w:rPr>
              <w:t>persons</w:t>
            </w:r>
          </w:p>
          <w:p w14:paraId="4ECED1A9" w14:textId="72FE6B42" w:rsidR="004966BF" w:rsidRDefault="0085236B" w:rsidP="0085236B">
            <w:pPr>
              <w:pStyle w:val="Tablefont"/>
              <w:numPr>
                <w:ilvl w:val="0"/>
                <w:numId w:val="7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Follow-up study (2008) determined</w:t>
            </w:r>
            <w:r w:rsidR="00697809" w:rsidRPr="00697809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limit values for spacecraft and </w:t>
            </w:r>
            <w:r w:rsidR="00697809" w:rsidRPr="00697809">
              <w:rPr>
                <w:rStyle w:val="checkbox"/>
                <w:rFonts w:ascii="Arial" w:hAnsi="Arial" w:cs="Arial"/>
              </w:rPr>
              <w:t xml:space="preserve">concluded that </w:t>
            </w:r>
            <w:r>
              <w:rPr>
                <w:rStyle w:val="checkbox"/>
                <w:rFonts w:ascii="Arial" w:hAnsi="Arial" w:cs="Arial"/>
              </w:rPr>
              <w:t xml:space="preserve">no central nervous effects expected under </w:t>
            </w:r>
            <w:r w:rsidR="00D66138">
              <w:rPr>
                <w:rStyle w:val="checkbox"/>
                <w:rFonts w:ascii="Arial" w:hAnsi="Arial" w:cs="Arial"/>
              </w:rPr>
              <w:t>80 </w:t>
            </w:r>
            <w:r>
              <w:rPr>
                <w:rStyle w:val="checkbox"/>
                <w:rFonts w:ascii="Arial" w:hAnsi="Arial" w:cs="Arial"/>
              </w:rPr>
              <w:t>ppm</w:t>
            </w:r>
          </w:p>
          <w:p w14:paraId="6F4E2266" w14:textId="4B0F1148" w:rsidR="00C76207" w:rsidRPr="004C23F4" w:rsidRDefault="00F506B3" w:rsidP="0085236B">
            <w:pPr>
              <w:pStyle w:val="Tablefont"/>
              <w:numPr>
                <w:ilvl w:val="0"/>
                <w:numId w:val="7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t>O</w:t>
            </w:r>
            <w:r w:rsidR="00C76207">
              <w:t>ral absorption rate: 100%; dermal absorption rate: 50%; inhalation absorption rate: 60%</w:t>
            </w:r>
            <w:r w:rsidR="00D66138">
              <w:t>.</w:t>
            </w:r>
          </w:p>
        </w:tc>
      </w:tr>
      <w:tr w:rsidR="004966BF" w:rsidRPr="004C23F4" w14:paraId="0D83BBDB" w14:textId="77777777" w:rsidTr="00162EF1">
        <w:trPr>
          <w:cantSplit/>
        </w:trPr>
        <w:tc>
          <w:tcPr>
            <w:tcW w:w="1494" w:type="dxa"/>
          </w:tcPr>
          <w:p w14:paraId="16448825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5E27A4BE" w14:textId="77777777" w:rsidR="004966BF" w:rsidRPr="00CE617F" w:rsidRDefault="000B66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A5AC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1E7FACB" w14:textId="77777777" w:rsidR="004966BF" w:rsidRPr="004C23F4" w:rsidRDefault="0069780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9" w:type="dxa"/>
          </w:tcPr>
          <w:p w14:paraId="2B8D1B8F" w14:textId="77777777" w:rsidR="002C4B43" w:rsidRDefault="00C76207" w:rsidP="0085236B">
            <w:pPr>
              <w:pStyle w:val="Tablefont"/>
              <w:numPr>
                <w:ilvl w:val="0"/>
                <w:numId w:val="7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Different strains of rats ma</w:t>
            </w:r>
            <w:r w:rsidR="002C4B43">
              <w:rPr>
                <w:rStyle w:val="checkbox"/>
                <w:rFonts w:ascii="Arial" w:hAnsi="Arial" w:cs="Arial"/>
              </w:rPr>
              <w:t>y account for high variability in LD</w:t>
            </w:r>
            <w:r w:rsidR="002C4B43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2C4B43">
              <w:rPr>
                <w:rStyle w:val="checkbox"/>
                <w:rFonts w:ascii="Arial" w:hAnsi="Arial" w:cs="Arial"/>
              </w:rPr>
              <w:t xml:space="preserve"> values</w:t>
            </w:r>
          </w:p>
          <w:p w14:paraId="5F67004F" w14:textId="7387C952" w:rsidR="006D6E3C" w:rsidRPr="002C4B43" w:rsidRDefault="005008AB" w:rsidP="0085236B">
            <w:pPr>
              <w:pStyle w:val="Tablefont"/>
              <w:numPr>
                <w:ilvl w:val="0"/>
                <w:numId w:val="7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t xml:space="preserve">Predictions </w:t>
            </w:r>
            <w:r w:rsidR="0085236B">
              <w:t>from the</w:t>
            </w:r>
            <w:r w:rsidR="006D6E3C">
              <w:t xml:space="preserve"> respiratory rate in mice</w:t>
            </w:r>
            <w:r>
              <w:t xml:space="preserve">: </w:t>
            </w:r>
            <w:r w:rsidR="0085236B">
              <w:t>13 ppm</w:t>
            </w:r>
            <w:r w:rsidR="006D6E3C">
              <w:t xml:space="preserve"> </w:t>
            </w:r>
            <w:r w:rsidR="0085236B">
              <w:t xml:space="preserve">would have </w:t>
            </w:r>
            <w:r w:rsidR="006D6E3C">
              <w:t xml:space="preserve">minimal or no effect on humans, </w:t>
            </w:r>
            <w:r w:rsidR="0085236B">
              <w:t>127 ppm</w:t>
            </w:r>
            <w:r w:rsidR="006D6E3C">
              <w:t xml:space="preserve"> would be uncomfortable, and </w:t>
            </w:r>
            <w:r w:rsidR="0085236B">
              <w:t>1</w:t>
            </w:r>
            <w:r w:rsidR="0010489B">
              <w:t>,</w:t>
            </w:r>
            <w:r w:rsidR="0085236B">
              <w:t>268 ppm would be intolerable</w:t>
            </w:r>
            <w:r w:rsidR="00D66138">
              <w:t>.</w:t>
            </w:r>
          </w:p>
        </w:tc>
      </w:tr>
      <w:tr w:rsidR="004966BF" w:rsidRPr="004C23F4" w14:paraId="520933A2" w14:textId="77777777" w:rsidTr="00162EF1">
        <w:trPr>
          <w:cantSplit/>
        </w:trPr>
        <w:tc>
          <w:tcPr>
            <w:tcW w:w="1494" w:type="dxa"/>
          </w:tcPr>
          <w:p w14:paraId="11CA7C48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200E80B8" w14:textId="77777777" w:rsidR="004966BF" w:rsidRDefault="000B66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9780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76CCCE9" w14:textId="77777777" w:rsidR="004966BF" w:rsidRPr="004C23F4" w:rsidRDefault="00FF599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9" w:type="dxa"/>
          </w:tcPr>
          <w:p w14:paraId="53FDFE14" w14:textId="0F988A40" w:rsidR="00A459C3" w:rsidRPr="004C23F4" w:rsidRDefault="00A459C3" w:rsidP="00D66138">
            <w:pPr>
              <w:pStyle w:val="Tablefont"/>
              <w:numPr>
                <w:ilvl w:val="0"/>
                <w:numId w:val="7"/>
              </w:numPr>
              <w:ind w:left="434"/>
              <w:rPr>
                <w:rStyle w:val="checkbox"/>
                <w:rFonts w:ascii="Arial" w:hAnsi="Arial" w:cs="Arial"/>
              </w:rPr>
            </w:pPr>
            <w:r w:rsidRPr="00A459C3">
              <w:rPr>
                <w:rStyle w:val="checkbox"/>
                <w:rFonts w:ascii="Arial" w:hAnsi="Arial" w:cs="Arial"/>
              </w:rPr>
              <w:t xml:space="preserve">IDLH is based </w:t>
            </w:r>
            <w:r w:rsidR="00697809">
              <w:rPr>
                <w:rStyle w:val="checkbox"/>
                <w:rFonts w:ascii="Arial" w:hAnsi="Arial" w:cs="Arial"/>
              </w:rPr>
              <w:t>on 10% o</w:t>
            </w:r>
            <w:r w:rsidRPr="00A459C3">
              <w:rPr>
                <w:rStyle w:val="checkbox"/>
                <w:rFonts w:ascii="Arial" w:hAnsi="Arial" w:cs="Arial"/>
              </w:rPr>
              <w:t>f th</w:t>
            </w:r>
            <w:r w:rsidR="00697809">
              <w:rPr>
                <w:rStyle w:val="checkbox"/>
                <w:rFonts w:ascii="Arial" w:hAnsi="Arial" w:cs="Arial"/>
              </w:rPr>
              <w:t>e lower explosive limit</w:t>
            </w:r>
            <w:r w:rsidR="00D6613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E773E1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F733170" w14:textId="77777777" w:rsidTr="00FF599E">
        <w:trPr>
          <w:trHeight w:val="454"/>
          <w:tblHeader/>
        </w:trPr>
        <w:tc>
          <w:tcPr>
            <w:tcW w:w="6603" w:type="dxa"/>
            <w:vAlign w:val="center"/>
          </w:tcPr>
          <w:p w14:paraId="7F96C6A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65113D8" w14:textId="77777777" w:rsidR="002E0D61" w:rsidRDefault="00FF599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4236136" w14:textId="77777777" w:rsidTr="00FF599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13C8C14" w14:textId="77777777" w:rsidR="008A36CF" w:rsidRPr="006901A2" w:rsidRDefault="00FF599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AD68E7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C5549F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9C1E35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F0470B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863DA7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9299BE2" w14:textId="77777777" w:rsidTr="00812887">
        <w:trPr>
          <w:cantSplit/>
        </w:trPr>
        <w:tc>
          <w:tcPr>
            <w:tcW w:w="3227" w:type="dxa"/>
          </w:tcPr>
          <w:p w14:paraId="6E3BA36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0F95B20" w14:textId="77777777" w:rsidR="00687890" w:rsidRPr="00DD2F9B" w:rsidRDefault="003A3032" w:rsidP="00DD2F9B">
            <w:pPr>
              <w:pStyle w:val="Tablefont"/>
            </w:pPr>
            <w:proofErr w:type="spellStart"/>
            <w:r>
              <w:t>Sk</w:t>
            </w:r>
            <w:proofErr w:type="spellEnd"/>
          </w:p>
        </w:tc>
      </w:tr>
      <w:tr w:rsidR="007925F0" w:rsidRPr="004C23F4" w14:paraId="6303A380" w14:textId="77777777" w:rsidTr="00812887">
        <w:trPr>
          <w:cantSplit/>
        </w:trPr>
        <w:tc>
          <w:tcPr>
            <w:tcW w:w="3227" w:type="dxa"/>
          </w:tcPr>
          <w:p w14:paraId="4C4E355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F6078B5" w14:textId="77777777" w:rsidR="007925F0" w:rsidRPr="00DD2F9B" w:rsidRDefault="00FF599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01187D0" w14:textId="77777777" w:rsidTr="00812887">
        <w:trPr>
          <w:cantSplit/>
        </w:trPr>
        <w:tc>
          <w:tcPr>
            <w:tcW w:w="3227" w:type="dxa"/>
          </w:tcPr>
          <w:p w14:paraId="1DA4472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249B0D4" w14:textId="77777777" w:rsidR="00AF483F" w:rsidRPr="00DD2F9B" w:rsidRDefault="00697809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A9BAAD0" w14:textId="77777777" w:rsidTr="00812887">
        <w:trPr>
          <w:cantSplit/>
        </w:trPr>
        <w:tc>
          <w:tcPr>
            <w:tcW w:w="3227" w:type="dxa"/>
          </w:tcPr>
          <w:p w14:paraId="5B94056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89F8419" w14:textId="77777777" w:rsidR="00687890" w:rsidRPr="00DD2F9B" w:rsidRDefault="00697809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BC73CFD" w14:textId="77777777" w:rsidTr="00812887">
        <w:trPr>
          <w:cantSplit/>
        </w:trPr>
        <w:tc>
          <w:tcPr>
            <w:tcW w:w="3227" w:type="dxa"/>
          </w:tcPr>
          <w:p w14:paraId="40F4F7C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0D378A0" w14:textId="77777777" w:rsidR="00E41A26" w:rsidRPr="00DD2F9B" w:rsidRDefault="0069780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17E04B" w14:textId="77777777" w:rsidTr="00812887">
        <w:trPr>
          <w:cantSplit/>
        </w:trPr>
        <w:tc>
          <w:tcPr>
            <w:tcW w:w="3227" w:type="dxa"/>
          </w:tcPr>
          <w:p w14:paraId="457B657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9F1535D" w14:textId="77777777" w:rsidR="002E0D61" w:rsidRPr="00DD2F9B" w:rsidRDefault="0085236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185A298" w14:textId="77777777" w:rsidTr="00812887">
        <w:trPr>
          <w:cantSplit/>
        </w:trPr>
        <w:tc>
          <w:tcPr>
            <w:tcW w:w="3227" w:type="dxa"/>
          </w:tcPr>
          <w:p w14:paraId="710457FD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4EB06E55" w14:textId="77777777" w:rsidR="002E0D61" w:rsidRPr="00DD2F9B" w:rsidRDefault="0085236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26C3666" w14:textId="77777777" w:rsidTr="00812887">
        <w:trPr>
          <w:cantSplit/>
        </w:trPr>
        <w:tc>
          <w:tcPr>
            <w:tcW w:w="3227" w:type="dxa"/>
          </w:tcPr>
          <w:p w14:paraId="5EBB9AC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E2CA96A" w14:textId="77777777" w:rsidR="002E0D61" w:rsidRPr="00DD2F9B" w:rsidRDefault="0085236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3795330" w14:textId="77777777" w:rsidTr="00812887">
        <w:trPr>
          <w:cantSplit/>
        </w:trPr>
        <w:tc>
          <w:tcPr>
            <w:tcW w:w="3227" w:type="dxa"/>
          </w:tcPr>
          <w:p w14:paraId="3C6FE0A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B0AAC1B" w14:textId="77777777" w:rsidR="002E0D61" w:rsidRPr="00DD2F9B" w:rsidRDefault="0085236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31F5CB6" w14:textId="77777777" w:rsidTr="00812887">
        <w:trPr>
          <w:cantSplit/>
        </w:trPr>
        <w:tc>
          <w:tcPr>
            <w:tcW w:w="3227" w:type="dxa"/>
          </w:tcPr>
          <w:p w14:paraId="707927E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2FDF14F" w14:textId="77777777" w:rsidR="00386093" w:rsidRPr="00DD2F9B" w:rsidRDefault="0085236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8E3FD8A" w14:textId="77777777" w:rsidTr="00812887">
        <w:trPr>
          <w:cantSplit/>
        </w:trPr>
        <w:tc>
          <w:tcPr>
            <w:tcW w:w="3227" w:type="dxa"/>
          </w:tcPr>
          <w:p w14:paraId="3534731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82FB29D" w14:textId="77777777" w:rsidR="00386093" w:rsidRPr="00DD2F9B" w:rsidRDefault="0085236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D825C1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D12D63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30E6FC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6B0ADF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8BDE61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652"/>
              <w:gridCol w:w="1089"/>
              <w:gridCol w:w="1089"/>
              <w:gridCol w:w="2980"/>
            </w:tblGrid>
            <w:tr w:rsidR="00C76207" w:rsidRPr="00C76207" w14:paraId="47D01774" w14:textId="77777777" w:rsidTr="00270F86">
              <w:trPr>
                <w:trHeight w:val="231"/>
              </w:trPr>
              <w:tc>
                <w:tcPr>
                  <w:tcW w:w="2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E26AED" w14:textId="77777777" w:rsidR="00C76207" w:rsidRPr="00C76207" w:rsidRDefault="00C76207" w:rsidP="00C762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2CCCD4" w14:textId="77777777" w:rsidR="00C76207" w:rsidRPr="00C76207" w:rsidRDefault="00C76207" w:rsidP="00C762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ACCD6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511645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6207" w:rsidRPr="00C76207" w14:paraId="0031F413" w14:textId="77777777" w:rsidTr="00270F86">
              <w:trPr>
                <w:trHeight w:val="231"/>
              </w:trPr>
              <w:tc>
                <w:tcPr>
                  <w:tcW w:w="2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20946F" w14:textId="77777777" w:rsidR="00C76207" w:rsidRPr="00C76207" w:rsidRDefault="00C76207" w:rsidP="00C762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EB3141" w14:textId="77777777" w:rsidR="00C76207" w:rsidRPr="00C76207" w:rsidRDefault="00C76207" w:rsidP="00C762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CD56AA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829F9B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6207" w:rsidRPr="00C76207" w14:paraId="51644CF1" w14:textId="77777777" w:rsidTr="00270F86">
              <w:trPr>
                <w:trHeight w:val="231"/>
              </w:trPr>
              <w:tc>
                <w:tcPr>
                  <w:tcW w:w="2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6D2CA2" w14:textId="77777777" w:rsidR="00C76207" w:rsidRPr="00C76207" w:rsidRDefault="00C76207" w:rsidP="00C762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561161" w14:textId="77777777" w:rsidR="00C76207" w:rsidRPr="00C76207" w:rsidRDefault="00C76207" w:rsidP="00C762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E585DE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4D7A93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6207" w:rsidRPr="00C76207" w14:paraId="5FE89250" w14:textId="77777777" w:rsidTr="00270F86">
              <w:trPr>
                <w:trHeight w:val="231"/>
              </w:trPr>
              <w:tc>
                <w:tcPr>
                  <w:tcW w:w="2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E896D7" w14:textId="77777777" w:rsidR="00C76207" w:rsidRPr="00C76207" w:rsidRDefault="00C76207" w:rsidP="00C762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EF6F0C" w14:textId="77777777" w:rsidR="00C76207" w:rsidRPr="00C76207" w:rsidRDefault="00C76207" w:rsidP="00C762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84215C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00A5E2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6207" w:rsidRPr="00C76207" w14:paraId="0E42D444" w14:textId="77777777" w:rsidTr="00270F86">
              <w:trPr>
                <w:trHeight w:val="231"/>
              </w:trPr>
              <w:tc>
                <w:tcPr>
                  <w:tcW w:w="2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41DE47" w14:textId="77777777" w:rsidR="00C76207" w:rsidRPr="00C76207" w:rsidRDefault="00C76207" w:rsidP="00C762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F9341F" w14:textId="77777777" w:rsidR="00C76207" w:rsidRPr="00C76207" w:rsidRDefault="00C76207" w:rsidP="00C762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513326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2400E2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6207" w:rsidRPr="00C76207" w14:paraId="2E0205C1" w14:textId="77777777" w:rsidTr="00270F86">
              <w:trPr>
                <w:trHeight w:val="231"/>
              </w:trPr>
              <w:tc>
                <w:tcPr>
                  <w:tcW w:w="2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D5F957" w14:textId="77777777" w:rsidR="00C76207" w:rsidRPr="00C76207" w:rsidRDefault="00C76207" w:rsidP="00C762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CB40C5" w14:textId="77777777" w:rsidR="00C76207" w:rsidRPr="00C76207" w:rsidRDefault="00C76207" w:rsidP="00C762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8087F5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C72EE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76207" w:rsidRPr="00C76207" w14:paraId="6A840302" w14:textId="77777777" w:rsidTr="00270F86">
              <w:trPr>
                <w:trHeight w:val="231"/>
              </w:trPr>
              <w:tc>
                <w:tcPr>
                  <w:tcW w:w="2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A3892B" w14:textId="77777777" w:rsidR="00C76207" w:rsidRPr="00C76207" w:rsidRDefault="00C76207" w:rsidP="00C7620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D1F81D" w14:textId="77777777" w:rsidR="00C76207" w:rsidRPr="00C76207" w:rsidRDefault="00C76207" w:rsidP="00C7620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281A92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90290F" w14:textId="77777777" w:rsidR="00C76207" w:rsidRPr="00C76207" w:rsidRDefault="00C76207" w:rsidP="00C7620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7620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6574466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830BFD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2FE0473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13BAF5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9C32E9E" w14:textId="77777777" w:rsidR="00EB3D1B" w:rsidRDefault="00C76207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4A186DA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EB9BC9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32AE3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152C0C3" w14:textId="77777777" w:rsidR="001B79E5" w:rsidRDefault="00C74007" w:rsidP="001B79E5">
                <w:pPr>
                  <w:pStyle w:val="Tablefont"/>
                </w:pPr>
                <w:r>
                  <w:t>74.1</w:t>
                </w:r>
              </w:p>
            </w:tc>
          </w:sdtContent>
        </w:sdt>
      </w:tr>
      <w:tr w:rsidR="00A31D99" w:rsidRPr="004C23F4" w14:paraId="5E97A9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84350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8F3733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4C3452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4A6C2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249DB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47A6AB" w14:textId="77777777" w:rsidTr="00EA6243">
        <w:trPr>
          <w:cantSplit/>
        </w:trPr>
        <w:tc>
          <w:tcPr>
            <w:tcW w:w="4077" w:type="dxa"/>
            <w:vAlign w:val="center"/>
          </w:tcPr>
          <w:p w14:paraId="723FE01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85FD00" w14:textId="77777777" w:rsidR="00687890" w:rsidRPr="004C23F4" w:rsidRDefault="00C7400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CEB35A2" w14:textId="77777777" w:rsidTr="00EA6243">
        <w:trPr>
          <w:cantSplit/>
        </w:trPr>
        <w:tc>
          <w:tcPr>
            <w:tcW w:w="4077" w:type="dxa"/>
            <w:vAlign w:val="center"/>
          </w:tcPr>
          <w:p w14:paraId="79D1B46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D02BBCA" w14:textId="77777777" w:rsidR="00687890" w:rsidRPr="004C23F4" w:rsidRDefault="00C7400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33F21F22" w14:textId="77777777" w:rsidTr="00EA6243">
        <w:trPr>
          <w:cantSplit/>
        </w:trPr>
        <w:tc>
          <w:tcPr>
            <w:tcW w:w="4077" w:type="dxa"/>
            <w:vAlign w:val="center"/>
          </w:tcPr>
          <w:p w14:paraId="16756E6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21A3F10" w14:textId="360A1E2D" w:rsidR="00E06F40" w:rsidRPr="00A006A0" w:rsidRDefault="000B663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66138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AA1186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DCC3FB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1329C2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D9CA7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01DCED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FB4650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693D34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29606C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08E9187" w14:textId="77777777" w:rsidR="007F1005" w:rsidRDefault="006650FE" w:rsidP="00C76207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871B957" w14:textId="77777777" w:rsidR="00C74007" w:rsidRDefault="00C74007" w:rsidP="00C76207">
      <w:pPr>
        <w:pStyle w:val="Tabletextprimarysource"/>
        <w:spacing w:line="276" w:lineRule="auto"/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(2000) n-Butyl alcohol – MAK value documentation.</w:t>
      </w:r>
    </w:p>
    <w:p w14:paraId="7DE01B83" w14:textId="77777777" w:rsidR="00C74007" w:rsidRDefault="00C74007" w:rsidP="00C76207">
      <w:pPr>
        <w:pStyle w:val="Tabletextprimarysource"/>
        <w:spacing w:line="276" w:lineRule="auto"/>
      </w:pPr>
      <w:r>
        <w:lastRenderedPageBreak/>
        <w:t>European Chemicals Agency (ECHA) (2018) Butan-1-ol – REACH assessment.</w:t>
      </w:r>
    </w:p>
    <w:p w14:paraId="198C79C9" w14:textId="77777777" w:rsidR="00C76207" w:rsidRDefault="00C76207" w:rsidP="00C76207">
      <w:pPr>
        <w:pStyle w:val="Tabletextprimarysource"/>
        <w:spacing w:line="276" w:lineRule="auto"/>
      </w:pPr>
      <w:r w:rsidRPr="00C76207"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D28DDF9" w14:textId="77777777" w:rsidR="00F506B3" w:rsidRDefault="00C76207" w:rsidP="00C76207">
      <w:pPr>
        <w:pStyle w:val="Tabletextprimarysource"/>
        <w:spacing w:line="276" w:lineRule="auto"/>
      </w:pPr>
      <w:r w:rsidRPr="00D86E03">
        <w:t>Organisation for Economic Cooperation and Development (OECD)</w:t>
      </w:r>
      <w:r>
        <w:t xml:space="preserve"> (2001) SIDS initial assessment profile – n-butyl alcohol</w:t>
      </w:r>
      <w:r w:rsidRPr="00D86E03">
        <w:t>.</w:t>
      </w:r>
    </w:p>
    <w:p w14:paraId="63D87E02" w14:textId="77777777" w:rsidR="00F506B3" w:rsidRDefault="00F506B3" w:rsidP="00F506B3">
      <w:r>
        <w:t>US National Institute for Occupational Safety and Health (NIOSH) (1994) Immediately dangerous to life or health concentrations – n-Butyl alcohol.</w:t>
      </w:r>
    </w:p>
    <w:p w14:paraId="036709CB" w14:textId="77777777" w:rsidR="00F506B3" w:rsidRPr="00351FE0" w:rsidRDefault="00F506B3" w:rsidP="00C76207">
      <w:pPr>
        <w:pStyle w:val="Tabletextprimarysource"/>
        <w:spacing w:line="276" w:lineRule="auto"/>
      </w:pPr>
    </w:p>
    <w:sectPr w:rsidR="00F506B3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920F2" w14:textId="77777777" w:rsidR="00971740" w:rsidRDefault="00971740" w:rsidP="00F43AD5">
      <w:pPr>
        <w:spacing w:after="0" w:line="240" w:lineRule="auto"/>
      </w:pPr>
      <w:r>
        <w:separator/>
      </w:r>
    </w:p>
  </w:endnote>
  <w:endnote w:type="continuationSeparator" w:id="0">
    <w:p w14:paraId="689F66FD" w14:textId="77777777" w:rsidR="00971740" w:rsidRDefault="0097174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6FF2B2" w14:textId="77777777" w:rsidR="00FD5515" w:rsidRDefault="00E4445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n-Butyl alcohol </w:t>
        </w:r>
        <w:r w:rsidR="00FD5515">
          <w:rPr>
            <w:b/>
            <w:sz w:val="18"/>
            <w:szCs w:val="18"/>
          </w:rPr>
          <w:t>(</w:t>
        </w:r>
        <w:r w:rsidRPr="00E4445F">
          <w:rPr>
            <w:b/>
            <w:sz w:val="18"/>
            <w:szCs w:val="18"/>
          </w:rPr>
          <w:t>71-36-3</w:t>
        </w:r>
        <w:r w:rsidR="00FD5515">
          <w:rPr>
            <w:b/>
            <w:sz w:val="18"/>
            <w:szCs w:val="18"/>
          </w:rPr>
          <w:t>)</w:t>
        </w:r>
        <w:r w:rsidR="00FD5515" w:rsidRPr="00F43AD5">
          <w:rPr>
            <w:sz w:val="18"/>
            <w:szCs w:val="18"/>
          </w:rPr>
          <w:br/>
          <w:t xml:space="preserve">Safe Work Australia </w:t>
        </w:r>
        <w:r w:rsidR="00FD5515" w:rsidRPr="00F43AD5">
          <w:rPr>
            <w:rFonts w:ascii="Courier New" w:hAnsi="Courier New" w:cs="Courier New"/>
            <w:sz w:val="18"/>
            <w:szCs w:val="18"/>
          </w:rPr>
          <w:t>—</w:t>
        </w:r>
        <w:r w:rsidR="00FD5515" w:rsidRPr="00F43AD5">
          <w:rPr>
            <w:sz w:val="18"/>
            <w:szCs w:val="18"/>
          </w:rPr>
          <w:t xml:space="preserve"> 201</w:t>
        </w:r>
        <w:r w:rsidR="00FD5515">
          <w:rPr>
            <w:sz w:val="18"/>
            <w:szCs w:val="18"/>
          </w:rPr>
          <w:t>9</w:t>
        </w:r>
      </w:p>
      <w:p w14:paraId="1FBE7BAB" w14:textId="5F2A3A26" w:rsidR="00FD5515" w:rsidRPr="00F43AD5" w:rsidRDefault="00FD551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A5479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9F991" w14:textId="77777777" w:rsidR="00971740" w:rsidRDefault="00971740" w:rsidP="00F43AD5">
      <w:pPr>
        <w:spacing w:after="0" w:line="240" w:lineRule="auto"/>
      </w:pPr>
      <w:r>
        <w:separator/>
      </w:r>
    </w:p>
  </w:footnote>
  <w:footnote w:type="continuationSeparator" w:id="0">
    <w:p w14:paraId="2F42B82D" w14:textId="77777777" w:rsidR="00971740" w:rsidRDefault="0097174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1C4E6" w14:textId="234D192F" w:rsidR="00FD5515" w:rsidRDefault="00FD5515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C4CB3" w14:textId="4A1B5E0E" w:rsidR="009042A6" w:rsidRPr="009042A6" w:rsidRDefault="009042A6" w:rsidP="009042A6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7BCF62" wp14:editId="68CFACA1">
          <wp:extent cx="2938145" cy="59436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4C0DD" w14:textId="51B9EF01" w:rsidR="00FD5515" w:rsidRDefault="00FD5515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B728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105BAD"/>
    <w:multiLevelType w:val="hybridMultilevel"/>
    <w:tmpl w:val="A0681F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41DC6"/>
    <w:multiLevelType w:val="hybridMultilevel"/>
    <w:tmpl w:val="8702BBBA"/>
    <w:lvl w:ilvl="0" w:tplc="45DEDC8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6991"/>
    <w:multiLevelType w:val="hybridMultilevel"/>
    <w:tmpl w:val="5F6E5280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77B706F"/>
    <w:multiLevelType w:val="hybridMultilevel"/>
    <w:tmpl w:val="01D80088"/>
    <w:lvl w:ilvl="0" w:tplc="832A4F0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E07A9"/>
    <w:multiLevelType w:val="hybridMultilevel"/>
    <w:tmpl w:val="270415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80AE4"/>
    <w:multiLevelType w:val="hybridMultilevel"/>
    <w:tmpl w:val="05783F0A"/>
    <w:lvl w:ilvl="0" w:tplc="0C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3ECE263E"/>
    <w:multiLevelType w:val="hybridMultilevel"/>
    <w:tmpl w:val="C7688BD4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48D132FB"/>
    <w:multiLevelType w:val="hybridMultilevel"/>
    <w:tmpl w:val="0818C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D3D53"/>
    <w:multiLevelType w:val="hybridMultilevel"/>
    <w:tmpl w:val="BA2A8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10A54"/>
    <w:multiLevelType w:val="hybridMultilevel"/>
    <w:tmpl w:val="F62A3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B6DB6"/>
    <w:multiLevelType w:val="hybridMultilevel"/>
    <w:tmpl w:val="560A5610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55BF561C"/>
    <w:multiLevelType w:val="hybridMultilevel"/>
    <w:tmpl w:val="0608A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3535C"/>
    <w:multiLevelType w:val="hybridMultilevel"/>
    <w:tmpl w:val="493E5F0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66964FE8"/>
    <w:multiLevelType w:val="hybridMultilevel"/>
    <w:tmpl w:val="60341C0A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79D0018B"/>
    <w:multiLevelType w:val="hybridMultilevel"/>
    <w:tmpl w:val="9A30D200"/>
    <w:lvl w:ilvl="0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341395890">
    <w:abstractNumId w:val="12"/>
  </w:num>
  <w:num w:numId="2" w16cid:durableId="1354498205">
    <w:abstractNumId w:val="8"/>
  </w:num>
  <w:num w:numId="3" w16cid:durableId="463935002">
    <w:abstractNumId w:val="1"/>
  </w:num>
  <w:num w:numId="4" w16cid:durableId="1358312490">
    <w:abstractNumId w:val="5"/>
  </w:num>
  <w:num w:numId="5" w16cid:durableId="1583490488">
    <w:abstractNumId w:val="9"/>
  </w:num>
  <w:num w:numId="6" w16cid:durableId="511917039">
    <w:abstractNumId w:val="10"/>
  </w:num>
  <w:num w:numId="7" w16cid:durableId="1648898878">
    <w:abstractNumId w:val="2"/>
  </w:num>
  <w:num w:numId="8" w16cid:durableId="553391049">
    <w:abstractNumId w:val="4"/>
  </w:num>
  <w:num w:numId="9" w16cid:durableId="49575088">
    <w:abstractNumId w:val="0"/>
  </w:num>
  <w:num w:numId="10" w16cid:durableId="277378794">
    <w:abstractNumId w:val="15"/>
  </w:num>
  <w:num w:numId="11" w16cid:durableId="72557874">
    <w:abstractNumId w:val="13"/>
  </w:num>
  <w:num w:numId="12" w16cid:durableId="231433296">
    <w:abstractNumId w:val="6"/>
  </w:num>
  <w:num w:numId="13" w16cid:durableId="1190994674">
    <w:abstractNumId w:val="3"/>
  </w:num>
  <w:num w:numId="14" w16cid:durableId="2008169657">
    <w:abstractNumId w:val="14"/>
  </w:num>
  <w:num w:numId="15" w16cid:durableId="422989772">
    <w:abstractNumId w:val="7"/>
  </w:num>
  <w:num w:numId="16" w16cid:durableId="7429930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0EC"/>
    <w:rsid w:val="00013A22"/>
    <w:rsid w:val="00014C3F"/>
    <w:rsid w:val="00017C82"/>
    <w:rsid w:val="00032B88"/>
    <w:rsid w:val="00037C1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13E8"/>
    <w:rsid w:val="00084513"/>
    <w:rsid w:val="00084859"/>
    <w:rsid w:val="000925CD"/>
    <w:rsid w:val="00092D94"/>
    <w:rsid w:val="000A5479"/>
    <w:rsid w:val="000A71D5"/>
    <w:rsid w:val="000B0868"/>
    <w:rsid w:val="000B3E12"/>
    <w:rsid w:val="000B3E78"/>
    <w:rsid w:val="000B6630"/>
    <w:rsid w:val="000B7069"/>
    <w:rsid w:val="000B7B48"/>
    <w:rsid w:val="000C096D"/>
    <w:rsid w:val="000C139A"/>
    <w:rsid w:val="000C2053"/>
    <w:rsid w:val="000C248C"/>
    <w:rsid w:val="000C5546"/>
    <w:rsid w:val="000C68AF"/>
    <w:rsid w:val="000D291C"/>
    <w:rsid w:val="000E5A54"/>
    <w:rsid w:val="000E63D3"/>
    <w:rsid w:val="000E67CF"/>
    <w:rsid w:val="0010461E"/>
    <w:rsid w:val="0010489B"/>
    <w:rsid w:val="00106FAA"/>
    <w:rsid w:val="00113443"/>
    <w:rsid w:val="001269A7"/>
    <w:rsid w:val="00131092"/>
    <w:rsid w:val="00137682"/>
    <w:rsid w:val="00140E6A"/>
    <w:rsid w:val="00146545"/>
    <w:rsid w:val="00146B75"/>
    <w:rsid w:val="0015266D"/>
    <w:rsid w:val="0015288A"/>
    <w:rsid w:val="00160F47"/>
    <w:rsid w:val="00162EF1"/>
    <w:rsid w:val="00177CA1"/>
    <w:rsid w:val="00183823"/>
    <w:rsid w:val="00183942"/>
    <w:rsid w:val="001A009E"/>
    <w:rsid w:val="001A1287"/>
    <w:rsid w:val="001A3859"/>
    <w:rsid w:val="001A3C9D"/>
    <w:rsid w:val="001A43F8"/>
    <w:rsid w:val="001B5410"/>
    <w:rsid w:val="001B79E5"/>
    <w:rsid w:val="001D56F0"/>
    <w:rsid w:val="001D663B"/>
    <w:rsid w:val="001D7B41"/>
    <w:rsid w:val="001E2EF0"/>
    <w:rsid w:val="001E46DA"/>
    <w:rsid w:val="001E5F2A"/>
    <w:rsid w:val="001E7D80"/>
    <w:rsid w:val="001F4B6C"/>
    <w:rsid w:val="001F62CB"/>
    <w:rsid w:val="001F6ED0"/>
    <w:rsid w:val="001F72E6"/>
    <w:rsid w:val="001F73C5"/>
    <w:rsid w:val="0020168B"/>
    <w:rsid w:val="002046A6"/>
    <w:rsid w:val="00204956"/>
    <w:rsid w:val="00213640"/>
    <w:rsid w:val="00221547"/>
    <w:rsid w:val="002216FC"/>
    <w:rsid w:val="00222533"/>
    <w:rsid w:val="00222F30"/>
    <w:rsid w:val="00224BDE"/>
    <w:rsid w:val="00224EE2"/>
    <w:rsid w:val="00227EC7"/>
    <w:rsid w:val="00244AD1"/>
    <w:rsid w:val="002463BC"/>
    <w:rsid w:val="002465CE"/>
    <w:rsid w:val="0025734A"/>
    <w:rsid w:val="00263255"/>
    <w:rsid w:val="00264050"/>
    <w:rsid w:val="00266747"/>
    <w:rsid w:val="0026714F"/>
    <w:rsid w:val="00270F86"/>
    <w:rsid w:val="00274C65"/>
    <w:rsid w:val="00276494"/>
    <w:rsid w:val="00277B0C"/>
    <w:rsid w:val="00285DF6"/>
    <w:rsid w:val="0029759B"/>
    <w:rsid w:val="002B1A2C"/>
    <w:rsid w:val="002C1BFD"/>
    <w:rsid w:val="002C34F2"/>
    <w:rsid w:val="002C4B43"/>
    <w:rsid w:val="002C58FF"/>
    <w:rsid w:val="002C7AFE"/>
    <w:rsid w:val="002D05D2"/>
    <w:rsid w:val="002E0D61"/>
    <w:rsid w:val="002E4C7B"/>
    <w:rsid w:val="0030740C"/>
    <w:rsid w:val="00314B05"/>
    <w:rsid w:val="00315833"/>
    <w:rsid w:val="003159F3"/>
    <w:rsid w:val="00317694"/>
    <w:rsid w:val="003215EE"/>
    <w:rsid w:val="003224BF"/>
    <w:rsid w:val="003241A8"/>
    <w:rsid w:val="003253F0"/>
    <w:rsid w:val="0032577E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46B4"/>
    <w:rsid w:val="00384814"/>
    <w:rsid w:val="00386093"/>
    <w:rsid w:val="003904A4"/>
    <w:rsid w:val="00391841"/>
    <w:rsid w:val="00391B6D"/>
    <w:rsid w:val="00394922"/>
    <w:rsid w:val="003A0E32"/>
    <w:rsid w:val="003A2B94"/>
    <w:rsid w:val="003A3032"/>
    <w:rsid w:val="003A676C"/>
    <w:rsid w:val="003B387D"/>
    <w:rsid w:val="003C0191"/>
    <w:rsid w:val="003C0D58"/>
    <w:rsid w:val="003D4FA3"/>
    <w:rsid w:val="003D6A46"/>
    <w:rsid w:val="003E0807"/>
    <w:rsid w:val="003E51FB"/>
    <w:rsid w:val="003E6B39"/>
    <w:rsid w:val="003F07E1"/>
    <w:rsid w:val="004030BC"/>
    <w:rsid w:val="0040376B"/>
    <w:rsid w:val="00403F7D"/>
    <w:rsid w:val="00406785"/>
    <w:rsid w:val="004079B4"/>
    <w:rsid w:val="00414E69"/>
    <w:rsid w:val="00417A56"/>
    <w:rsid w:val="00420957"/>
    <w:rsid w:val="00422A10"/>
    <w:rsid w:val="00422B22"/>
    <w:rsid w:val="0042540E"/>
    <w:rsid w:val="00430179"/>
    <w:rsid w:val="00430433"/>
    <w:rsid w:val="004414B5"/>
    <w:rsid w:val="00444482"/>
    <w:rsid w:val="00444B42"/>
    <w:rsid w:val="00445E44"/>
    <w:rsid w:val="004509E2"/>
    <w:rsid w:val="004515EE"/>
    <w:rsid w:val="004529F0"/>
    <w:rsid w:val="00453748"/>
    <w:rsid w:val="00460A03"/>
    <w:rsid w:val="00464EC8"/>
    <w:rsid w:val="00467FC0"/>
    <w:rsid w:val="00472A11"/>
    <w:rsid w:val="00472AAD"/>
    <w:rsid w:val="00474E33"/>
    <w:rsid w:val="00475F05"/>
    <w:rsid w:val="00476803"/>
    <w:rsid w:val="00485BFD"/>
    <w:rsid w:val="004867A2"/>
    <w:rsid w:val="004873F2"/>
    <w:rsid w:val="00490C26"/>
    <w:rsid w:val="00490D4C"/>
    <w:rsid w:val="00493A35"/>
    <w:rsid w:val="0049527A"/>
    <w:rsid w:val="004966BF"/>
    <w:rsid w:val="00497984"/>
    <w:rsid w:val="004A05E5"/>
    <w:rsid w:val="004A49F5"/>
    <w:rsid w:val="004A5088"/>
    <w:rsid w:val="004B12E9"/>
    <w:rsid w:val="004C10C7"/>
    <w:rsid w:val="004C1E3F"/>
    <w:rsid w:val="004C23F4"/>
    <w:rsid w:val="004C3475"/>
    <w:rsid w:val="004C58B6"/>
    <w:rsid w:val="004D16A3"/>
    <w:rsid w:val="004D4AA1"/>
    <w:rsid w:val="004D6D68"/>
    <w:rsid w:val="004E10AE"/>
    <w:rsid w:val="004E5EDD"/>
    <w:rsid w:val="004F448A"/>
    <w:rsid w:val="004F493D"/>
    <w:rsid w:val="004F64CE"/>
    <w:rsid w:val="004F65E8"/>
    <w:rsid w:val="0050005E"/>
    <w:rsid w:val="005008AB"/>
    <w:rsid w:val="00502B88"/>
    <w:rsid w:val="005117C5"/>
    <w:rsid w:val="005142C4"/>
    <w:rsid w:val="0051509C"/>
    <w:rsid w:val="005162D9"/>
    <w:rsid w:val="005272E2"/>
    <w:rsid w:val="0053108F"/>
    <w:rsid w:val="00532B56"/>
    <w:rsid w:val="00534B10"/>
    <w:rsid w:val="005446A2"/>
    <w:rsid w:val="00544D2F"/>
    <w:rsid w:val="00551BD8"/>
    <w:rsid w:val="00553244"/>
    <w:rsid w:val="00565DDD"/>
    <w:rsid w:val="00572845"/>
    <w:rsid w:val="00581055"/>
    <w:rsid w:val="00591E38"/>
    <w:rsid w:val="005A0DE3"/>
    <w:rsid w:val="005A19C5"/>
    <w:rsid w:val="005A3034"/>
    <w:rsid w:val="005A462D"/>
    <w:rsid w:val="005B253B"/>
    <w:rsid w:val="005B771D"/>
    <w:rsid w:val="005C5D16"/>
    <w:rsid w:val="005C5DFD"/>
    <w:rsid w:val="005D3193"/>
    <w:rsid w:val="005D4A6E"/>
    <w:rsid w:val="005E05F2"/>
    <w:rsid w:val="005E4F1B"/>
    <w:rsid w:val="005E6979"/>
    <w:rsid w:val="005E6D7F"/>
    <w:rsid w:val="005E75CB"/>
    <w:rsid w:val="006013C1"/>
    <w:rsid w:val="0060669E"/>
    <w:rsid w:val="00610F2E"/>
    <w:rsid w:val="00611399"/>
    <w:rsid w:val="00622217"/>
    <w:rsid w:val="00624C4E"/>
    <w:rsid w:val="00625200"/>
    <w:rsid w:val="006363A8"/>
    <w:rsid w:val="00636DB7"/>
    <w:rsid w:val="00642B68"/>
    <w:rsid w:val="00650905"/>
    <w:rsid w:val="006532ED"/>
    <w:rsid w:val="006549F2"/>
    <w:rsid w:val="006567B7"/>
    <w:rsid w:val="00657BFB"/>
    <w:rsid w:val="0066333C"/>
    <w:rsid w:val="006639B4"/>
    <w:rsid w:val="006650FE"/>
    <w:rsid w:val="00667CE9"/>
    <w:rsid w:val="0067305D"/>
    <w:rsid w:val="00677D9B"/>
    <w:rsid w:val="006867F3"/>
    <w:rsid w:val="00687890"/>
    <w:rsid w:val="006901A2"/>
    <w:rsid w:val="00690368"/>
    <w:rsid w:val="00690753"/>
    <w:rsid w:val="0069079C"/>
    <w:rsid w:val="00690B53"/>
    <w:rsid w:val="00694E5C"/>
    <w:rsid w:val="00695B72"/>
    <w:rsid w:val="00697809"/>
    <w:rsid w:val="006B160A"/>
    <w:rsid w:val="006B4E6C"/>
    <w:rsid w:val="006B50B6"/>
    <w:rsid w:val="006D6E3C"/>
    <w:rsid w:val="006D704E"/>
    <w:rsid w:val="006D79EA"/>
    <w:rsid w:val="006E1DF4"/>
    <w:rsid w:val="006E2FEA"/>
    <w:rsid w:val="006E5D05"/>
    <w:rsid w:val="006F30A1"/>
    <w:rsid w:val="00701053"/>
    <w:rsid w:val="00701507"/>
    <w:rsid w:val="00714021"/>
    <w:rsid w:val="00716A0F"/>
    <w:rsid w:val="0071764B"/>
    <w:rsid w:val="00717D45"/>
    <w:rsid w:val="007208F7"/>
    <w:rsid w:val="007218AF"/>
    <w:rsid w:val="0072250E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33E0"/>
    <w:rsid w:val="007C6458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236B"/>
    <w:rsid w:val="00855B95"/>
    <w:rsid w:val="00857A8A"/>
    <w:rsid w:val="008607F7"/>
    <w:rsid w:val="008630EE"/>
    <w:rsid w:val="00864D13"/>
    <w:rsid w:val="008656C7"/>
    <w:rsid w:val="00871CD5"/>
    <w:rsid w:val="008745A2"/>
    <w:rsid w:val="008768A8"/>
    <w:rsid w:val="00886E8C"/>
    <w:rsid w:val="0088798F"/>
    <w:rsid w:val="00887E4B"/>
    <w:rsid w:val="008915C8"/>
    <w:rsid w:val="0089428E"/>
    <w:rsid w:val="008A36CF"/>
    <w:rsid w:val="008A3BC4"/>
    <w:rsid w:val="008B35FA"/>
    <w:rsid w:val="008B403C"/>
    <w:rsid w:val="008B7983"/>
    <w:rsid w:val="008C2511"/>
    <w:rsid w:val="008D026D"/>
    <w:rsid w:val="008D23AB"/>
    <w:rsid w:val="008D4B8B"/>
    <w:rsid w:val="008D5A78"/>
    <w:rsid w:val="008E6807"/>
    <w:rsid w:val="008E7B64"/>
    <w:rsid w:val="008F5DCD"/>
    <w:rsid w:val="00900951"/>
    <w:rsid w:val="009042A6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1740"/>
    <w:rsid w:val="00974F2D"/>
    <w:rsid w:val="00977524"/>
    <w:rsid w:val="00977E88"/>
    <w:rsid w:val="00980483"/>
    <w:rsid w:val="00981A1D"/>
    <w:rsid w:val="00984920"/>
    <w:rsid w:val="0099303A"/>
    <w:rsid w:val="009971C2"/>
    <w:rsid w:val="009A1254"/>
    <w:rsid w:val="009B270B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A32"/>
    <w:rsid w:val="009E0C05"/>
    <w:rsid w:val="009E0D1C"/>
    <w:rsid w:val="009E2214"/>
    <w:rsid w:val="009E355A"/>
    <w:rsid w:val="009E63E2"/>
    <w:rsid w:val="009E78CA"/>
    <w:rsid w:val="009F04D2"/>
    <w:rsid w:val="009F05CF"/>
    <w:rsid w:val="009F0F3A"/>
    <w:rsid w:val="00A01D0C"/>
    <w:rsid w:val="00A04E54"/>
    <w:rsid w:val="00A0643F"/>
    <w:rsid w:val="00A067EE"/>
    <w:rsid w:val="00A10FCE"/>
    <w:rsid w:val="00A111A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FD1"/>
    <w:rsid w:val="00A459C3"/>
    <w:rsid w:val="00A53681"/>
    <w:rsid w:val="00A55263"/>
    <w:rsid w:val="00A633D4"/>
    <w:rsid w:val="00A6461A"/>
    <w:rsid w:val="00A820AF"/>
    <w:rsid w:val="00A84504"/>
    <w:rsid w:val="00A8672F"/>
    <w:rsid w:val="00A93057"/>
    <w:rsid w:val="00A93656"/>
    <w:rsid w:val="00A968B0"/>
    <w:rsid w:val="00AB2672"/>
    <w:rsid w:val="00AB2817"/>
    <w:rsid w:val="00AB43C4"/>
    <w:rsid w:val="00AB6B6E"/>
    <w:rsid w:val="00AC32E7"/>
    <w:rsid w:val="00AC3A9F"/>
    <w:rsid w:val="00AC6D2F"/>
    <w:rsid w:val="00AD76B2"/>
    <w:rsid w:val="00AE2745"/>
    <w:rsid w:val="00AE2F64"/>
    <w:rsid w:val="00AF24BA"/>
    <w:rsid w:val="00AF2E49"/>
    <w:rsid w:val="00AF42CB"/>
    <w:rsid w:val="00AF483F"/>
    <w:rsid w:val="00AF5E07"/>
    <w:rsid w:val="00AF5F06"/>
    <w:rsid w:val="00B00A25"/>
    <w:rsid w:val="00B11AB8"/>
    <w:rsid w:val="00B1422A"/>
    <w:rsid w:val="00B1765C"/>
    <w:rsid w:val="00B213C4"/>
    <w:rsid w:val="00B40C60"/>
    <w:rsid w:val="00B479A9"/>
    <w:rsid w:val="00B50D42"/>
    <w:rsid w:val="00B52EDF"/>
    <w:rsid w:val="00B578E1"/>
    <w:rsid w:val="00B71188"/>
    <w:rsid w:val="00B7427A"/>
    <w:rsid w:val="00B76A41"/>
    <w:rsid w:val="00B87D4C"/>
    <w:rsid w:val="00B93646"/>
    <w:rsid w:val="00BA0B38"/>
    <w:rsid w:val="00BA1DBB"/>
    <w:rsid w:val="00BA2D35"/>
    <w:rsid w:val="00BA4510"/>
    <w:rsid w:val="00BA529A"/>
    <w:rsid w:val="00BA5AC5"/>
    <w:rsid w:val="00BB612A"/>
    <w:rsid w:val="00BD499F"/>
    <w:rsid w:val="00BD56DE"/>
    <w:rsid w:val="00BE547F"/>
    <w:rsid w:val="00BF17A8"/>
    <w:rsid w:val="00BF2406"/>
    <w:rsid w:val="00C0106E"/>
    <w:rsid w:val="00C0464A"/>
    <w:rsid w:val="00C06E43"/>
    <w:rsid w:val="00C16315"/>
    <w:rsid w:val="00C168B4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F7D"/>
    <w:rsid w:val="00C74007"/>
    <w:rsid w:val="00C74833"/>
    <w:rsid w:val="00C76207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3BAF"/>
    <w:rsid w:val="00CE5AD6"/>
    <w:rsid w:val="00CE617F"/>
    <w:rsid w:val="00CE78EF"/>
    <w:rsid w:val="00D017C4"/>
    <w:rsid w:val="00D02C7C"/>
    <w:rsid w:val="00D048F7"/>
    <w:rsid w:val="00D0517E"/>
    <w:rsid w:val="00D140FC"/>
    <w:rsid w:val="00D21B8A"/>
    <w:rsid w:val="00D21D8C"/>
    <w:rsid w:val="00D31357"/>
    <w:rsid w:val="00D33220"/>
    <w:rsid w:val="00D334D1"/>
    <w:rsid w:val="00D44C89"/>
    <w:rsid w:val="00D516CD"/>
    <w:rsid w:val="00D557F8"/>
    <w:rsid w:val="00D66138"/>
    <w:rsid w:val="00D668E6"/>
    <w:rsid w:val="00D70670"/>
    <w:rsid w:val="00D70ED2"/>
    <w:rsid w:val="00D74D80"/>
    <w:rsid w:val="00D76624"/>
    <w:rsid w:val="00D84BEF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1C74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445F"/>
    <w:rsid w:val="00E46BCB"/>
    <w:rsid w:val="00E51CAF"/>
    <w:rsid w:val="00E60F04"/>
    <w:rsid w:val="00E62AAC"/>
    <w:rsid w:val="00E67C2F"/>
    <w:rsid w:val="00E67EF5"/>
    <w:rsid w:val="00E705C2"/>
    <w:rsid w:val="00E804EA"/>
    <w:rsid w:val="00E80A71"/>
    <w:rsid w:val="00E82337"/>
    <w:rsid w:val="00E92499"/>
    <w:rsid w:val="00E949AF"/>
    <w:rsid w:val="00E96077"/>
    <w:rsid w:val="00EA0A06"/>
    <w:rsid w:val="00EA478B"/>
    <w:rsid w:val="00EA6243"/>
    <w:rsid w:val="00EA74AB"/>
    <w:rsid w:val="00EB1638"/>
    <w:rsid w:val="00EB3D1B"/>
    <w:rsid w:val="00EC3FB0"/>
    <w:rsid w:val="00ED1D89"/>
    <w:rsid w:val="00ED66BC"/>
    <w:rsid w:val="00EF233A"/>
    <w:rsid w:val="00EF303E"/>
    <w:rsid w:val="00EF3A40"/>
    <w:rsid w:val="00EF5C5D"/>
    <w:rsid w:val="00EF7F78"/>
    <w:rsid w:val="00F01B08"/>
    <w:rsid w:val="00F01C4D"/>
    <w:rsid w:val="00F03BF1"/>
    <w:rsid w:val="00F053FA"/>
    <w:rsid w:val="00F10C97"/>
    <w:rsid w:val="00F11C71"/>
    <w:rsid w:val="00F15D24"/>
    <w:rsid w:val="00F16019"/>
    <w:rsid w:val="00F20E68"/>
    <w:rsid w:val="00F22093"/>
    <w:rsid w:val="00F236DF"/>
    <w:rsid w:val="00F40638"/>
    <w:rsid w:val="00F43AD5"/>
    <w:rsid w:val="00F4402E"/>
    <w:rsid w:val="00F506B3"/>
    <w:rsid w:val="00F56DD0"/>
    <w:rsid w:val="00F6491C"/>
    <w:rsid w:val="00F67BBB"/>
    <w:rsid w:val="00F77707"/>
    <w:rsid w:val="00F86033"/>
    <w:rsid w:val="00F87D92"/>
    <w:rsid w:val="00F904A9"/>
    <w:rsid w:val="00F90AA7"/>
    <w:rsid w:val="00F92498"/>
    <w:rsid w:val="00F9496B"/>
    <w:rsid w:val="00F970C9"/>
    <w:rsid w:val="00FA06A8"/>
    <w:rsid w:val="00FA359D"/>
    <w:rsid w:val="00FA3DF5"/>
    <w:rsid w:val="00FA5269"/>
    <w:rsid w:val="00FA6C24"/>
    <w:rsid w:val="00FA741F"/>
    <w:rsid w:val="00FB4E07"/>
    <w:rsid w:val="00FB755A"/>
    <w:rsid w:val="00FC60A2"/>
    <w:rsid w:val="00FD1871"/>
    <w:rsid w:val="00FD3110"/>
    <w:rsid w:val="00FD5515"/>
    <w:rsid w:val="00FF599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D8EC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70ED2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62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20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20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9F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64D3C44D7D3422EACFE869790C49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D22AB-A88C-4127-8A47-4B914A376D88}"/>
      </w:docPartPr>
      <w:docPartBody>
        <w:p w:rsidR="00A96712" w:rsidRDefault="00AF4646" w:rsidP="00AF4646">
          <w:pPr>
            <w:pStyle w:val="064D3C44D7D3422EACFE869790C49D2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99AA673D2704B659F3A015E1CD1F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9F98A-86C0-41C0-B23D-78D29C3A9516}"/>
      </w:docPartPr>
      <w:docPartBody>
        <w:p w:rsidR="00A96712" w:rsidRDefault="00AF4646" w:rsidP="00AF4646">
          <w:pPr>
            <w:pStyle w:val="099AA673D2704B659F3A015E1CD1F7F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5DA2FD273DE47E791CD3AE541001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03E6D-A232-4D1F-8038-18B1B28543C6}"/>
      </w:docPartPr>
      <w:docPartBody>
        <w:p w:rsidR="00A96712" w:rsidRDefault="00AF4646" w:rsidP="00AF4646">
          <w:pPr>
            <w:pStyle w:val="C5DA2FD273DE47E791CD3AE54100110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007377B0968426D9DCE9E87297F2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80AF4-DB42-4C8E-B892-0A19339D4193}"/>
      </w:docPartPr>
      <w:docPartBody>
        <w:p w:rsidR="00A96712" w:rsidRDefault="00AF4646" w:rsidP="00AF4646">
          <w:pPr>
            <w:pStyle w:val="1007377B0968426D9DCE9E87297F289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086BCE2D69244198331177E324B1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286F4-18DC-4B83-AE18-1547B7607E1F}"/>
      </w:docPartPr>
      <w:docPartBody>
        <w:p w:rsidR="00A96712" w:rsidRDefault="00AF4646" w:rsidP="00AF4646">
          <w:pPr>
            <w:pStyle w:val="D086BCE2D69244198331177E324B187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AC4AA7890D74B16BB1D39CE02E2A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147EF-0C15-49FA-8815-7B13871F80CC}"/>
      </w:docPartPr>
      <w:docPartBody>
        <w:p w:rsidR="00A96712" w:rsidRDefault="00AF4646" w:rsidP="00AF4646">
          <w:pPr>
            <w:pStyle w:val="0AC4AA7890D74B16BB1D39CE02E2AF0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CB4C4C64EE24AD8B9347C569A1AA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8D586-0593-4BC6-A985-77D1A1A1D270}"/>
      </w:docPartPr>
      <w:docPartBody>
        <w:p w:rsidR="00A96712" w:rsidRDefault="00AF4646" w:rsidP="00AF4646">
          <w:pPr>
            <w:pStyle w:val="9CB4C4C64EE24AD8B9347C569A1AA32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34E5D42807D4C27AC4DD5876F665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6A043-6613-45B9-BC09-CA1DAED0EC5B}"/>
      </w:docPartPr>
      <w:docPartBody>
        <w:p w:rsidR="00A96712" w:rsidRDefault="00AF4646" w:rsidP="00AF4646">
          <w:pPr>
            <w:pStyle w:val="034E5D42807D4C27AC4DD5876F665CD3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6C3141"/>
    <w:rsid w:val="006F30A1"/>
    <w:rsid w:val="00A96712"/>
    <w:rsid w:val="00AF4646"/>
    <w:rsid w:val="00B91293"/>
    <w:rsid w:val="00D21A9F"/>
    <w:rsid w:val="00F8516B"/>
    <w:rsid w:val="00FA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464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8DD754E365844A4E82EC69A07E229629">
    <w:name w:val="8DD754E365844A4E82EC69A07E229629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64D3C44D7D3422EACFE869790C49D27">
    <w:name w:val="064D3C44D7D3422EACFE869790C49D27"/>
    <w:rsid w:val="00AF4646"/>
  </w:style>
  <w:style w:type="paragraph" w:customStyle="1" w:styleId="099AA673D2704B659F3A015E1CD1F7F2">
    <w:name w:val="099AA673D2704B659F3A015E1CD1F7F2"/>
    <w:rsid w:val="00AF4646"/>
  </w:style>
  <w:style w:type="paragraph" w:customStyle="1" w:styleId="C5DA2FD273DE47E791CD3AE541001107">
    <w:name w:val="C5DA2FD273DE47E791CD3AE541001107"/>
    <w:rsid w:val="00AF4646"/>
  </w:style>
  <w:style w:type="paragraph" w:customStyle="1" w:styleId="1007377B0968426D9DCE9E87297F289A">
    <w:name w:val="1007377B0968426D9DCE9E87297F289A"/>
    <w:rsid w:val="00AF4646"/>
  </w:style>
  <w:style w:type="paragraph" w:customStyle="1" w:styleId="D086BCE2D69244198331177E324B187E">
    <w:name w:val="D086BCE2D69244198331177E324B187E"/>
    <w:rsid w:val="00AF4646"/>
  </w:style>
  <w:style w:type="paragraph" w:customStyle="1" w:styleId="0AC4AA7890D74B16BB1D39CE02E2AF06">
    <w:name w:val="0AC4AA7890D74B16BB1D39CE02E2AF06"/>
    <w:rsid w:val="00AF4646"/>
  </w:style>
  <w:style w:type="paragraph" w:customStyle="1" w:styleId="9CB4C4C64EE24AD8B9347C569A1AA320">
    <w:name w:val="9CB4C4C64EE24AD8B9347C569A1AA320"/>
    <w:rsid w:val="00AF4646"/>
  </w:style>
  <w:style w:type="paragraph" w:customStyle="1" w:styleId="034E5D42807D4C27AC4DD5876F665CD3">
    <w:name w:val="034E5D42807D4C27AC4DD5876F665CD3"/>
    <w:rsid w:val="00AF46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B16105-DD7D-4618-A19F-43029AE6F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292A7B-6A2C-42E1-9D63-BB450086F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16</cp:revision>
  <cp:lastPrinted>2018-10-22T22:41:00Z</cp:lastPrinted>
  <dcterms:created xsi:type="dcterms:W3CDTF">2019-08-13T01:28:00Z</dcterms:created>
  <dcterms:modified xsi:type="dcterms:W3CDTF">2026-01-09T00:12:00Z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2025-12-17T05:42:38Z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66f61689-180b-4610-834f-f91dda37eb82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