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E72999D" w14:textId="420040C6" w:rsidR="00BD499F" w:rsidRPr="004C23F4" w:rsidRDefault="00867F23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Caprolactam (dust and vapour)</w:t>
          </w:r>
          <w:r w:rsidR="003C5CD9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>(incL.</w:t>
          </w:r>
          <w:r w:rsidR="003C5CD9">
            <w:rPr>
              <w:rFonts w:ascii="Arial" w:hAnsi="Arial" w:cs="Arial"/>
            </w:rPr>
            <w:t> </w:t>
          </w:r>
          <w:r>
            <w:rPr>
              <w:rFonts w:ascii="Arial" w:hAnsi="Arial" w:cs="Arial"/>
            </w:rPr>
            <w:t>e</w:t>
          </w:r>
          <w:r w:rsidR="003C5CD9">
            <w:rPr>
              <w:rFonts w:ascii="Arial" w:hAnsi="Arial" w:cs="Arial"/>
            </w:rPr>
            <w:noBreakHyphen/>
          </w:r>
          <w:r>
            <w:rPr>
              <w:rFonts w:ascii="Arial" w:hAnsi="Arial" w:cs="Arial"/>
            </w:rPr>
            <w:t>caprolactAm)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0"/>
        <w:gridCol w:w="5056"/>
      </w:tblGrid>
      <w:tr w:rsidR="00F43AD5" w:rsidRPr="004C23F4" w14:paraId="69E2E90E" w14:textId="77777777" w:rsidTr="004F443B">
        <w:trPr>
          <w:cantSplit/>
          <w:tblHeader/>
        </w:trPr>
        <w:tc>
          <w:tcPr>
            <w:tcW w:w="3970" w:type="dxa"/>
          </w:tcPr>
          <w:p w14:paraId="3D7C20A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6" w:type="dxa"/>
          </w:tcPr>
          <w:p w14:paraId="5DFDBA5A" w14:textId="77777777" w:rsidR="00F43AD5" w:rsidRPr="00717D45" w:rsidRDefault="00291CBA" w:rsidP="00B76A41">
            <w:pPr>
              <w:pStyle w:val="Tablefont"/>
            </w:pPr>
            <w:r w:rsidRPr="00291CBA">
              <w:t>105-60-2</w:t>
            </w:r>
          </w:p>
        </w:tc>
      </w:tr>
      <w:tr w:rsidR="00F43AD5" w:rsidRPr="004C23F4" w14:paraId="5947FFB2" w14:textId="77777777" w:rsidTr="004F443B">
        <w:trPr>
          <w:cantSplit/>
        </w:trPr>
        <w:tc>
          <w:tcPr>
            <w:tcW w:w="3970" w:type="dxa"/>
          </w:tcPr>
          <w:p w14:paraId="4113C08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6" w:type="dxa"/>
          </w:tcPr>
          <w:p w14:paraId="2DCE2AAD" w14:textId="35D60B4E" w:rsidR="00F43AD5" w:rsidRPr="00A32258" w:rsidRDefault="007D2F63" w:rsidP="00A32258">
            <w:pPr>
              <w:pStyle w:val="Tablefont"/>
            </w:pPr>
            <w:r>
              <w:rPr>
                <w:rFonts w:cs="Arial"/>
                <w:color w:val="262626"/>
                <w:shd w:val="clear" w:color="auto" w:fill="FFFFFF"/>
              </w:rPr>
              <w:t xml:space="preserve">2H-Azepin-2-one, hexahydro, </w:t>
            </w:r>
            <w:r w:rsidR="00817421">
              <w:rPr>
                <w:rFonts w:cs="Arial"/>
              </w:rPr>
              <w:t>ɛ</w:t>
            </w:r>
            <w:r w:rsidR="00817421">
              <w:t xml:space="preserve">-caprolactam, </w:t>
            </w:r>
            <w:r w:rsidR="00B156D2" w:rsidRPr="00A32258">
              <w:t xml:space="preserve">hexahydro-2H-azepin-2-one, </w:t>
            </w:r>
            <w:proofErr w:type="spellStart"/>
            <w:r w:rsidR="00B156D2" w:rsidRPr="00A32258">
              <w:t>aminocaprolactam</w:t>
            </w:r>
            <w:proofErr w:type="spellEnd"/>
            <w:r w:rsidR="00B156D2" w:rsidRPr="00A32258">
              <w:t>,</w:t>
            </w:r>
            <w:r>
              <w:t xml:space="preserve"> </w:t>
            </w:r>
            <w:r w:rsidR="009D4618">
              <w:br/>
            </w:r>
            <w:r w:rsidR="00B156D2" w:rsidRPr="00A32258">
              <w:t>2-oxohexamethylenimine, cyclohexanone-</w:t>
            </w:r>
            <w:proofErr w:type="spellStart"/>
            <w:r w:rsidR="00B156D2" w:rsidRPr="00A32258">
              <w:t>isooxime</w:t>
            </w:r>
            <w:proofErr w:type="spellEnd"/>
            <w:r w:rsidR="00A32258">
              <w:t xml:space="preserve">, </w:t>
            </w:r>
            <w:r w:rsidR="00924634">
              <w:t>h</w:t>
            </w:r>
            <w:r w:rsidR="00A32258" w:rsidRPr="00A32258">
              <w:t>exano-6-lactam</w:t>
            </w:r>
          </w:p>
        </w:tc>
      </w:tr>
      <w:tr w:rsidR="00F43AD5" w:rsidRPr="004C23F4" w14:paraId="38A94EB5" w14:textId="77777777" w:rsidTr="004F443B">
        <w:trPr>
          <w:cantSplit/>
        </w:trPr>
        <w:tc>
          <w:tcPr>
            <w:tcW w:w="3970" w:type="dxa"/>
          </w:tcPr>
          <w:p w14:paraId="3A29292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6" w:type="dxa"/>
          </w:tcPr>
          <w:p w14:paraId="581BAC2E" w14:textId="77777777" w:rsidR="00F43AD5" w:rsidRPr="00717D45" w:rsidRDefault="0019449A" w:rsidP="00B76A41">
            <w:pPr>
              <w:pStyle w:val="Tablefont"/>
            </w:pPr>
            <w:r>
              <w:t>C</w:t>
            </w:r>
            <w:r w:rsidRPr="0019449A">
              <w:rPr>
                <w:vertAlign w:val="subscript"/>
              </w:rPr>
              <w:t>6</w:t>
            </w:r>
            <w:r>
              <w:t>H</w:t>
            </w:r>
            <w:r w:rsidRPr="0019449A">
              <w:rPr>
                <w:vertAlign w:val="subscript"/>
              </w:rPr>
              <w:t>11</w:t>
            </w:r>
            <w:r>
              <w:t>NO</w:t>
            </w:r>
          </w:p>
        </w:tc>
      </w:tr>
    </w:tbl>
    <w:p w14:paraId="402E2512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7369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3DC3249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4551035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4FFB3990" w14:textId="77777777" w:rsidR="002C7AFE" w:rsidRPr="00645FF5" w:rsidRDefault="00645FF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7C4CAC51" w14:textId="77777777" w:rsidTr="00921DE7">
        <w:trPr>
          <w:cantSplit/>
        </w:trPr>
        <w:tc>
          <w:tcPr>
            <w:tcW w:w="4077" w:type="dxa"/>
            <w:vAlign w:val="center"/>
          </w:tcPr>
          <w:p w14:paraId="618206B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4487F68" w14:textId="77777777" w:rsidR="002C7AFE" w:rsidRPr="004F443B" w:rsidRDefault="00DF6048" w:rsidP="00017C82">
            <w:pPr>
              <w:pStyle w:val="Tablefont"/>
            </w:pPr>
            <w:r w:rsidRPr="004F443B">
              <w:t>—</w:t>
            </w:r>
          </w:p>
        </w:tc>
      </w:tr>
      <w:tr w:rsidR="002C7AFE" w:rsidRPr="004C23F4" w14:paraId="4E87A620" w14:textId="77777777" w:rsidTr="00921DE7">
        <w:trPr>
          <w:cantSplit/>
        </w:trPr>
        <w:tc>
          <w:tcPr>
            <w:tcW w:w="4077" w:type="dxa"/>
            <w:vAlign w:val="center"/>
          </w:tcPr>
          <w:p w14:paraId="247BA31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362BEF49" w14:textId="77777777" w:rsidR="002C7AFE" w:rsidRPr="004F443B" w:rsidRDefault="00DF6048" w:rsidP="00017C82">
            <w:pPr>
              <w:pStyle w:val="Tablefont"/>
            </w:pPr>
            <w:r w:rsidRPr="004F443B">
              <w:t>—</w:t>
            </w:r>
          </w:p>
        </w:tc>
      </w:tr>
      <w:tr w:rsidR="002C7AFE" w:rsidRPr="004C23F4" w14:paraId="5677D61F" w14:textId="77777777" w:rsidTr="00A2073D">
        <w:trPr>
          <w:cantSplit/>
        </w:trPr>
        <w:tc>
          <w:tcPr>
            <w:tcW w:w="4077" w:type="dxa"/>
          </w:tcPr>
          <w:p w14:paraId="44FCF4F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74E6B51" w14:textId="77777777" w:rsidR="002C7AFE" w:rsidRPr="004F443B" w:rsidRDefault="00DF6048" w:rsidP="008A36CF">
            <w:pPr>
              <w:pStyle w:val="Tablefont"/>
            </w:pPr>
            <w:r w:rsidRPr="004F443B">
              <w:t>—</w:t>
            </w:r>
          </w:p>
        </w:tc>
      </w:tr>
      <w:tr w:rsidR="002C7AFE" w:rsidRPr="004C23F4" w14:paraId="5833F84D" w14:textId="77777777" w:rsidTr="00921DE7">
        <w:trPr>
          <w:cantSplit/>
        </w:trPr>
        <w:tc>
          <w:tcPr>
            <w:tcW w:w="4077" w:type="dxa"/>
            <w:vAlign w:val="center"/>
          </w:tcPr>
          <w:p w14:paraId="4E5E38F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0FBCC73C" w14:textId="77777777" w:rsidR="002C7AFE" w:rsidRPr="004F443B" w:rsidRDefault="00DF6048" w:rsidP="00017C82">
            <w:pPr>
              <w:pStyle w:val="Tablefont"/>
            </w:pPr>
            <w:r w:rsidRPr="004F443B">
              <w:t>—</w:t>
            </w:r>
          </w:p>
        </w:tc>
      </w:tr>
      <w:tr w:rsidR="009F04D2" w:rsidRPr="004C23F4" w14:paraId="332D3E39" w14:textId="77777777" w:rsidTr="00A65783">
        <w:trPr>
          <w:cantSplit/>
        </w:trPr>
        <w:tc>
          <w:tcPr>
            <w:tcW w:w="4077" w:type="dxa"/>
          </w:tcPr>
          <w:p w14:paraId="5CC981F4" w14:textId="77777777" w:rsidR="009F04D2" w:rsidRDefault="009F04D2" w:rsidP="00A65783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398B61A1" w14:textId="2093C4E3" w:rsidR="009F04D2" w:rsidRPr="00A65783" w:rsidRDefault="00DF5268" w:rsidP="00017C82">
            <w:pPr>
              <w:pStyle w:val="Tablefont"/>
            </w:pPr>
            <w:r w:rsidRPr="00DF5268">
              <w:t xml:space="preserve">The recommended value is readily quantifiable through currently available sampling and analysis techniques. </w:t>
            </w:r>
          </w:p>
        </w:tc>
      </w:tr>
    </w:tbl>
    <w:p w14:paraId="69B8D74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3280FC4" w14:textId="4E93F3AD" w:rsidR="006639B4" w:rsidRDefault="00A7369F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645FF5" w:rsidRPr="00A7369F">
        <w:rPr>
          <w:rFonts w:cs="Arial"/>
        </w:rPr>
        <w:t>5 mg/m</w:t>
      </w:r>
      <w:r w:rsidR="00645FF5" w:rsidRPr="00A7369F"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0C2B58">
        <w:rPr>
          <w:rFonts w:cs="Arial"/>
        </w:rPr>
        <w:t xml:space="preserve">is recommended </w:t>
      </w:r>
      <w:r>
        <w:rPr>
          <w:rFonts w:cs="Arial"/>
        </w:rPr>
        <w:t>to protect for</w:t>
      </w:r>
      <w:r w:rsidR="00867F23">
        <w:rPr>
          <w:rFonts w:cs="Arial"/>
        </w:rPr>
        <w:t xml:space="preserve"> irritation of the</w:t>
      </w:r>
      <w:r>
        <w:rPr>
          <w:rFonts w:cs="Arial"/>
        </w:rPr>
        <w:t xml:space="preserve"> </w:t>
      </w:r>
      <w:r w:rsidR="00E673DF">
        <w:rPr>
          <w:rFonts w:cs="Arial"/>
        </w:rPr>
        <w:t>mucous membrane</w:t>
      </w:r>
      <w:r w:rsidR="00867F23">
        <w:rPr>
          <w:rFonts w:cs="Arial"/>
        </w:rPr>
        <w:t>s</w:t>
      </w:r>
      <w:r w:rsidR="00E673DF">
        <w:rPr>
          <w:rFonts w:cs="Arial"/>
        </w:rPr>
        <w:t xml:space="preserve">, respiratory tract and </w:t>
      </w:r>
      <w:r w:rsidR="00867F23">
        <w:rPr>
          <w:rFonts w:cs="Arial"/>
        </w:rPr>
        <w:t>skin</w:t>
      </w:r>
      <w:r w:rsidR="00536DD7">
        <w:rPr>
          <w:rFonts w:cs="Arial"/>
        </w:rPr>
        <w:t xml:space="preserve"> in exposed workers. </w:t>
      </w:r>
      <w:r w:rsidR="00665E9C">
        <w:rPr>
          <w:rFonts w:cs="Arial"/>
        </w:rPr>
        <w:t xml:space="preserve">The TWA is considered protective for both vapour and dusts exposures and both chronic and short-term exposures. </w:t>
      </w:r>
    </w:p>
    <w:p w14:paraId="158D7144" w14:textId="75B44A58" w:rsidR="001501F0" w:rsidRPr="004C23F4" w:rsidRDefault="00665E9C" w:rsidP="000C139A">
      <w:pPr>
        <w:rPr>
          <w:rFonts w:cs="Arial"/>
        </w:rPr>
      </w:pPr>
      <w:r>
        <w:rPr>
          <w:rFonts w:cs="Arial"/>
        </w:rPr>
        <w:t xml:space="preserve">There are no acute effects reported within ten times of the </w:t>
      </w:r>
      <w:proofErr w:type="gramStart"/>
      <w:r>
        <w:rPr>
          <w:rFonts w:cs="Arial"/>
        </w:rPr>
        <w:t>TWA</w:t>
      </w:r>
      <w:proofErr w:type="gramEnd"/>
      <w:r>
        <w:rPr>
          <w:rFonts w:cs="Arial"/>
        </w:rPr>
        <w:t xml:space="preserve"> and the TWA is considered protective for any short-term effects. Therefore, it is recommended that the STEL be withdrawn.</w:t>
      </w:r>
    </w:p>
    <w:p w14:paraId="62F1C2E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FCEAC39" w14:textId="2472625A" w:rsidR="006639B4" w:rsidRDefault="00D54E74" w:rsidP="006639B4">
      <w:r>
        <w:rPr>
          <w:rFonts w:cs="Arial"/>
        </w:rPr>
        <w:t>Caprolactam</w:t>
      </w:r>
      <w:r>
        <w:t xml:space="preserve"> is primarily used as a monomer for synthetic fibres, plastics, coatings, plastici</w:t>
      </w:r>
      <w:r w:rsidR="00607B36">
        <w:t>s</w:t>
      </w:r>
      <w:r>
        <w:t xml:space="preserve">ers and paint vehicles and </w:t>
      </w:r>
      <w:r w:rsidR="00607B36">
        <w:t>in</w:t>
      </w:r>
      <w:r>
        <w:t xml:space="preserve"> polyurethanes.</w:t>
      </w:r>
      <w:r w:rsidR="008A4E80">
        <w:t xml:space="preserve"> Due to its low volatility</w:t>
      </w:r>
      <w:r w:rsidR="008F34F5">
        <w:t xml:space="preserve">, </w:t>
      </w:r>
      <w:r w:rsidR="00E673DF">
        <w:t xml:space="preserve">significant vapour concentrations of </w:t>
      </w:r>
      <w:r w:rsidR="008F34F5">
        <w:t xml:space="preserve">caprolactam </w:t>
      </w:r>
      <w:r w:rsidR="00E673DF">
        <w:t xml:space="preserve">are only expected </w:t>
      </w:r>
      <w:r w:rsidR="008F34F5">
        <w:t>at elevated ambient temperatures (ACGIH, 2018).</w:t>
      </w:r>
    </w:p>
    <w:p w14:paraId="66B1E929" w14:textId="139288BE" w:rsidR="008F34F5" w:rsidRDefault="00867F23" w:rsidP="00645FF5">
      <w:pPr>
        <w:tabs>
          <w:tab w:val="right" w:pos="9026"/>
        </w:tabs>
      </w:pPr>
      <w:r>
        <w:t>Irritation is reported to be dose dependent</w:t>
      </w:r>
      <w:r w:rsidR="000C0456">
        <w:t xml:space="preserve"> in humans (ACGIH, 2018).</w:t>
      </w:r>
      <w:r>
        <w:t xml:space="preserve"> </w:t>
      </w:r>
      <w:r w:rsidR="000C0456">
        <w:t>Workers</w:t>
      </w:r>
      <w:r w:rsidR="006D5107">
        <w:t xml:space="preserve"> </w:t>
      </w:r>
      <w:r w:rsidR="003F2631">
        <w:t>exposed</w:t>
      </w:r>
      <w:r w:rsidR="008F34F5">
        <w:t xml:space="preserve"> to vapours </w:t>
      </w:r>
      <w:r w:rsidR="000C0456">
        <w:t xml:space="preserve">for up to 18 years </w:t>
      </w:r>
      <w:r w:rsidR="008F34F5">
        <w:t xml:space="preserve">reported no </w:t>
      </w:r>
      <w:r w:rsidR="00645FF5">
        <w:t xml:space="preserve">irritation effects </w:t>
      </w:r>
      <w:r w:rsidR="006D5107">
        <w:t xml:space="preserve">at </w:t>
      </w:r>
      <w:r w:rsidR="00645FF5">
        <w:t>less than 32 mg/m</w:t>
      </w:r>
      <w:r w:rsidR="00645FF5">
        <w:rPr>
          <w:vertAlign w:val="superscript"/>
        </w:rPr>
        <w:t xml:space="preserve">3 </w:t>
      </w:r>
      <w:r w:rsidR="00645FF5">
        <w:t>(7 ppm</w:t>
      </w:r>
      <w:r w:rsidR="003B3503">
        <w:t>) (</w:t>
      </w:r>
      <w:r w:rsidR="000C0456">
        <w:t>ACGIH, 2018);</w:t>
      </w:r>
      <w:r>
        <w:t xml:space="preserve"> with the irritation threshold </w:t>
      </w:r>
      <w:r w:rsidR="000C0456">
        <w:t xml:space="preserve">in humans </w:t>
      </w:r>
      <w:r>
        <w:t xml:space="preserve">reported at </w:t>
      </w:r>
      <w:r w:rsidR="00D40F32">
        <w:t>56</w:t>
      </w:r>
      <w:r>
        <w:t xml:space="preserve"> </w:t>
      </w:r>
      <w:r w:rsidRPr="00011D7D">
        <w:rPr>
          <w:rFonts w:cs="Arial"/>
        </w:rPr>
        <w:t>mg/m</w:t>
      </w:r>
      <w:r w:rsidRPr="00011D7D">
        <w:rPr>
          <w:rFonts w:cs="Arial"/>
          <w:vertAlign w:val="superscript"/>
        </w:rPr>
        <w:t>3</w:t>
      </w:r>
      <w:r w:rsidR="000C0456">
        <w:rPr>
          <w:rFonts w:cs="Arial"/>
        </w:rPr>
        <w:t xml:space="preserve"> (DFG, 2002)</w:t>
      </w:r>
      <w:r w:rsidR="00645FF5">
        <w:t>.</w:t>
      </w:r>
      <w:r w:rsidR="00A74C2C">
        <w:t xml:space="preserve"> </w:t>
      </w:r>
      <w:r>
        <w:t xml:space="preserve">Caprolactam dust is reported to be irritating to the mucous membranes at </w:t>
      </w:r>
      <w:r w:rsidRPr="00A24D5B">
        <w:rPr>
          <w:szCs w:val="20"/>
        </w:rPr>
        <w:t xml:space="preserve">61 </w:t>
      </w:r>
      <w:r w:rsidRPr="00011D7D">
        <w:rPr>
          <w:rFonts w:cs="Arial"/>
          <w:szCs w:val="20"/>
        </w:rPr>
        <w:t>mg/m</w:t>
      </w:r>
      <w:r w:rsidRPr="00011D7D">
        <w:rPr>
          <w:rFonts w:cs="Arial"/>
          <w:szCs w:val="20"/>
          <w:vertAlign w:val="superscript"/>
        </w:rPr>
        <w:t>3</w:t>
      </w:r>
      <w:r w:rsidR="00D40F32">
        <w:rPr>
          <w:rFonts w:cs="Arial"/>
          <w:szCs w:val="20"/>
        </w:rPr>
        <w:t xml:space="preserve"> in workers</w:t>
      </w:r>
      <w:r w:rsidRPr="00011D7D">
        <w:rPr>
          <w:rFonts w:cs="Arial"/>
          <w:szCs w:val="20"/>
        </w:rPr>
        <w:t>.</w:t>
      </w:r>
      <w:r>
        <w:t xml:space="preserve"> This human evidence is supported by</w:t>
      </w:r>
      <w:r w:rsidR="00645FF5">
        <w:t xml:space="preserve"> slight irritation </w:t>
      </w:r>
      <w:r>
        <w:t xml:space="preserve">reported in guinea pigs </w:t>
      </w:r>
      <w:r w:rsidR="00645FF5">
        <w:t>at 51 mg/m</w:t>
      </w:r>
      <w:r w:rsidR="00645FF5">
        <w:rPr>
          <w:vertAlign w:val="superscript"/>
        </w:rPr>
        <w:t>3</w:t>
      </w:r>
      <w:r w:rsidR="00645FF5">
        <w:t xml:space="preserve"> in a sub-chronic inhalation study.</w:t>
      </w:r>
      <w:r w:rsidR="00B61937">
        <w:t xml:space="preserve"> </w:t>
      </w:r>
      <w:r w:rsidR="00645FF5">
        <w:t>A NOAEL</w:t>
      </w:r>
      <w:r w:rsidR="00665E9C">
        <w:t xml:space="preserve"> for the liquid aerosol</w:t>
      </w:r>
      <w:r w:rsidR="00645FF5">
        <w:t xml:space="preserve"> of </w:t>
      </w:r>
      <w:r w:rsidR="00665E9C">
        <w:t>70 </w:t>
      </w:r>
      <w:r w:rsidR="00645FF5">
        <w:t>mg/m</w:t>
      </w:r>
      <w:r w:rsidR="00645FF5">
        <w:rPr>
          <w:vertAlign w:val="superscript"/>
        </w:rPr>
        <w:t>3</w:t>
      </w:r>
      <w:r w:rsidR="00645FF5">
        <w:t xml:space="preserve"> for upper respiratory irritation </w:t>
      </w:r>
      <w:r>
        <w:t>is reported</w:t>
      </w:r>
      <w:r w:rsidR="00645FF5">
        <w:t xml:space="preserve"> in rats</w:t>
      </w:r>
      <w:r w:rsidR="00536DD7">
        <w:t xml:space="preserve"> exposed via inhalation for 13 weeks</w:t>
      </w:r>
      <w:r w:rsidR="00645FF5">
        <w:t>.</w:t>
      </w:r>
      <w:r w:rsidR="00A74C2C">
        <w:t xml:space="preserve"> </w:t>
      </w:r>
    </w:p>
    <w:p w14:paraId="524ABDCF" w14:textId="2D533553" w:rsidR="00A74C2C" w:rsidRPr="00645FF5" w:rsidRDefault="003833F8" w:rsidP="00645FF5">
      <w:pPr>
        <w:tabs>
          <w:tab w:val="right" w:pos="9026"/>
        </w:tabs>
        <w:rPr>
          <w:rFonts w:cs="Arial"/>
        </w:rPr>
      </w:pPr>
      <w:r>
        <w:t>On weight of evidence, considering all human and animal studies, a TWA of 5 mg/m</w:t>
      </w:r>
      <w:r>
        <w:rPr>
          <w:vertAlign w:val="superscript"/>
        </w:rPr>
        <w:t>3</w:t>
      </w:r>
      <w:r>
        <w:t xml:space="preserve"> is recommended. </w:t>
      </w:r>
      <w:r w:rsidR="00A74C2C">
        <w:t>Th</w:t>
      </w:r>
      <w:r>
        <w:t>is</w:t>
      </w:r>
      <w:r w:rsidR="00A74C2C">
        <w:t xml:space="preserve"> TWA </w:t>
      </w:r>
      <w:r w:rsidR="00D40F32">
        <w:t>is considered</w:t>
      </w:r>
      <w:r w:rsidR="008C25B3">
        <w:t xml:space="preserve"> protective for chronic and short-term irritation </w:t>
      </w:r>
      <w:r w:rsidR="009F2F8C">
        <w:t xml:space="preserve">effects </w:t>
      </w:r>
      <w:r w:rsidR="00665E9C">
        <w:t xml:space="preserve">caused </w:t>
      </w:r>
      <w:r w:rsidR="00665E9C">
        <w:lastRenderedPageBreak/>
        <w:t>by</w:t>
      </w:r>
      <w:r w:rsidR="009F2F8C">
        <w:t xml:space="preserve"> </w:t>
      </w:r>
      <w:r w:rsidR="008C25B3">
        <w:t xml:space="preserve">both dust and vapour </w:t>
      </w:r>
      <w:r w:rsidR="009F2F8C">
        <w:t>exposure</w:t>
      </w:r>
      <w:r w:rsidR="00665E9C">
        <w:t>s</w:t>
      </w:r>
      <w:r w:rsidR="009F2F8C">
        <w:t xml:space="preserve"> in workers.</w:t>
      </w:r>
      <w:r w:rsidR="00536DD7" w:rsidRPr="00536DD7">
        <w:rPr>
          <w:rFonts w:cs="Arial"/>
        </w:rPr>
        <w:t xml:space="preserve"> </w:t>
      </w:r>
      <w:r w:rsidR="00536DD7">
        <w:rPr>
          <w:rFonts w:cs="Arial"/>
        </w:rPr>
        <w:t>The TWA applies</w:t>
      </w:r>
      <w:r w:rsidR="00536DD7" w:rsidRPr="00536DD7">
        <w:rPr>
          <w:rFonts w:cs="Arial"/>
        </w:rPr>
        <w:t xml:space="preserve"> to vapour and dust together because the forms are generally present simultaneously</w:t>
      </w:r>
      <w:r w:rsidR="00536DD7">
        <w:rPr>
          <w:rFonts w:cs="Arial"/>
        </w:rPr>
        <w:t>.</w:t>
      </w:r>
    </w:p>
    <w:p w14:paraId="186087F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A4CD96F" w14:textId="6C318A2A" w:rsidR="00B156D2" w:rsidRPr="00A7369F" w:rsidRDefault="00B156D2" w:rsidP="00B156D2">
      <w:pPr>
        <w:rPr>
          <w:rFonts w:cs="Arial"/>
        </w:rPr>
      </w:pPr>
      <w:r w:rsidRPr="00A7369F">
        <w:rPr>
          <w:rFonts w:cs="Arial"/>
        </w:rPr>
        <w:t>Not classified as a carcinogen according to the Globally Harmonized System of Classification and Labelling o</w:t>
      </w:r>
      <w:r w:rsidR="00DF5268">
        <w:rPr>
          <w:rFonts w:cs="Arial"/>
        </w:rPr>
        <w:t>f</w:t>
      </w:r>
      <w:r w:rsidRPr="00A7369F">
        <w:rPr>
          <w:rFonts w:cs="Arial"/>
        </w:rPr>
        <w:t xml:space="preserve"> Chemicals (GHS). </w:t>
      </w:r>
    </w:p>
    <w:p w14:paraId="013E54D7" w14:textId="77777777" w:rsidR="00B156D2" w:rsidRPr="00A7369F" w:rsidRDefault="00B156D2" w:rsidP="00B156D2">
      <w:pPr>
        <w:rPr>
          <w:rFonts w:cs="Arial"/>
        </w:rPr>
      </w:pPr>
      <w:r w:rsidRPr="00A7369F">
        <w:rPr>
          <w:rFonts w:cs="Arial"/>
        </w:rPr>
        <w:t xml:space="preserve">Not classified as a skin </w:t>
      </w:r>
      <w:r w:rsidR="004A6C9F">
        <w:rPr>
          <w:rFonts w:cs="Arial"/>
        </w:rPr>
        <w:t xml:space="preserve">sensitiser </w:t>
      </w:r>
      <w:r w:rsidRPr="00A7369F">
        <w:rPr>
          <w:rFonts w:cs="Arial"/>
        </w:rPr>
        <w:t>or respiratory sensitiser according to the GHS.</w:t>
      </w:r>
    </w:p>
    <w:p w14:paraId="4F496398" w14:textId="19623E4E" w:rsidR="0025734A" w:rsidRPr="004C23F4" w:rsidRDefault="003B3503" w:rsidP="00B156D2">
      <w:pPr>
        <w:rPr>
          <w:rFonts w:cs="Arial"/>
        </w:rPr>
      </w:pPr>
      <w:r>
        <w:rPr>
          <w:rFonts w:cs="Arial"/>
        </w:rPr>
        <w:t>There are i</w:t>
      </w:r>
      <w:r w:rsidR="00B156D2" w:rsidRPr="00A7369F">
        <w:rPr>
          <w:rFonts w:cs="Arial"/>
        </w:rPr>
        <w:t xml:space="preserve">nsufficient </w:t>
      </w:r>
      <w:r w:rsidR="00777255">
        <w:rPr>
          <w:rFonts w:cs="Arial"/>
        </w:rPr>
        <w:t>data</w:t>
      </w:r>
      <w:r w:rsidR="00B156D2" w:rsidRPr="00A7369F">
        <w:rPr>
          <w:rFonts w:cs="Arial"/>
        </w:rPr>
        <w:t xml:space="preserve"> to recommend a skin notation.</w:t>
      </w:r>
    </w:p>
    <w:p w14:paraId="4D7E8D7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B0706D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79D7D4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741CBF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FDC089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C5CD9" w14:paraId="6C83E11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2399C8A" w14:textId="7DB88AD9" w:rsidR="004D7A94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D7A9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D7A94">
                  <w:t>TWA: 1 mg/m</w:t>
                </w:r>
                <w:r w:rsidR="004D7A94" w:rsidRPr="00D231B7">
                  <w:rPr>
                    <w:vertAlign w:val="superscript"/>
                  </w:rPr>
                  <w:t>3</w:t>
                </w:r>
                <w:r w:rsidR="004D7A94">
                  <w:t>; STEL: 3 mg/m</w:t>
                </w:r>
                <w:r w:rsidR="004D7A94" w:rsidRPr="00D231B7">
                  <w:rPr>
                    <w:vertAlign w:val="superscript"/>
                  </w:rPr>
                  <w:t>3</w:t>
                </w:r>
                <w:r w:rsidR="004D7A94">
                  <w:t xml:space="preserve"> (dust)</w:t>
                </w:r>
              </w:sdtContent>
            </w:sdt>
            <w:r w:rsidR="004D7A94">
              <w:t xml:space="preserve"> </w:t>
            </w:r>
            <w:r w:rsidR="004F443B">
              <w:t>(caprolacta</w:t>
            </w:r>
            <w:r w:rsidR="00607B36">
              <w:t>m)</w:t>
            </w:r>
          </w:p>
          <w:p w14:paraId="0737389F" w14:textId="6F73BA1E" w:rsidR="004D7A94" w:rsidRPr="003C5CD9" w:rsidRDefault="005F62F2" w:rsidP="0081742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firstLine="2857"/>
              <w:rPr>
                <w:lang w:val="it-IT"/>
              </w:rPr>
            </w:pPr>
            <w:sdt>
              <w:sdtPr>
                <w:alias w:val="SWA WES"/>
                <w:tag w:val="SWA WES"/>
                <w:id w:val="-600953141"/>
                <w:placeholder>
                  <w:docPart w:val="9B6EC45241404983B3DF63A6D016C97B"/>
                </w:placeholder>
              </w:sdtPr>
              <w:sdtEndPr/>
              <w:sdtContent>
                <w:r w:rsidR="00854A44" w:rsidRPr="003C5CD9">
                  <w:rPr>
                    <w:lang w:val="it-IT"/>
                  </w:rPr>
                  <w:t>TWA: 10 mg/m</w:t>
                </w:r>
                <w:r w:rsidR="00854A44" w:rsidRPr="003C5CD9">
                  <w:rPr>
                    <w:vertAlign w:val="superscript"/>
                    <w:lang w:val="it-IT"/>
                  </w:rPr>
                  <w:t>3</w:t>
                </w:r>
                <w:r w:rsidR="00854A44" w:rsidRPr="003C5CD9">
                  <w:rPr>
                    <w:lang w:val="it-IT"/>
                  </w:rPr>
                  <w:t>; STEL: 20 mg/m</w:t>
                </w:r>
                <w:r w:rsidR="00854A44" w:rsidRPr="003C5CD9">
                  <w:rPr>
                    <w:vertAlign w:val="superscript"/>
                    <w:lang w:val="it-IT"/>
                  </w:rPr>
                  <w:t>3</w:t>
                </w:r>
                <w:r w:rsidR="00854A44" w:rsidRPr="003C5CD9">
                  <w:rPr>
                    <w:lang w:val="it-IT"/>
                  </w:rPr>
                  <w:t xml:space="preserve"> (</w:t>
                </w:r>
                <w:r w:rsidR="004F443B">
                  <w:rPr>
                    <w:lang w:val="it-IT"/>
                  </w:rPr>
                  <w:t>e-caprolacta</w:t>
                </w:r>
                <w:r w:rsidR="00607B36" w:rsidRPr="003C5CD9">
                  <w:rPr>
                    <w:lang w:val="it-IT"/>
                  </w:rPr>
                  <w:t>m</w:t>
                </w:r>
                <w:r w:rsidR="00854A44" w:rsidRPr="003C5CD9">
                  <w:rPr>
                    <w:lang w:val="it-IT"/>
                  </w:rPr>
                  <w:t>)</w:t>
                </w:r>
              </w:sdtContent>
            </w:sdt>
          </w:p>
        </w:tc>
      </w:tr>
      <w:tr w:rsidR="00C978F0" w:rsidRPr="003C5CD9" w14:paraId="6992341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5FD59A" w14:textId="77777777" w:rsidR="00C978F0" w:rsidRPr="003C5CD9" w:rsidRDefault="00C978F0" w:rsidP="003365A5">
            <w:pPr>
              <w:pStyle w:val="Tabletextprimarysource"/>
              <w:rPr>
                <w:lang w:val="it-IT"/>
              </w:rPr>
            </w:pPr>
          </w:p>
        </w:tc>
      </w:tr>
      <w:tr w:rsidR="00C978F0" w:rsidRPr="00DA352E" w14:paraId="18EA8C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8E5F4B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C05A2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637EE">
                  <w:t>TLV-TWA: 5</w:t>
                </w:r>
                <w:r w:rsidR="0037464A">
                  <w:t xml:space="preserve"> </w:t>
                </w:r>
                <w:r w:rsidR="00E637EE">
                  <w:t>mg/m</w:t>
                </w:r>
                <w:r w:rsidR="00E637EE" w:rsidRPr="00E637EE">
                  <w:rPr>
                    <w:vertAlign w:val="superscript"/>
                  </w:rPr>
                  <w:t>3</w:t>
                </w:r>
                <w:r w:rsidR="004A6C9F">
                  <w:t xml:space="preserve"> </w:t>
                </w:r>
                <w:r w:rsidR="00D54E74">
                  <w:t>(1.08 ppm)</w:t>
                </w:r>
              </w:sdtContent>
            </w:sdt>
          </w:p>
        </w:tc>
      </w:tr>
      <w:tr w:rsidR="00C978F0" w:rsidRPr="00DA352E" w14:paraId="79B3B99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214557" w14:textId="5D36067B" w:rsidR="00C978F0" w:rsidRDefault="005D7BC9" w:rsidP="003365A5">
            <w:pPr>
              <w:pStyle w:val="Tabletextprimarysource"/>
            </w:pPr>
            <w:r>
              <w:t xml:space="preserve">TWA </w:t>
            </w:r>
            <w:r w:rsidR="00607B36">
              <w:t>is</w:t>
            </w:r>
            <w:r>
              <w:t xml:space="preserve"> recommende</w:t>
            </w:r>
            <w:r w:rsidR="00D54E74">
              <w:t>d to protect for mucous membrane, respiratory tract and dermal irritation.</w:t>
            </w:r>
          </w:p>
          <w:p w14:paraId="0C6E0070" w14:textId="77777777" w:rsidR="00D54E74" w:rsidRDefault="00D54E74" w:rsidP="00D54E74">
            <w:pPr>
              <w:pStyle w:val="Tabletextprimarysource"/>
            </w:pPr>
            <w:r>
              <w:t>Summary of data:</w:t>
            </w:r>
          </w:p>
          <w:p w14:paraId="73137677" w14:textId="77777777" w:rsidR="009262B0" w:rsidRDefault="009262B0" w:rsidP="00D54E74">
            <w:pPr>
              <w:pStyle w:val="Tabletextprimarysource"/>
            </w:pPr>
            <w:r>
              <w:t>Significant vapour concentrations would only be expected at elevated temperatures due to low volatility at ordinary temperatures</w:t>
            </w:r>
            <w:r w:rsidR="00B61937">
              <w:t>.</w:t>
            </w:r>
          </w:p>
          <w:p w14:paraId="4CB4B2C2" w14:textId="77777777" w:rsidR="00D54E74" w:rsidRDefault="00D54E74" w:rsidP="00D54E74">
            <w:pPr>
              <w:pStyle w:val="Tabletextprimarysource"/>
            </w:pPr>
            <w:r>
              <w:t>Human data:</w:t>
            </w:r>
          </w:p>
          <w:p w14:paraId="4B3A9C4F" w14:textId="24D4327C" w:rsidR="008F3E24" w:rsidRDefault="008F3E24" w:rsidP="003B35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study of human exposures </w:t>
            </w:r>
            <w:r w:rsidR="00C47722">
              <w:t>to vapours for</w:t>
            </w:r>
            <w:r>
              <w:t xml:space="preserve"> 18 </w:t>
            </w:r>
            <w:r w:rsidR="007D2F63">
              <w:t xml:space="preserve">yr </w:t>
            </w:r>
            <w:r>
              <w:t>noted:</w:t>
            </w:r>
          </w:p>
          <w:p w14:paraId="228B68C1" w14:textId="213DDA77" w:rsidR="00D54E74" w:rsidRDefault="00867F23" w:rsidP="003B350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8F3E24">
              <w:t>o difference in general health between exposed and unexposed workers even with infrequent, brief exposures</w:t>
            </w:r>
            <w:r w:rsidR="008915EB">
              <w:t xml:space="preserve"> </w:t>
            </w:r>
            <w:r w:rsidR="008915EB" w:rsidRPr="005037BD">
              <w:rPr>
                <w:rFonts w:ascii="Cambria Math" w:hAnsi="Cambria Math" w:cs="Cambria Math"/>
              </w:rPr>
              <w:t>≅</w:t>
            </w:r>
            <w:r w:rsidR="008915EB">
              <w:t>100 ppm (vapour)</w:t>
            </w:r>
          </w:p>
          <w:p w14:paraId="593E76B9" w14:textId="2761B1ED" w:rsidR="008915EB" w:rsidRDefault="00867F23" w:rsidP="003B350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</w:t>
            </w:r>
            <w:r w:rsidR="008915EB">
              <w:t xml:space="preserve">ose-related symptoms of severe discomfort from burning nose, throat and eyes occurred with concentrations </w:t>
            </w:r>
            <w:r w:rsidR="008915EB" w:rsidRPr="005037BD">
              <w:rPr>
                <w:rFonts w:ascii="Cambria Math" w:hAnsi="Cambria Math" w:cs="Cambria Math"/>
              </w:rPr>
              <w:t>≅</w:t>
            </w:r>
            <w:r w:rsidR="008915EB">
              <w:t xml:space="preserve">100 ppm; </w:t>
            </w:r>
            <w:r w:rsidR="003F2631">
              <w:t xml:space="preserve">effect severity </w:t>
            </w:r>
            <w:r w:rsidR="000C2B58">
              <w:t>reduced</w:t>
            </w:r>
            <w:r w:rsidR="008915EB">
              <w:t xml:space="preserve"> with decreasing concentrations</w:t>
            </w:r>
          </w:p>
          <w:p w14:paraId="4C5D8367" w14:textId="581C7849" w:rsidR="008915EB" w:rsidRDefault="00796B7B" w:rsidP="003B350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8915EB">
              <w:t xml:space="preserve">o </w:t>
            </w:r>
            <w:r>
              <w:t>reported</w:t>
            </w:r>
            <w:r w:rsidR="008915EB">
              <w:t xml:space="preserve"> eye irritation &lt;25 ppm</w:t>
            </w:r>
          </w:p>
          <w:p w14:paraId="3A86EB59" w14:textId="0E025900" w:rsidR="008915EB" w:rsidRDefault="00796B7B" w:rsidP="003B350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t</w:t>
            </w:r>
            <w:r w:rsidR="008915EB">
              <w:t>ransient nose and throat irritation &gt;10 ppm</w:t>
            </w:r>
          </w:p>
          <w:p w14:paraId="64FF8282" w14:textId="46552F3A" w:rsidR="008915EB" w:rsidRDefault="00796B7B" w:rsidP="003B350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8915EB">
              <w:t xml:space="preserve">o irritation in active and semi-active workers </w:t>
            </w:r>
            <w:r w:rsidR="008915EB">
              <w:rPr>
                <w:rFonts w:cs="Arial"/>
              </w:rPr>
              <w:t>≤</w:t>
            </w:r>
            <w:r w:rsidR="008915EB">
              <w:t>7 ppm (32 mg/m</w:t>
            </w:r>
            <w:r w:rsidR="008915EB">
              <w:rPr>
                <w:vertAlign w:val="superscript"/>
              </w:rPr>
              <w:t>3</w:t>
            </w:r>
            <w:r w:rsidR="008915EB">
              <w:t>)</w:t>
            </w:r>
          </w:p>
          <w:p w14:paraId="393E9283" w14:textId="2E228C1E" w:rsidR="008915EB" w:rsidRDefault="00796B7B" w:rsidP="003B350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D25DE1">
              <w:t>ll responses promptly ceased after vapour exposure stops; contrary to dust or mist exposures</w:t>
            </w:r>
          </w:p>
          <w:p w14:paraId="30878AE6" w14:textId="0A933E0F" w:rsidR="00C47722" w:rsidRDefault="008F34F5" w:rsidP="003B35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The same study looked at those not continually exposed</w:t>
            </w:r>
            <w:r w:rsidR="003F2631">
              <w:t xml:space="preserve"> in the work environment</w:t>
            </w:r>
            <w:r>
              <w:t>, to establish irritant responses and discomfort thresholds and reported n</w:t>
            </w:r>
            <w:r w:rsidR="00C47722">
              <w:t xml:space="preserve">o </w:t>
            </w:r>
            <w:r w:rsidR="00E17034">
              <w:t xml:space="preserve">irritation at levels </w:t>
            </w:r>
            <w:r w:rsidR="007D2F63">
              <w:t>&lt;</w:t>
            </w:r>
            <w:r w:rsidR="00E17034">
              <w:t xml:space="preserve">14 ppm and no </w:t>
            </w:r>
            <w:r w:rsidR="00C47722">
              <w:t>response of any kind in 5 volunteers at &lt;7 ppm</w:t>
            </w:r>
          </w:p>
          <w:p w14:paraId="5AE87531" w14:textId="49FAD6B4" w:rsidR="00C47722" w:rsidRDefault="00C47722" w:rsidP="003B35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study in workers reported complaints of bitter taste</w:t>
            </w:r>
            <w:r w:rsidR="00796B7B">
              <w:t>,</w:t>
            </w:r>
            <w:r>
              <w:t xml:space="preserve"> nervousness</w:t>
            </w:r>
            <w:r w:rsidR="00796B7B">
              <w:t>,</w:t>
            </w:r>
            <w:r>
              <w:t xml:space="preserve"> </w:t>
            </w:r>
            <w:r w:rsidR="003C5CD9">
              <w:t>nosebleed</w:t>
            </w:r>
            <w:r w:rsidR="00796B7B">
              <w:t>,</w:t>
            </w:r>
            <w:r>
              <w:t xml:space="preserve"> upper respiratory inflammation and dry, splitting nose and lips </w:t>
            </w:r>
            <w:r w:rsidR="00796B7B">
              <w:t>at</w:t>
            </w:r>
            <w:r>
              <w:t xml:space="preserve"> a mean airborne </w:t>
            </w:r>
            <w:r w:rsidR="00796B7B">
              <w:t xml:space="preserve">dust </w:t>
            </w:r>
            <w:r>
              <w:t>concentration of 12 ppm (61 mg/m</w:t>
            </w:r>
            <w:r>
              <w:rPr>
                <w:vertAlign w:val="superscript"/>
              </w:rPr>
              <w:t>3</w:t>
            </w:r>
            <w:r>
              <w:t>)</w:t>
            </w:r>
            <w:r w:rsidR="003F2631">
              <w:t>; no further exposure details provided</w:t>
            </w:r>
          </w:p>
          <w:p w14:paraId="49758709" w14:textId="7592184E" w:rsidR="003A2DA5" w:rsidRDefault="00C47722" w:rsidP="004F443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</w:t>
            </w:r>
            <w:r w:rsidR="007D2F63">
              <w:t>t</w:t>
            </w:r>
            <w:r>
              <w:t xml:space="preserve"> demonstrated to be a skin irritant following application of a 5% solution</w:t>
            </w:r>
            <w:r w:rsidR="003A2DA5">
              <w:t>.</w:t>
            </w:r>
          </w:p>
          <w:p w14:paraId="5E44E970" w14:textId="77777777" w:rsidR="00C47722" w:rsidRDefault="00C47722" w:rsidP="00C47722">
            <w:r>
              <w:t>Animal data:</w:t>
            </w:r>
          </w:p>
          <w:p w14:paraId="14BC5804" w14:textId="6B775B8C" w:rsidR="00C47722" w:rsidRDefault="00C47722" w:rsidP="003B35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Guinea pigs exposed </w:t>
            </w:r>
            <w:r w:rsidR="00672E25" w:rsidRPr="004F443B">
              <w:rPr>
                <w:i/>
              </w:rPr>
              <w:t>via</w:t>
            </w:r>
            <w:r w:rsidR="00672E25">
              <w:t xml:space="preserve"> inhalation </w:t>
            </w:r>
            <w:r>
              <w:t>to 51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672E25">
              <w:t xml:space="preserve">(aerosol) </w:t>
            </w:r>
            <w:r>
              <w:t>for 5</w:t>
            </w:r>
            <w:r w:rsidR="00AA628C">
              <w:t>–</w:t>
            </w:r>
            <w:r>
              <w:t>8 h/d for 26</w:t>
            </w:r>
            <w:r w:rsidR="003B3503">
              <w:t>–</w:t>
            </w:r>
            <w:r>
              <w:t>30 d</w:t>
            </w:r>
            <w:r w:rsidR="001431F5">
              <w:t>;</w:t>
            </w:r>
            <w:r>
              <w:t xml:space="preserve"> only slight evidence of nasal irritation</w:t>
            </w:r>
          </w:p>
          <w:p w14:paraId="18893B44" w14:textId="4B18E6F4" w:rsidR="00C47722" w:rsidRDefault="00C47722" w:rsidP="003B35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</w:t>
            </w:r>
            <w:r w:rsidR="001431F5">
              <w:t>whole-body</w:t>
            </w:r>
            <w:r w:rsidR="00672E25">
              <w:t xml:space="preserve"> inhalation </w:t>
            </w:r>
            <w:r>
              <w:t>study in rats exposed for 6 h/d, 5 d/</w:t>
            </w:r>
            <w:proofErr w:type="spellStart"/>
            <w:r>
              <w:t>wk</w:t>
            </w:r>
            <w:proofErr w:type="spellEnd"/>
            <w:r>
              <w:t xml:space="preserve"> for 13 </w:t>
            </w:r>
            <w:proofErr w:type="spellStart"/>
            <w:r>
              <w:t>w</w:t>
            </w:r>
            <w:r w:rsidR="00B61937">
              <w:t>k</w:t>
            </w:r>
            <w:proofErr w:type="spellEnd"/>
            <w:r w:rsidR="00672E25">
              <w:t xml:space="preserve"> (liquid aerosol)</w:t>
            </w:r>
            <w:r>
              <w:t xml:space="preserve"> identified an upper respiratory </w:t>
            </w:r>
            <w:r w:rsidR="00645FF5">
              <w:t xml:space="preserve">irritation </w:t>
            </w:r>
            <w:r>
              <w:t>NOAEL of 70 mg/m</w:t>
            </w:r>
            <w:r>
              <w:rPr>
                <w:vertAlign w:val="superscript"/>
              </w:rPr>
              <w:t>3</w:t>
            </w:r>
            <w:r>
              <w:t xml:space="preserve"> and a</w:t>
            </w:r>
            <w:r w:rsidR="00D02AFF">
              <w:t xml:space="preserve"> systemic toxicity, neurotoxicity and lower respiratory tract effect NOAEL of 243 mg/m</w:t>
            </w:r>
            <w:r w:rsidR="00D02AFF">
              <w:rPr>
                <w:vertAlign w:val="superscript"/>
              </w:rPr>
              <w:t>3</w:t>
            </w:r>
          </w:p>
          <w:p w14:paraId="63B360D0" w14:textId="77777777" w:rsidR="004A3545" w:rsidRDefault="004A3545" w:rsidP="003B35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Not carcinogenic in mice in dietary study; no tumours in guinea pigs injected subcutaneously or rats administered </w:t>
            </w:r>
            <w:r w:rsidRPr="00011D7D">
              <w:rPr>
                <w:i/>
              </w:rPr>
              <w:t>via</w:t>
            </w:r>
            <w:r>
              <w:t xml:space="preserve"> drinking water</w:t>
            </w:r>
          </w:p>
          <w:p w14:paraId="739605D8" w14:textId="0FC18F8B" w:rsidR="00C47722" w:rsidRDefault="00C47722" w:rsidP="003B35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Pr="00C47722">
              <w:t xml:space="preserve">egative </w:t>
            </w:r>
            <w:r w:rsidR="004A3545">
              <w:t xml:space="preserve">results </w:t>
            </w:r>
            <w:r w:rsidRPr="00C47722">
              <w:t>in the guinea pig Modified Buehler and Maximization test</w:t>
            </w:r>
            <w:r w:rsidR="00B61937">
              <w:t>.</w:t>
            </w:r>
          </w:p>
          <w:p w14:paraId="0FAC87F0" w14:textId="77777777" w:rsidR="003A2DA5" w:rsidRDefault="003A2DA5" w:rsidP="00A65783">
            <w:pPr>
              <w:pStyle w:val="ListBullet"/>
              <w:numPr>
                <w:ilvl w:val="0"/>
                <w:numId w:val="0"/>
              </w:numPr>
              <w:ind w:left="1080"/>
            </w:pPr>
          </w:p>
          <w:p w14:paraId="5D6B1A17" w14:textId="77777777" w:rsidR="004A3545" w:rsidRDefault="004A3545" w:rsidP="004A3545">
            <w:pPr>
              <w:pStyle w:val="Tabletextprimarysource"/>
            </w:pPr>
            <w:r>
              <w:t>Not consider</w:t>
            </w:r>
            <w:r w:rsidR="00796B7B">
              <w:t>ed</w:t>
            </w:r>
            <w:r>
              <w:t xml:space="preserve"> genotoxic</w:t>
            </w:r>
            <w:r w:rsidR="00B61937">
              <w:t>.</w:t>
            </w:r>
          </w:p>
          <w:p w14:paraId="70D4D079" w14:textId="6F266D1C" w:rsidR="004A3545" w:rsidRDefault="004A3545" w:rsidP="004A3545">
            <w:pPr>
              <w:pStyle w:val="Tabletextprimarysource"/>
            </w:pPr>
            <w:r>
              <w:t xml:space="preserve">TLV-TWA based on </w:t>
            </w:r>
            <w:r w:rsidR="00FA06F0">
              <w:t>no irritation observed in workers at 7 ppm</w:t>
            </w:r>
            <w:r w:rsidR="0037126A">
              <w:t xml:space="preserve"> (32 mg/m</w:t>
            </w:r>
            <w:r w:rsidR="0037126A">
              <w:rPr>
                <w:vertAlign w:val="superscript"/>
              </w:rPr>
              <w:t>3</w:t>
            </w:r>
            <w:r w:rsidR="0037126A">
              <w:t>)</w:t>
            </w:r>
            <w:r w:rsidR="00FA06F0">
              <w:t xml:space="preserve"> (no </w:t>
            </w:r>
            <w:r w:rsidR="00AA628C">
              <w:t xml:space="preserve">additional </w:t>
            </w:r>
            <w:r w:rsidR="00FA06F0">
              <w:t>information)</w:t>
            </w:r>
            <w:r w:rsidR="00B61937">
              <w:t>.</w:t>
            </w:r>
          </w:p>
          <w:p w14:paraId="2F4EB648" w14:textId="77777777" w:rsidR="004A6C9F" w:rsidRPr="00DA352E" w:rsidRDefault="004A6C9F" w:rsidP="004A3545">
            <w:pPr>
              <w:pStyle w:val="Tabletextprimarysource"/>
            </w:pPr>
          </w:p>
        </w:tc>
      </w:tr>
      <w:tr w:rsidR="00C978F0" w:rsidRPr="00DA352E" w14:paraId="13A3CD7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E433C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34523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34523">
                  <w:t>MAK: 5 mg/m</w:t>
                </w:r>
                <w:r w:rsidR="00434523" w:rsidRPr="0043452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4E5D50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0EE6B1" w14:textId="77777777" w:rsidR="00C978F0" w:rsidRDefault="00FA06F0" w:rsidP="003365A5">
            <w:pPr>
              <w:pStyle w:val="Tabletextprimarysource"/>
            </w:pPr>
            <w:r>
              <w:t>The MAK has been determined based on irritant effe</w:t>
            </w:r>
            <w:r w:rsidR="00BC05A2">
              <w:t>cts</w:t>
            </w:r>
            <w:r w:rsidR="00B61937">
              <w:t>.</w:t>
            </w:r>
          </w:p>
          <w:p w14:paraId="6CB4C334" w14:textId="77777777" w:rsidR="00FA06F0" w:rsidRDefault="00FA06F0" w:rsidP="003365A5">
            <w:pPr>
              <w:pStyle w:val="Tabletextprimarysource"/>
            </w:pPr>
            <w:r>
              <w:t>Summary of additional data:</w:t>
            </w:r>
          </w:p>
          <w:p w14:paraId="6DB196DA" w14:textId="16D9117F" w:rsidR="00FA06F0" w:rsidRDefault="00FA06F0" w:rsidP="003B35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</w:t>
            </w:r>
            <w:r w:rsidRPr="00FA06F0">
              <w:t xml:space="preserve">apply to vapour and dust together </w:t>
            </w:r>
            <w:r>
              <w:t>which is consider appropriate because</w:t>
            </w:r>
            <w:r w:rsidRPr="00FA06F0">
              <w:t xml:space="preserve"> the forms are g</w:t>
            </w:r>
            <w:r>
              <w:t>enerally present simultaneously</w:t>
            </w:r>
          </w:p>
          <w:p w14:paraId="50F517DD" w14:textId="017D8EA0" w:rsidR="00BC05A2" w:rsidRDefault="00BC05A2" w:rsidP="003B35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</w:t>
            </w:r>
            <w:r w:rsidRPr="00BC05A2">
              <w:t>apour:</w:t>
            </w:r>
            <w:r w:rsidR="004F443B">
              <w:t xml:space="preserve"> i</w:t>
            </w:r>
            <w:r w:rsidR="00D40F32">
              <w:t>n humans</w:t>
            </w:r>
            <w:r w:rsidRPr="00BC05A2">
              <w:t xml:space="preserve"> </w:t>
            </w:r>
            <w:r>
              <w:t>33 mg/m</w:t>
            </w:r>
            <w:r w:rsidRPr="00BC05A2">
              <w:rPr>
                <w:vertAlign w:val="superscript"/>
              </w:rPr>
              <w:t>3</w:t>
            </w:r>
            <w:r>
              <w:t xml:space="preserve"> is not irritating, </w:t>
            </w:r>
            <w:r w:rsidRPr="00BC05A2">
              <w:t>56 mg/m</w:t>
            </w:r>
            <w:r w:rsidRPr="00BC05A2">
              <w:rPr>
                <w:vertAlign w:val="superscript"/>
              </w:rPr>
              <w:t>3</w:t>
            </w:r>
            <w:r w:rsidRPr="00BC05A2">
              <w:t xml:space="preserve"> is the </w:t>
            </w:r>
            <w:r w:rsidR="008046A6">
              <w:t>LOEL for irritation</w:t>
            </w:r>
            <w:r w:rsidRPr="00BC05A2">
              <w:t xml:space="preserve"> </w:t>
            </w:r>
            <w:r>
              <w:t>and 66</w:t>
            </w:r>
            <w:r w:rsidR="003B3503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 w:rsidRPr="004F443B">
              <w:t xml:space="preserve"> </w:t>
            </w:r>
            <w:r w:rsidRPr="00BC05A2">
              <w:t>has</w:t>
            </w:r>
            <w:r>
              <w:t xml:space="preserve"> irritant effects on the skin</w:t>
            </w:r>
          </w:p>
          <w:p w14:paraId="65A15E10" w14:textId="020D69BE" w:rsidR="00BC05A2" w:rsidRDefault="00BC05A2" w:rsidP="003B35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Pr="00BC05A2">
              <w:t>ust</w:t>
            </w:r>
            <w:r>
              <w:t xml:space="preserve">: </w:t>
            </w:r>
            <w:r w:rsidR="00D40F32">
              <w:t xml:space="preserve">In humans </w:t>
            </w:r>
            <w:r w:rsidR="008046A6">
              <w:t xml:space="preserve">LOEL </w:t>
            </w:r>
            <w:r>
              <w:t>61 mg/m</w:t>
            </w:r>
            <w:r>
              <w:rPr>
                <w:vertAlign w:val="superscript"/>
              </w:rPr>
              <w:t>3</w:t>
            </w:r>
            <w:r>
              <w:t xml:space="preserve"> irritant effects on mucous membranes and </w:t>
            </w:r>
            <w:r w:rsidRPr="00BC05A2">
              <w:t>84 mg/m</w:t>
            </w:r>
            <w:r w:rsidRPr="00BC05A2">
              <w:rPr>
                <w:vertAlign w:val="superscript"/>
              </w:rPr>
              <w:t>3</w:t>
            </w:r>
            <w:r>
              <w:t xml:space="preserve"> </w:t>
            </w:r>
            <w:r w:rsidRPr="00BC05A2">
              <w:t>has</w:t>
            </w:r>
            <w:r>
              <w:t xml:space="preserve"> irritant effects on the skin</w:t>
            </w:r>
            <w:r w:rsidR="003A2DA5">
              <w:t>.</w:t>
            </w:r>
          </w:p>
          <w:p w14:paraId="7AA27169" w14:textId="77777777" w:rsidR="004A6C9F" w:rsidRPr="00DA352E" w:rsidRDefault="004A6C9F" w:rsidP="00011D7D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D38BF9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2A98E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F769B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0F769B">
                  <w:t>TWA: 10 mg/m</w:t>
                </w:r>
                <w:r w:rsidR="000F769B" w:rsidRPr="000F769B">
                  <w:rPr>
                    <w:vertAlign w:val="superscript"/>
                  </w:rPr>
                  <w:t>3</w:t>
                </w:r>
                <w:r w:rsidR="000F769B">
                  <w:t>; STEL; 40 mg/m</w:t>
                </w:r>
                <w:r w:rsidR="000F769B" w:rsidRPr="000F769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A245CF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19FBDC" w14:textId="77777777" w:rsidR="00C978F0" w:rsidRDefault="0037126A" w:rsidP="003365A5">
            <w:pPr>
              <w:pStyle w:val="Tabletextprimarysource"/>
            </w:pPr>
            <w:r>
              <w:t xml:space="preserve">TWA </w:t>
            </w:r>
            <w:r w:rsidR="00A7369F">
              <w:t>is based on protection of irritant effects</w:t>
            </w:r>
            <w:r w:rsidR="00B61937">
              <w:t>.</w:t>
            </w:r>
          </w:p>
          <w:p w14:paraId="10E00D21" w14:textId="1553F3C0" w:rsidR="00A7369F" w:rsidRDefault="00A7369F" w:rsidP="003365A5">
            <w:pPr>
              <w:pStyle w:val="Tabletextprimarysource"/>
            </w:pPr>
            <w:r>
              <w:t xml:space="preserve">No </w:t>
            </w:r>
            <w:r w:rsidR="00AA628C">
              <w:t xml:space="preserve">additional </w:t>
            </w:r>
            <w:r>
              <w:t>information</w:t>
            </w:r>
            <w:r w:rsidR="00B61937">
              <w:t>.</w:t>
            </w:r>
          </w:p>
          <w:p w14:paraId="7E64552B" w14:textId="77777777" w:rsidR="004A6C9F" w:rsidRPr="00DA352E" w:rsidRDefault="004A6C9F" w:rsidP="003365A5">
            <w:pPr>
              <w:pStyle w:val="Tabletextprimarysource"/>
            </w:pPr>
          </w:p>
        </w:tc>
      </w:tr>
      <w:tr w:rsidR="00DA352E" w:rsidRPr="00DA352E" w14:paraId="0F13F28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00E490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C531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C5311">
                  <w:t>NA</w:t>
                </w:r>
                <w:proofErr w:type="spellEnd"/>
              </w:sdtContent>
            </w:sdt>
          </w:p>
        </w:tc>
      </w:tr>
      <w:tr w:rsidR="00DA352E" w:rsidRPr="00DA352E" w14:paraId="7699052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4BD0E1" w14:textId="77777777" w:rsidR="00DA352E" w:rsidRPr="00DA352E" w:rsidRDefault="000C5311" w:rsidP="003365A5">
            <w:pPr>
              <w:pStyle w:val="Tabletextprimarysource"/>
            </w:pPr>
            <w:r>
              <w:t>No report</w:t>
            </w:r>
            <w:r w:rsidR="00750445">
              <w:t>.</w:t>
            </w:r>
          </w:p>
        </w:tc>
      </w:tr>
      <w:tr w:rsidR="00DA352E" w:rsidRPr="00DA352E" w14:paraId="3107699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688D7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5790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57905">
                  <w:t>NA</w:t>
                </w:r>
                <w:proofErr w:type="spellEnd"/>
              </w:sdtContent>
            </w:sdt>
          </w:p>
        </w:tc>
      </w:tr>
      <w:tr w:rsidR="00DA352E" w:rsidRPr="00DA352E" w14:paraId="0A82D5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46AA684" w14:textId="77777777" w:rsidR="00DA352E" w:rsidRPr="00DA352E" w:rsidRDefault="00957905" w:rsidP="003365A5">
            <w:pPr>
              <w:pStyle w:val="Tabletextprimarysource"/>
            </w:pPr>
            <w:r>
              <w:t>No report</w:t>
            </w:r>
            <w:r w:rsidR="00750445">
              <w:t>.</w:t>
            </w:r>
          </w:p>
        </w:tc>
      </w:tr>
    </w:tbl>
    <w:p w14:paraId="5847FDA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CF067EF" w14:textId="77777777" w:rsidR="007E2A4B" w:rsidRDefault="00750445">
      <w:r>
        <w:t>NIL</w:t>
      </w:r>
      <w:r w:rsidR="000C0456">
        <w:t>.</w:t>
      </w:r>
    </w:p>
    <w:bookmarkEnd w:id="0"/>
    <w:p w14:paraId="6DD01B3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357A6ED" w14:textId="77777777" w:rsidTr="008A4E80">
        <w:trPr>
          <w:trHeight w:val="454"/>
          <w:tblHeader/>
        </w:trPr>
        <w:tc>
          <w:tcPr>
            <w:tcW w:w="6597" w:type="dxa"/>
            <w:vAlign w:val="center"/>
          </w:tcPr>
          <w:p w14:paraId="63B0A2D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A64AD43" w14:textId="77777777" w:rsidR="002E0D61" w:rsidRDefault="008A4E8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410D147" w14:textId="77777777" w:rsidTr="008A4E8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64ABA5CA" w14:textId="77777777" w:rsidR="008A36CF" w:rsidRPr="006901A2" w:rsidRDefault="007D2F6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2804327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43966A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354460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924416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EECF3D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EF049F5" w14:textId="77777777" w:rsidTr="00812887">
        <w:trPr>
          <w:cantSplit/>
        </w:trPr>
        <w:tc>
          <w:tcPr>
            <w:tcW w:w="3227" w:type="dxa"/>
          </w:tcPr>
          <w:p w14:paraId="730EF46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FC2CAF1" w14:textId="77777777" w:rsidR="00687890" w:rsidRPr="00DD2F9B" w:rsidRDefault="00692CD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1CB890C9" w14:textId="77777777" w:rsidTr="00812887">
        <w:trPr>
          <w:cantSplit/>
        </w:trPr>
        <w:tc>
          <w:tcPr>
            <w:tcW w:w="3227" w:type="dxa"/>
          </w:tcPr>
          <w:p w14:paraId="3351FDA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B7C5AE9" w14:textId="77777777" w:rsidR="007925F0" w:rsidRPr="00DD2F9B" w:rsidRDefault="00692CD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CBB371F" w14:textId="77777777" w:rsidTr="00812887">
        <w:trPr>
          <w:cantSplit/>
        </w:trPr>
        <w:tc>
          <w:tcPr>
            <w:tcW w:w="3227" w:type="dxa"/>
          </w:tcPr>
          <w:p w14:paraId="6F97377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7380F9A" w14:textId="77777777" w:rsidR="00AF483F" w:rsidRPr="00DD2F9B" w:rsidRDefault="00692CD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15FF6CA" w14:textId="77777777" w:rsidTr="00812887">
        <w:trPr>
          <w:cantSplit/>
        </w:trPr>
        <w:tc>
          <w:tcPr>
            <w:tcW w:w="3227" w:type="dxa"/>
          </w:tcPr>
          <w:p w14:paraId="153E989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D70F47C" w14:textId="77777777" w:rsidR="00687890" w:rsidRPr="00DD2F9B" w:rsidRDefault="00430B6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C1E7600" w14:textId="77777777" w:rsidTr="00812887">
        <w:trPr>
          <w:cantSplit/>
        </w:trPr>
        <w:tc>
          <w:tcPr>
            <w:tcW w:w="3227" w:type="dxa"/>
          </w:tcPr>
          <w:p w14:paraId="298B70A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56CDB1B" w14:textId="77777777" w:rsidR="00E41A26" w:rsidRPr="00DD2F9B" w:rsidRDefault="00430B6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616D67E" w14:textId="77777777" w:rsidTr="00812887">
        <w:trPr>
          <w:cantSplit/>
        </w:trPr>
        <w:tc>
          <w:tcPr>
            <w:tcW w:w="3227" w:type="dxa"/>
          </w:tcPr>
          <w:p w14:paraId="57A193A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CAA233D" w14:textId="77777777" w:rsidR="002E0D61" w:rsidRPr="00DD2F9B" w:rsidRDefault="003003E1" w:rsidP="00DD2F9B">
            <w:pPr>
              <w:pStyle w:val="Tablefont"/>
            </w:pPr>
            <w:r w:rsidRPr="003003E1">
              <w:t>Carcinogenicity – A5</w:t>
            </w:r>
          </w:p>
        </w:tc>
      </w:tr>
      <w:tr w:rsidR="002E0D61" w:rsidRPr="004C23F4" w14:paraId="0FD3A305" w14:textId="77777777" w:rsidTr="00812887">
        <w:trPr>
          <w:cantSplit/>
        </w:trPr>
        <w:tc>
          <w:tcPr>
            <w:tcW w:w="3227" w:type="dxa"/>
          </w:tcPr>
          <w:p w14:paraId="452F790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9424EBE" w14:textId="77777777" w:rsidR="002E0D61" w:rsidRPr="00DD2F9B" w:rsidRDefault="00B0533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A22C01B" w14:textId="77777777" w:rsidTr="00812887">
        <w:trPr>
          <w:cantSplit/>
        </w:trPr>
        <w:tc>
          <w:tcPr>
            <w:tcW w:w="3227" w:type="dxa"/>
          </w:tcPr>
          <w:p w14:paraId="4521C20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B1E07EC" w14:textId="77777777" w:rsidR="002E0D61" w:rsidRPr="00DD2F9B" w:rsidRDefault="00B0533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73089C9" w14:textId="77777777" w:rsidTr="00812887">
        <w:trPr>
          <w:cantSplit/>
        </w:trPr>
        <w:tc>
          <w:tcPr>
            <w:tcW w:w="3227" w:type="dxa"/>
          </w:tcPr>
          <w:p w14:paraId="7230775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85F32E6" w14:textId="77777777" w:rsidR="002E0D61" w:rsidRPr="00DD2F9B" w:rsidRDefault="00B0533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401B394" w14:textId="77777777" w:rsidTr="00812887">
        <w:trPr>
          <w:cantSplit/>
        </w:trPr>
        <w:tc>
          <w:tcPr>
            <w:tcW w:w="3227" w:type="dxa"/>
          </w:tcPr>
          <w:p w14:paraId="6C228A88" w14:textId="77777777" w:rsidR="004079B4" w:rsidRDefault="00386093" w:rsidP="00F4402E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6015" w:type="dxa"/>
          </w:tcPr>
          <w:p w14:paraId="04296B30" w14:textId="77777777" w:rsidR="00386093" w:rsidRPr="00DD2F9B" w:rsidRDefault="00EF78EB" w:rsidP="00DD2F9B">
            <w:pPr>
              <w:pStyle w:val="Tablefont"/>
            </w:pPr>
            <w:r w:rsidRPr="00EF78EB">
              <w:t>Carcinogenicity – Group 3</w:t>
            </w:r>
          </w:p>
        </w:tc>
      </w:tr>
      <w:tr w:rsidR="00386093" w:rsidRPr="004C23F4" w14:paraId="2E2692F8" w14:textId="77777777" w:rsidTr="00812887">
        <w:trPr>
          <w:cantSplit/>
        </w:trPr>
        <w:tc>
          <w:tcPr>
            <w:tcW w:w="3227" w:type="dxa"/>
          </w:tcPr>
          <w:p w14:paraId="105315E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E7AF56F" w14:textId="77777777" w:rsidR="00386093" w:rsidRPr="00DD2F9B" w:rsidRDefault="00B0533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8E1004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AD5330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D31345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013A86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AAFCE5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3B2BAA9" w14:textId="77777777" w:rsidR="00932DCE" w:rsidRPr="004C23F4" w:rsidRDefault="00B61937" w:rsidP="00F9496B">
            <w:pPr>
              <w:pStyle w:val="Tablefont"/>
            </w:pPr>
            <w:r w:rsidRPr="00B61937">
              <w:t>Insufficient data to assign a skin notation</w:t>
            </w:r>
          </w:p>
        </w:tc>
      </w:tr>
    </w:tbl>
    <w:bookmarkEnd w:id="3"/>
    <w:p w14:paraId="258CD85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02A833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7548CE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1AE20BA" w14:textId="77777777" w:rsidR="00EB3D1B" w:rsidRDefault="00807B5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9F8DAB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C624C8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AEBF42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9033DAF" w14:textId="77777777" w:rsidR="001B79E5" w:rsidRDefault="00720866" w:rsidP="001B79E5">
                <w:pPr>
                  <w:pStyle w:val="Tablefont"/>
                </w:pPr>
                <w:r>
                  <w:t>113.16</w:t>
                </w:r>
              </w:p>
            </w:tc>
          </w:sdtContent>
        </w:sdt>
      </w:tr>
      <w:tr w:rsidR="00A31D99" w:rsidRPr="004C23F4" w14:paraId="4BC0954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21E846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7C92C9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C006FC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2B279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099EC0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D9B7EA6" w14:textId="77777777" w:rsidTr="00EA6243">
        <w:trPr>
          <w:cantSplit/>
        </w:trPr>
        <w:tc>
          <w:tcPr>
            <w:tcW w:w="4077" w:type="dxa"/>
            <w:vAlign w:val="center"/>
          </w:tcPr>
          <w:p w14:paraId="57CE129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AB31A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905DBA2" w14:textId="77777777" w:rsidTr="00EA6243">
        <w:trPr>
          <w:cantSplit/>
        </w:trPr>
        <w:tc>
          <w:tcPr>
            <w:tcW w:w="4077" w:type="dxa"/>
            <w:vAlign w:val="center"/>
          </w:tcPr>
          <w:p w14:paraId="715670A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C2BD7E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74DF9D4" w14:textId="77777777" w:rsidTr="00EA6243">
        <w:trPr>
          <w:cantSplit/>
        </w:trPr>
        <w:tc>
          <w:tcPr>
            <w:tcW w:w="4077" w:type="dxa"/>
            <w:vAlign w:val="center"/>
          </w:tcPr>
          <w:p w14:paraId="50C7AA3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6DA146B" w14:textId="77777777" w:rsidR="00E06F40" w:rsidRPr="00A006A0" w:rsidRDefault="005F62F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576134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81D355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DCD8B4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16483B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5A373C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393C66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72F88E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A9DC18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11569BF" w14:textId="77777777" w:rsidR="007F1005" w:rsidRPr="00817421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 w:rsidRPr="007D2F63">
          <w:rPr>
            <w:rStyle w:val="Hyperlink"/>
            <w:i/>
            <w:color w:val="auto"/>
          </w:rPr>
          <w:t>TLVs</w:t>
        </w:r>
        <w:r w:rsidRPr="007D2F63">
          <w:rPr>
            <w:rStyle w:val="Hyperlink"/>
            <w:i/>
            <w:color w:val="auto"/>
            <w:vertAlign w:val="superscript"/>
          </w:rPr>
          <w:t>®</w:t>
        </w:r>
        <w:r w:rsidRPr="007D2F63">
          <w:rPr>
            <w:rStyle w:val="Hyperlink"/>
            <w:i/>
            <w:color w:val="auto"/>
          </w:rPr>
          <w:t xml:space="preserve"> and BEIs</w:t>
        </w:r>
        <w:r w:rsidRPr="007D2F63">
          <w:rPr>
            <w:rStyle w:val="Hyperlink"/>
            <w:i/>
            <w:color w:val="auto"/>
            <w:vertAlign w:val="superscript"/>
          </w:rPr>
          <w:t>®</w:t>
        </w:r>
        <w:r w:rsidRPr="007D2F63">
          <w:rPr>
            <w:rStyle w:val="Hyperlink"/>
            <w:i/>
            <w:color w:val="auto"/>
          </w:rPr>
          <w:t xml:space="preserve"> Guidelines section</w:t>
        </w:r>
      </w:hyperlink>
      <w:r w:rsidRPr="00817421">
        <w:t xml:space="preserve"> on the ACGIH website.</w:t>
      </w:r>
    </w:p>
    <w:p w14:paraId="5D86B634" w14:textId="77777777" w:rsidR="00D8111A" w:rsidRPr="00817421" w:rsidRDefault="00D8111A" w:rsidP="00084859">
      <w:r w:rsidRPr="00817421">
        <w:t xml:space="preserve">Deutsche </w:t>
      </w:r>
      <w:proofErr w:type="spellStart"/>
      <w:r w:rsidRPr="00817421">
        <w:t>Forschungsgemeinschaft</w:t>
      </w:r>
      <w:proofErr w:type="spellEnd"/>
      <w:r w:rsidRPr="00817421">
        <w:t xml:space="preserve"> (DFG) (</w:t>
      </w:r>
      <w:sdt>
        <w:sdtPr>
          <w:id w:val="1836950179"/>
          <w:placeholder>
            <w:docPart w:val="CBDE4D5DBA0F48AE9BFBE829676C2779"/>
          </w:placeholder>
          <w:temporary/>
          <w:showingPlcHdr/>
        </w:sdtPr>
        <w:sdtEndPr/>
        <w:sdtContent>
          <w:r w:rsidRPr="007D2F63">
            <w:t>2002</w:t>
          </w:r>
        </w:sdtContent>
      </w:sdt>
      <w:r w:rsidRPr="00817421">
        <w:t xml:space="preserve">) </w:t>
      </w:r>
      <w:r w:rsidR="00661103" w:rsidRPr="00817421">
        <w:rPr>
          <w:rFonts w:ascii="GreekC" w:hAnsi="GreekC" w:cs="GreekC"/>
        </w:rPr>
        <w:t>e</w:t>
      </w:r>
      <w:r w:rsidR="00661103" w:rsidRPr="00817421">
        <w:t>-Caprolactam</w:t>
      </w:r>
      <w:r w:rsidRPr="00817421">
        <w:t xml:space="preserve"> – MAK value documentation.</w:t>
      </w:r>
    </w:p>
    <w:p w14:paraId="1408BF70" w14:textId="13E170B3" w:rsidR="00D8111A" w:rsidRDefault="00D8111A" w:rsidP="00084859">
      <w:r w:rsidRPr="007D2F63">
        <w:t>EU Scientific Committee on Occupational Exposure Limits (SCOEL</w:t>
      </w:r>
      <w:r w:rsidRPr="002022B6">
        <w:t>)</w:t>
      </w:r>
      <w:r>
        <w:t xml:space="preserve"> (</w:t>
      </w:r>
      <w:r w:rsidR="009D4253">
        <w:t>1995</w:t>
      </w:r>
      <w:r>
        <w:t xml:space="preserve">) Recommendation from the Scientific Committee on Occupational Exposure Limits for </w:t>
      </w:r>
      <w:r w:rsidR="00C33298">
        <w:rPr>
          <w:rFonts w:cs="Arial"/>
        </w:rPr>
        <w:t>e</w:t>
      </w:r>
      <w:r w:rsidR="009D4253" w:rsidRPr="009D4253">
        <w:t>-Caprolactam</w:t>
      </w:r>
      <w:r w:rsidR="00BC069B">
        <w:t>. S</w:t>
      </w:r>
      <w:r>
        <w:t>E</w:t>
      </w:r>
      <w:r w:rsidR="00BC069B">
        <w:t>G</w:t>
      </w:r>
      <w:r>
        <w:t>/</w:t>
      </w:r>
      <w:r w:rsidR="00BC069B">
        <w:t>SUM/67</w:t>
      </w:r>
      <w:r>
        <w:t>.</w:t>
      </w:r>
    </w:p>
    <w:p w14:paraId="2EA4D74C" w14:textId="77777777" w:rsidR="00D8111A" w:rsidRDefault="00D8111A" w:rsidP="00084859">
      <w:r w:rsidRPr="00D8111A">
        <w:t>International Agency for Research on Cancer (IARC) (1999) Volume 71 re-evaluation of some organic chemicals, hydrazine and hydrogen peroxide. IARC Monographs on the evaluation of the carcinogenic risk to humans.</w:t>
      </w:r>
    </w:p>
    <w:p w14:paraId="04E44D83" w14:textId="41C7DAFE" w:rsidR="00D8111A" w:rsidRPr="00351FE0" w:rsidRDefault="00D8111A" w:rsidP="00084859"/>
    <w:sectPr w:rsidR="00D8111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C9FBE" w14:textId="77777777" w:rsidR="00F722DA" w:rsidRDefault="00F722DA" w:rsidP="00F43AD5">
      <w:pPr>
        <w:spacing w:after="0" w:line="240" w:lineRule="auto"/>
      </w:pPr>
      <w:r>
        <w:separator/>
      </w:r>
    </w:p>
  </w:endnote>
  <w:endnote w:type="continuationSeparator" w:id="0">
    <w:p w14:paraId="6AC8DD92" w14:textId="77777777" w:rsidR="00F722DA" w:rsidRDefault="00F722D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ekC">
    <w:altName w:val="Courier New"/>
    <w:charset w:val="00"/>
    <w:family w:val="auto"/>
    <w:pitch w:val="variable"/>
    <w:sig w:usb0="00000000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D3A6B0E" w14:textId="0C1288DB" w:rsidR="008A36CF" w:rsidRDefault="004746A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Caprolactam</w:t>
        </w:r>
        <w:r w:rsidR="008431A6">
          <w:rPr>
            <w:b/>
            <w:sz w:val="18"/>
            <w:szCs w:val="18"/>
          </w:rPr>
          <w:t xml:space="preserve"> (dust and vapour, inc</w:t>
        </w:r>
        <w:r w:rsidR="00796B7B">
          <w:rPr>
            <w:b/>
            <w:sz w:val="18"/>
            <w:szCs w:val="18"/>
          </w:rPr>
          <w:t>l</w:t>
        </w:r>
        <w:r w:rsidR="008431A6">
          <w:rPr>
            <w:b/>
            <w:sz w:val="18"/>
            <w:szCs w:val="18"/>
          </w:rPr>
          <w:t>. e-caprolact</w:t>
        </w:r>
        <w:r w:rsidR="00796B7B">
          <w:rPr>
            <w:b/>
            <w:sz w:val="18"/>
            <w:szCs w:val="18"/>
          </w:rPr>
          <w:t>a</w:t>
        </w:r>
        <w:r w:rsidR="008431A6">
          <w:rPr>
            <w:b/>
            <w:sz w:val="18"/>
            <w:szCs w:val="18"/>
          </w:rPr>
          <w:t>m)</w:t>
        </w:r>
        <w:r w:rsidR="008A36CF">
          <w:rPr>
            <w:b/>
            <w:sz w:val="18"/>
            <w:szCs w:val="18"/>
          </w:rPr>
          <w:t xml:space="preserve"> (</w:t>
        </w:r>
        <w:r w:rsidR="002B17A6" w:rsidRPr="002B17A6">
          <w:rPr>
            <w:b/>
            <w:sz w:val="18"/>
            <w:szCs w:val="18"/>
          </w:rPr>
          <w:t>105-60-2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529D9B8" w14:textId="7018811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715F8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BF4BC" w14:textId="77777777" w:rsidR="00F722DA" w:rsidRDefault="00F722DA" w:rsidP="00F43AD5">
      <w:pPr>
        <w:spacing w:after="0" w:line="240" w:lineRule="auto"/>
      </w:pPr>
      <w:r>
        <w:separator/>
      </w:r>
    </w:p>
  </w:footnote>
  <w:footnote w:type="continuationSeparator" w:id="0">
    <w:p w14:paraId="2F8E952D" w14:textId="77777777" w:rsidR="00F722DA" w:rsidRDefault="00F722D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D3A65" w14:textId="13063C9E" w:rsidR="004715F8" w:rsidRDefault="004715F8" w:rsidP="004715F8">
    <w:pPr>
      <w:pStyle w:val="Header"/>
      <w:jc w:val="right"/>
    </w:pPr>
    <w:r>
      <w:rPr>
        <w:noProof/>
        <w:lang w:eastAsia="en-AU"/>
      </w:rPr>
      <w:drawing>
        <wp:inline distT="0" distB="0" distL="0" distR="0" wp14:anchorId="17462E9B" wp14:editId="7A769D56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5C8A5C" w14:textId="449B668E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4E0F5" w14:textId="0922061E" w:rsidR="004715F8" w:rsidRDefault="004715F8" w:rsidP="004715F8">
    <w:pPr>
      <w:pStyle w:val="Header"/>
      <w:jc w:val="right"/>
    </w:pPr>
    <w:r>
      <w:rPr>
        <w:noProof/>
        <w:lang w:eastAsia="en-AU"/>
      </w:rPr>
      <w:drawing>
        <wp:inline distT="0" distB="0" distL="0" distR="0" wp14:anchorId="61471748" wp14:editId="7F54FDCB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145D9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C96B6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492B74"/>
    <w:multiLevelType w:val="hybridMultilevel"/>
    <w:tmpl w:val="855829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11765261">
    <w:abstractNumId w:val="0"/>
  </w:num>
  <w:num w:numId="2" w16cid:durableId="674187497">
    <w:abstractNumId w:val="1"/>
  </w:num>
  <w:num w:numId="3" w16cid:durableId="1700428181">
    <w:abstractNumId w:val="0"/>
  </w:num>
  <w:num w:numId="4" w16cid:durableId="141316472">
    <w:abstractNumId w:val="0"/>
  </w:num>
  <w:num w:numId="5" w16cid:durableId="229778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D7D"/>
    <w:rsid w:val="00013A22"/>
    <w:rsid w:val="00014C3F"/>
    <w:rsid w:val="00017C82"/>
    <w:rsid w:val="00032B88"/>
    <w:rsid w:val="00040C19"/>
    <w:rsid w:val="0004110E"/>
    <w:rsid w:val="00046DF5"/>
    <w:rsid w:val="00052060"/>
    <w:rsid w:val="0005574A"/>
    <w:rsid w:val="00055FE1"/>
    <w:rsid w:val="00056EC2"/>
    <w:rsid w:val="0005709F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456"/>
    <w:rsid w:val="000C096D"/>
    <w:rsid w:val="000C139A"/>
    <w:rsid w:val="000C2053"/>
    <w:rsid w:val="000C248C"/>
    <w:rsid w:val="000C2B58"/>
    <w:rsid w:val="000C5311"/>
    <w:rsid w:val="000D0351"/>
    <w:rsid w:val="000D291C"/>
    <w:rsid w:val="000E5A54"/>
    <w:rsid w:val="000E63D3"/>
    <w:rsid w:val="000E67CF"/>
    <w:rsid w:val="000F769B"/>
    <w:rsid w:val="0010461E"/>
    <w:rsid w:val="00106FAA"/>
    <w:rsid w:val="00113443"/>
    <w:rsid w:val="001269A7"/>
    <w:rsid w:val="00131092"/>
    <w:rsid w:val="00140E6A"/>
    <w:rsid w:val="0014171F"/>
    <w:rsid w:val="001431F5"/>
    <w:rsid w:val="00146545"/>
    <w:rsid w:val="00146B75"/>
    <w:rsid w:val="00147920"/>
    <w:rsid w:val="001501F0"/>
    <w:rsid w:val="0015266D"/>
    <w:rsid w:val="0015288A"/>
    <w:rsid w:val="00160F47"/>
    <w:rsid w:val="00177CA1"/>
    <w:rsid w:val="00183823"/>
    <w:rsid w:val="00183942"/>
    <w:rsid w:val="00187E1B"/>
    <w:rsid w:val="00191810"/>
    <w:rsid w:val="0019449A"/>
    <w:rsid w:val="001A009E"/>
    <w:rsid w:val="001A1287"/>
    <w:rsid w:val="001A3859"/>
    <w:rsid w:val="001A3C9D"/>
    <w:rsid w:val="001A43F8"/>
    <w:rsid w:val="001B79E5"/>
    <w:rsid w:val="001C09BE"/>
    <w:rsid w:val="001C5AB7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5E6A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0B93"/>
    <w:rsid w:val="00263255"/>
    <w:rsid w:val="00276494"/>
    <w:rsid w:val="00277B0C"/>
    <w:rsid w:val="00291CBA"/>
    <w:rsid w:val="002B17A6"/>
    <w:rsid w:val="002B1A2C"/>
    <w:rsid w:val="002C34F2"/>
    <w:rsid w:val="002C58FF"/>
    <w:rsid w:val="002C7AFE"/>
    <w:rsid w:val="002D05D2"/>
    <w:rsid w:val="002E0D61"/>
    <w:rsid w:val="002E4C7B"/>
    <w:rsid w:val="002E76FC"/>
    <w:rsid w:val="003003E1"/>
    <w:rsid w:val="0030740C"/>
    <w:rsid w:val="00315025"/>
    <w:rsid w:val="00315833"/>
    <w:rsid w:val="003215EE"/>
    <w:rsid w:val="003224BF"/>
    <w:rsid w:val="003241A8"/>
    <w:rsid w:val="003253F0"/>
    <w:rsid w:val="00331602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126A"/>
    <w:rsid w:val="0037464A"/>
    <w:rsid w:val="003833F8"/>
    <w:rsid w:val="00386093"/>
    <w:rsid w:val="003904A4"/>
    <w:rsid w:val="00391841"/>
    <w:rsid w:val="00391B6D"/>
    <w:rsid w:val="00394922"/>
    <w:rsid w:val="003A0E32"/>
    <w:rsid w:val="003A2B94"/>
    <w:rsid w:val="003A2DA5"/>
    <w:rsid w:val="003B3503"/>
    <w:rsid w:val="003B387D"/>
    <w:rsid w:val="003C0D58"/>
    <w:rsid w:val="003C3BE1"/>
    <w:rsid w:val="003C5CD9"/>
    <w:rsid w:val="003D4FA3"/>
    <w:rsid w:val="003E0807"/>
    <w:rsid w:val="003E51FB"/>
    <w:rsid w:val="003E6B39"/>
    <w:rsid w:val="003E6D9B"/>
    <w:rsid w:val="003F07E1"/>
    <w:rsid w:val="003F2631"/>
    <w:rsid w:val="004030BC"/>
    <w:rsid w:val="00403F7D"/>
    <w:rsid w:val="00406785"/>
    <w:rsid w:val="004079B4"/>
    <w:rsid w:val="00417A56"/>
    <w:rsid w:val="00420957"/>
    <w:rsid w:val="00422A10"/>
    <w:rsid w:val="00430179"/>
    <w:rsid w:val="00430B69"/>
    <w:rsid w:val="00434523"/>
    <w:rsid w:val="004414B5"/>
    <w:rsid w:val="00444482"/>
    <w:rsid w:val="00444B42"/>
    <w:rsid w:val="00445E44"/>
    <w:rsid w:val="004509E2"/>
    <w:rsid w:val="004515EE"/>
    <w:rsid w:val="004529F0"/>
    <w:rsid w:val="00460A03"/>
    <w:rsid w:val="004709E1"/>
    <w:rsid w:val="004715F8"/>
    <w:rsid w:val="00472A11"/>
    <w:rsid w:val="00472AAD"/>
    <w:rsid w:val="004746A5"/>
    <w:rsid w:val="00474E33"/>
    <w:rsid w:val="00476803"/>
    <w:rsid w:val="00477286"/>
    <w:rsid w:val="00485BFD"/>
    <w:rsid w:val="004867A2"/>
    <w:rsid w:val="004873F2"/>
    <w:rsid w:val="00490D4C"/>
    <w:rsid w:val="00493A35"/>
    <w:rsid w:val="0049527A"/>
    <w:rsid w:val="004966BF"/>
    <w:rsid w:val="00497984"/>
    <w:rsid w:val="004A3545"/>
    <w:rsid w:val="004A5088"/>
    <w:rsid w:val="004A6C9F"/>
    <w:rsid w:val="004B4415"/>
    <w:rsid w:val="004C1E3F"/>
    <w:rsid w:val="004C23F4"/>
    <w:rsid w:val="004C3475"/>
    <w:rsid w:val="004C58B6"/>
    <w:rsid w:val="004C7649"/>
    <w:rsid w:val="004D16A3"/>
    <w:rsid w:val="004D4AA1"/>
    <w:rsid w:val="004D6D68"/>
    <w:rsid w:val="004D7A94"/>
    <w:rsid w:val="004E5EDD"/>
    <w:rsid w:val="004F443B"/>
    <w:rsid w:val="004F448A"/>
    <w:rsid w:val="004F493D"/>
    <w:rsid w:val="004F65E8"/>
    <w:rsid w:val="0050005E"/>
    <w:rsid w:val="00502B88"/>
    <w:rsid w:val="00512DDC"/>
    <w:rsid w:val="005142C4"/>
    <w:rsid w:val="0051509C"/>
    <w:rsid w:val="005272E2"/>
    <w:rsid w:val="0053108F"/>
    <w:rsid w:val="00532B56"/>
    <w:rsid w:val="00534B10"/>
    <w:rsid w:val="00536DD7"/>
    <w:rsid w:val="005446A2"/>
    <w:rsid w:val="00544D2F"/>
    <w:rsid w:val="00551BD8"/>
    <w:rsid w:val="0055452C"/>
    <w:rsid w:val="005658C3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7BC9"/>
    <w:rsid w:val="005E6979"/>
    <w:rsid w:val="005E75CB"/>
    <w:rsid w:val="005F4D38"/>
    <w:rsid w:val="005F62F2"/>
    <w:rsid w:val="006013C1"/>
    <w:rsid w:val="0060669E"/>
    <w:rsid w:val="00607B36"/>
    <w:rsid w:val="00610F2E"/>
    <w:rsid w:val="00611399"/>
    <w:rsid w:val="00624C4E"/>
    <w:rsid w:val="00625200"/>
    <w:rsid w:val="006313A2"/>
    <w:rsid w:val="006363A8"/>
    <w:rsid w:val="00636DB7"/>
    <w:rsid w:val="00645FF5"/>
    <w:rsid w:val="00650905"/>
    <w:rsid w:val="006532ED"/>
    <w:rsid w:val="006549F2"/>
    <w:rsid w:val="006567B7"/>
    <w:rsid w:val="00657BFB"/>
    <w:rsid w:val="00661103"/>
    <w:rsid w:val="0066333C"/>
    <w:rsid w:val="006639B4"/>
    <w:rsid w:val="006650FE"/>
    <w:rsid w:val="00665E9C"/>
    <w:rsid w:val="00672E25"/>
    <w:rsid w:val="0067305D"/>
    <w:rsid w:val="00677D9B"/>
    <w:rsid w:val="006867F3"/>
    <w:rsid w:val="00687890"/>
    <w:rsid w:val="006901A2"/>
    <w:rsid w:val="00690368"/>
    <w:rsid w:val="0069079C"/>
    <w:rsid w:val="00690B53"/>
    <w:rsid w:val="00692CD8"/>
    <w:rsid w:val="00695B72"/>
    <w:rsid w:val="006B160A"/>
    <w:rsid w:val="006B4073"/>
    <w:rsid w:val="006B4E6C"/>
    <w:rsid w:val="006B50B6"/>
    <w:rsid w:val="006D04D0"/>
    <w:rsid w:val="006D5107"/>
    <w:rsid w:val="006D79EA"/>
    <w:rsid w:val="006E5D05"/>
    <w:rsid w:val="00701053"/>
    <w:rsid w:val="00701507"/>
    <w:rsid w:val="00714021"/>
    <w:rsid w:val="00716A0F"/>
    <w:rsid w:val="00717D45"/>
    <w:rsid w:val="00720866"/>
    <w:rsid w:val="007208F7"/>
    <w:rsid w:val="007218AF"/>
    <w:rsid w:val="007365D1"/>
    <w:rsid w:val="00740E0E"/>
    <w:rsid w:val="00750212"/>
    <w:rsid w:val="00750445"/>
    <w:rsid w:val="00754779"/>
    <w:rsid w:val="0075716D"/>
    <w:rsid w:val="00765F14"/>
    <w:rsid w:val="007705FF"/>
    <w:rsid w:val="00770E31"/>
    <w:rsid w:val="007770F1"/>
    <w:rsid w:val="00777255"/>
    <w:rsid w:val="007801E9"/>
    <w:rsid w:val="00780695"/>
    <w:rsid w:val="00783FB1"/>
    <w:rsid w:val="00785CDD"/>
    <w:rsid w:val="00791847"/>
    <w:rsid w:val="007925F0"/>
    <w:rsid w:val="007939B3"/>
    <w:rsid w:val="0079509C"/>
    <w:rsid w:val="00796708"/>
    <w:rsid w:val="00796B7B"/>
    <w:rsid w:val="007B1B42"/>
    <w:rsid w:val="007C30EB"/>
    <w:rsid w:val="007D2F63"/>
    <w:rsid w:val="007D60CA"/>
    <w:rsid w:val="007E063C"/>
    <w:rsid w:val="007E2A4B"/>
    <w:rsid w:val="007E307D"/>
    <w:rsid w:val="007E6A4E"/>
    <w:rsid w:val="007E6C94"/>
    <w:rsid w:val="007F1005"/>
    <w:rsid w:val="007F25E0"/>
    <w:rsid w:val="007F5328"/>
    <w:rsid w:val="008046A6"/>
    <w:rsid w:val="00804F5A"/>
    <w:rsid w:val="00807B56"/>
    <w:rsid w:val="00810C6D"/>
    <w:rsid w:val="00810EB7"/>
    <w:rsid w:val="00812887"/>
    <w:rsid w:val="00816AE9"/>
    <w:rsid w:val="00817421"/>
    <w:rsid w:val="00826F21"/>
    <w:rsid w:val="00834CC8"/>
    <w:rsid w:val="00835E00"/>
    <w:rsid w:val="00837113"/>
    <w:rsid w:val="008414E4"/>
    <w:rsid w:val="008431A6"/>
    <w:rsid w:val="00843E21"/>
    <w:rsid w:val="0084508E"/>
    <w:rsid w:val="00854A44"/>
    <w:rsid w:val="00857A8A"/>
    <w:rsid w:val="008630EE"/>
    <w:rsid w:val="00864D13"/>
    <w:rsid w:val="00867F23"/>
    <w:rsid w:val="00871CD5"/>
    <w:rsid w:val="008745A2"/>
    <w:rsid w:val="008768A8"/>
    <w:rsid w:val="0088798F"/>
    <w:rsid w:val="00887E4B"/>
    <w:rsid w:val="008915C8"/>
    <w:rsid w:val="008915EB"/>
    <w:rsid w:val="008A36CF"/>
    <w:rsid w:val="008A3BC4"/>
    <w:rsid w:val="008A4E80"/>
    <w:rsid w:val="008B403C"/>
    <w:rsid w:val="008B7983"/>
    <w:rsid w:val="008C2511"/>
    <w:rsid w:val="008C25B3"/>
    <w:rsid w:val="008D026D"/>
    <w:rsid w:val="008D23AB"/>
    <w:rsid w:val="008D4B8B"/>
    <w:rsid w:val="008D5A78"/>
    <w:rsid w:val="008E7B64"/>
    <w:rsid w:val="008F1AF2"/>
    <w:rsid w:val="008F34F5"/>
    <w:rsid w:val="008F3E24"/>
    <w:rsid w:val="008F5DCD"/>
    <w:rsid w:val="00900951"/>
    <w:rsid w:val="009118A6"/>
    <w:rsid w:val="00916909"/>
    <w:rsid w:val="00916EC0"/>
    <w:rsid w:val="00920467"/>
    <w:rsid w:val="00920E95"/>
    <w:rsid w:val="00921DE7"/>
    <w:rsid w:val="00924634"/>
    <w:rsid w:val="009262B0"/>
    <w:rsid w:val="0093041A"/>
    <w:rsid w:val="00930714"/>
    <w:rsid w:val="00931B03"/>
    <w:rsid w:val="009323B9"/>
    <w:rsid w:val="00932DCE"/>
    <w:rsid w:val="0093327E"/>
    <w:rsid w:val="00934028"/>
    <w:rsid w:val="0093760E"/>
    <w:rsid w:val="00940E37"/>
    <w:rsid w:val="00946044"/>
    <w:rsid w:val="0094660B"/>
    <w:rsid w:val="00946A33"/>
    <w:rsid w:val="0095260E"/>
    <w:rsid w:val="009578DD"/>
    <w:rsid w:val="00957905"/>
    <w:rsid w:val="00961124"/>
    <w:rsid w:val="009621B6"/>
    <w:rsid w:val="009748C1"/>
    <w:rsid w:val="00974F2D"/>
    <w:rsid w:val="00977524"/>
    <w:rsid w:val="00977E88"/>
    <w:rsid w:val="00984920"/>
    <w:rsid w:val="0098790A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4253"/>
    <w:rsid w:val="009D4618"/>
    <w:rsid w:val="009E0C05"/>
    <w:rsid w:val="009E0D1C"/>
    <w:rsid w:val="009E2214"/>
    <w:rsid w:val="009E355A"/>
    <w:rsid w:val="009E63E2"/>
    <w:rsid w:val="009F04D2"/>
    <w:rsid w:val="009F05CF"/>
    <w:rsid w:val="009F0F3A"/>
    <w:rsid w:val="009F2F8C"/>
    <w:rsid w:val="00A01D0C"/>
    <w:rsid w:val="00A040BF"/>
    <w:rsid w:val="00A0643F"/>
    <w:rsid w:val="00A067EE"/>
    <w:rsid w:val="00A10FCE"/>
    <w:rsid w:val="00A16D91"/>
    <w:rsid w:val="00A174CC"/>
    <w:rsid w:val="00A2073D"/>
    <w:rsid w:val="00A20751"/>
    <w:rsid w:val="00A24D5B"/>
    <w:rsid w:val="00A27E2D"/>
    <w:rsid w:val="00A31D99"/>
    <w:rsid w:val="00A32258"/>
    <w:rsid w:val="00A357BA"/>
    <w:rsid w:val="00A35ADC"/>
    <w:rsid w:val="00A402A3"/>
    <w:rsid w:val="00A53681"/>
    <w:rsid w:val="00A633D4"/>
    <w:rsid w:val="00A6461A"/>
    <w:rsid w:val="00A65783"/>
    <w:rsid w:val="00A66289"/>
    <w:rsid w:val="00A7369F"/>
    <w:rsid w:val="00A74C2C"/>
    <w:rsid w:val="00A84504"/>
    <w:rsid w:val="00A8672F"/>
    <w:rsid w:val="00A92334"/>
    <w:rsid w:val="00A93057"/>
    <w:rsid w:val="00A968B0"/>
    <w:rsid w:val="00AA628C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5337"/>
    <w:rsid w:val="00B1422A"/>
    <w:rsid w:val="00B156D2"/>
    <w:rsid w:val="00B1765C"/>
    <w:rsid w:val="00B213C4"/>
    <w:rsid w:val="00B34577"/>
    <w:rsid w:val="00B40C60"/>
    <w:rsid w:val="00B479A9"/>
    <w:rsid w:val="00B52EDF"/>
    <w:rsid w:val="00B61937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B7123"/>
    <w:rsid w:val="00BC05A2"/>
    <w:rsid w:val="00BC069B"/>
    <w:rsid w:val="00BD499F"/>
    <w:rsid w:val="00BD56DE"/>
    <w:rsid w:val="00BF2406"/>
    <w:rsid w:val="00C06E43"/>
    <w:rsid w:val="00C16315"/>
    <w:rsid w:val="00C3091E"/>
    <w:rsid w:val="00C33298"/>
    <w:rsid w:val="00C40FF1"/>
    <w:rsid w:val="00C419E2"/>
    <w:rsid w:val="00C47722"/>
    <w:rsid w:val="00C5020E"/>
    <w:rsid w:val="00C57452"/>
    <w:rsid w:val="00C61EDF"/>
    <w:rsid w:val="00C6239D"/>
    <w:rsid w:val="00C62CF5"/>
    <w:rsid w:val="00C6594B"/>
    <w:rsid w:val="00C67FFB"/>
    <w:rsid w:val="00C7155E"/>
    <w:rsid w:val="00C71A65"/>
    <w:rsid w:val="00C71D1E"/>
    <w:rsid w:val="00C71D7D"/>
    <w:rsid w:val="00C74833"/>
    <w:rsid w:val="00C850A0"/>
    <w:rsid w:val="00C85A86"/>
    <w:rsid w:val="00C86676"/>
    <w:rsid w:val="00C978F0"/>
    <w:rsid w:val="00CA58FE"/>
    <w:rsid w:val="00CB1CB1"/>
    <w:rsid w:val="00CB6BC1"/>
    <w:rsid w:val="00CB6CB8"/>
    <w:rsid w:val="00CC1A68"/>
    <w:rsid w:val="00CC2123"/>
    <w:rsid w:val="00CD2BFD"/>
    <w:rsid w:val="00CD623B"/>
    <w:rsid w:val="00CE5AD6"/>
    <w:rsid w:val="00CE617F"/>
    <w:rsid w:val="00CE78EF"/>
    <w:rsid w:val="00D02AFF"/>
    <w:rsid w:val="00D048F7"/>
    <w:rsid w:val="00D0517E"/>
    <w:rsid w:val="00D10F8F"/>
    <w:rsid w:val="00D140FC"/>
    <w:rsid w:val="00D21D8C"/>
    <w:rsid w:val="00D231B7"/>
    <w:rsid w:val="00D25857"/>
    <w:rsid w:val="00D25DE1"/>
    <w:rsid w:val="00D31357"/>
    <w:rsid w:val="00D33220"/>
    <w:rsid w:val="00D334D1"/>
    <w:rsid w:val="00D40F32"/>
    <w:rsid w:val="00D44C89"/>
    <w:rsid w:val="00D516CD"/>
    <w:rsid w:val="00D54E74"/>
    <w:rsid w:val="00D668E6"/>
    <w:rsid w:val="00D70670"/>
    <w:rsid w:val="00D74D80"/>
    <w:rsid w:val="00D76624"/>
    <w:rsid w:val="00D8111A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399A"/>
    <w:rsid w:val="00DF5268"/>
    <w:rsid w:val="00DF6048"/>
    <w:rsid w:val="00DF6F36"/>
    <w:rsid w:val="00E0084C"/>
    <w:rsid w:val="00E025AB"/>
    <w:rsid w:val="00E02B23"/>
    <w:rsid w:val="00E06F40"/>
    <w:rsid w:val="00E07CE8"/>
    <w:rsid w:val="00E17034"/>
    <w:rsid w:val="00E26A07"/>
    <w:rsid w:val="00E32595"/>
    <w:rsid w:val="00E36F0E"/>
    <w:rsid w:val="00E37CFD"/>
    <w:rsid w:val="00E41A26"/>
    <w:rsid w:val="00E46BCB"/>
    <w:rsid w:val="00E51CAF"/>
    <w:rsid w:val="00E553D1"/>
    <w:rsid w:val="00E60F04"/>
    <w:rsid w:val="00E62AAC"/>
    <w:rsid w:val="00E637EE"/>
    <w:rsid w:val="00E673DF"/>
    <w:rsid w:val="00E67C2F"/>
    <w:rsid w:val="00E67EF5"/>
    <w:rsid w:val="00E804EA"/>
    <w:rsid w:val="00E80A71"/>
    <w:rsid w:val="00E82337"/>
    <w:rsid w:val="00E92499"/>
    <w:rsid w:val="00E949AF"/>
    <w:rsid w:val="00E96077"/>
    <w:rsid w:val="00EA0112"/>
    <w:rsid w:val="00EA0A06"/>
    <w:rsid w:val="00EA6243"/>
    <w:rsid w:val="00EA74AB"/>
    <w:rsid w:val="00EB3D1B"/>
    <w:rsid w:val="00EC7087"/>
    <w:rsid w:val="00ED1D89"/>
    <w:rsid w:val="00ED66BC"/>
    <w:rsid w:val="00EF233A"/>
    <w:rsid w:val="00EF303E"/>
    <w:rsid w:val="00EF3A40"/>
    <w:rsid w:val="00EF78EB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0484"/>
    <w:rsid w:val="00F54315"/>
    <w:rsid w:val="00F56DD0"/>
    <w:rsid w:val="00F620CB"/>
    <w:rsid w:val="00F6491C"/>
    <w:rsid w:val="00F67BBB"/>
    <w:rsid w:val="00F722DA"/>
    <w:rsid w:val="00F87D92"/>
    <w:rsid w:val="00F90AA7"/>
    <w:rsid w:val="00F92498"/>
    <w:rsid w:val="00F9496B"/>
    <w:rsid w:val="00F970C9"/>
    <w:rsid w:val="00FA06A8"/>
    <w:rsid w:val="00FA06F0"/>
    <w:rsid w:val="00FA3DF5"/>
    <w:rsid w:val="00FA741F"/>
    <w:rsid w:val="00FB4E07"/>
    <w:rsid w:val="00FB755A"/>
    <w:rsid w:val="00FC046A"/>
    <w:rsid w:val="00FC60A2"/>
    <w:rsid w:val="00FC7EF9"/>
    <w:rsid w:val="00FD1871"/>
    <w:rsid w:val="00FD3110"/>
    <w:rsid w:val="00FE3712"/>
    <w:rsid w:val="00FF286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9A1D73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262B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619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93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193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9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1937"/>
    <w:rPr>
      <w:b/>
      <w:bCs/>
      <w:szCs w:val="20"/>
    </w:rPr>
  </w:style>
  <w:style w:type="paragraph" w:styleId="Revision">
    <w:name w:val="Revision"/>
    <w:hidden/>
    <w:uiPriority w:val="99"/>
    <w:semiHidden/>
    <w:rsid w:val="00AA62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3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9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0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6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4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50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BDE4D5DBA0F48AE9BFBE829676C27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3CFBD-68D0-433C-82C0-A19938EB5DBF}"/>
      </w:docPartPr>
      <w:docPartBody>
        <w:p w:rsidR="00EC04F7" w:rsidRDefault="007676C7" w:rsidP="007676C7">
          <w:pPr>
            <w:pStyle w:val="CBDE4D5DBA0F48AE9BFBE829676C2779"/>
          </w:pPr>
          <w:r w:rsidRPr="00DA129F">
            <w:rPr>
              <w:color w:val="00B050"/>
            </w:rPr>
            <w:t>20</w:t>
          </w:r>
          <w:r>
            <w:rPr>
              <w:color w:val="00B050"/>
            </w:rPr>
            <w:t>02</w:t>
          </w:r>
        </w:p>
      </w:docPartBody>
    </w:docPart>
    <w:docPart>
      <w:docPartPr>
        <w:name w:val="9B6EC45241404983B3DF63A6D016C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0C92D-D9CE-45F6-8EBF-564832671A92}"/>
      </w:docPartPr>
      <w:docPartBody>
        <w:p w:rsidR="008C7235" w:rsidRDefault="00B54747" w:rsidP="00B54747">
          <w:pPr>
            <w:pStyle w:val="9B6EC45241404983B3DF63A6D016C97B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ekC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57733"/>
    <w:rsid w:val="00492123"/>
    <w:rsid w:val="004B4415"/>
    <w:rsid w:val="007676C7"/>
    <w:rsid w:val="00816AE9"/>
    <w:rsid w:val="008C7235"/>
    <w:rsid w:val="00935629"/>
    <w:rsid w:val="00A03DD2"/>
    <w:rsid w:val="00B54747"/>
    <w:rsid w:val="00D21A9F"/>
    <w:rsid w:val="00EC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474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BDE4D5DBA0F48AE9BFBE829676C2779">
    <w:name w:val="CBDE4D5DBA0F48AE9BFBE829676C2779"/>
    <w:rsid w:val="007676C7"/>
    <w:rPr>
      <w:lang w:val="en-US" w:eastAsia="en-US"/>
    </w:rPr>
  </w:style>
  <w:style w:type="paragraph" w:customStyle="1" w:styleId="9B6EC45241404983B3DF63A6D016C97B">
    <w:name w:val="9B6EC45241404983B3DF63A6D016C97B"/>
    <w:rsid w:val="00B54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F50547-4008-4D3C-9073-108D33E5D4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a0509f21-ed56-4150-9955-96be669e5f2d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4C6AC1-A095-459F-AEA7-4C226EEBC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16</cp:revision>
  <cp:lastPrinted>2018-10-22T22:41:00Z</cp:lastPrinted>
  <dcterms:created xsi:type="dcterms:W3CDTF">2019-09-03T19:30:00Z</dcterms:created>
  <dcterms:modified xsi:type="dcterms:W3CDTF">2026-01-09T00:10:00Z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2025-12-18T06:07:29Z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1db51998-08fc-4c9b-a86e-15bde407137c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