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6A9FB69" w14:textId="77777777" w:rsidR="00BD499F" w:rsidRPr="004C23F4" w:rsidRDefault="0095021E" w:rsidP="002F0405">
          <w:pPr>
            <w:pStyle w:val="Heading1"/>
            <w:jc w:val="center"/>
          </w:pPr>
          <w:r>
            <w:t>Camphor, synthetic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77C3531F" w14:textId="77777777" w:rsidTr="00B76A41">
        <w:trPr>
          <w:cantSplit/>
          <w:tblHeader/>
        </w:trPr>
        <w:tc>
          <w:tcPr>
            <w:tcW w:w="4077" w:type="dxa"/>
          </w:tcPr>
          <w:p w14:paraId="421EA69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CE8BDBA" w14:textId="77777777" w:rsidR="00F43AD5" w:rsidRPr="00717D45" w:rsidRDefault="0095021E" w:rsidP="00B76A41">
            <w:pPr>
              <w:pStyle w:val="Tablefont"/>
            </w:pPr>
            <w:r>
              <w:t>76-22-2</w:t>
            </w:r>
          </w:p>
        </w:tc>
      </w:tr>
      <w:tr w:rsidR="00F43AD5" w:rsidRPr="004C23F4" w14:paraId="39A10607" w14:textId="77777777" w:rsidTr="00B76A41">
        <w:trPr>
          <w:cantSplit/>
        </w:trPr>
        <w:tc>
          <w:tcPr>
            <w:tcW w:w="4077" w:type="dxa"/>
          </w:tcPr>
          <w:p w14:paraId="1B58C23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1EF4C5" w14:textId="77777777" w:rsidR="00F43AD5" w:rsidRPr="00717D45" w:rsidRDefault="00F52C1B" w:rsidP="00B76A41">
            <w:pPr>
              <w:pStyle w:val="Tablefont"/>
            </w:pPr>
            <w:r w:rsidRPr="00C91D05">
              <w:t>Bornan-2-one</w:t>
            </w:r>
            <w:r w:rsidR="00562BAC" w:rsidRPr="00C91D05">
              <w:t>, 2-bornanone, 2-camphanone</w:t>
            </w:r>
            <w:r w:rsidR="00BF531F" w:rsidRPr="00C91D05">
              <w:t>, 2-keto-1, 7, 7</w:t>
            </w:r>
            <w:r w:rsidR="00F53608" w:rsidRPr="00C91D05">
              <w:t xml:space="preserve"> 7-trimethylnorcamphane, </w:t>
            </w:r>
            <w:r w:rsidR="00C7193B">
              <w:br/>
            </w:r>
            <w:r w:rsidR="00F53608" w:rsidRPr="00C91D05">
              <w:t>1,7,</w:t>
            </w:r>
            <w:r w:rsidR="000D1F69" w:rsidRPr="00C91D05">
              <w:t>7, -</w:t>
            </w:r>
            <w:proofErr w:type="spellStart"/>
            <w:r w:rsidR="00F53608" w:rsidRPr="00C91D05">
              <w:t>trimethylnorcamphor</w:t>
            </w:r>
            <w:proofErr w:type="spellEnd"/>
            <w:r w:rsidR="00F53608" w:rsidRPr="00C91D05">
              <w:t xml:space="preserve">, </w:t>
            </w:r>
          </w:p>
        </w:tc>
      </w:tr>
      <w:tr w:rsidR="00F43AD5" w:rsidRPr="004C23F4" w14:paraId="632283BA" w14:textId="77777777" w:rsidTr="00B76A41">
        <w:trPr>
          <w:cantSplit/>
        </w:trPr>
        <w:tc>
          <w:tcPr>
            <w:tcW w:w="4077" w:type="dxa"/>
          </w:tcPr>
          <w:p w14:paraId="717119E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AFC7BB5" w14:textId="77777777" w:rsidR="00F43AD5" w:rsidRPr="00717D45" w:rsidRDefault="00950EDE" w:rsidP="00B76A41">
            <w:pPr>
              <w:pStyle w:val="Tablefont"/>
            </w:pPr>
            <w:r>
              <w:t>C</w:t>
            </w:r>
            <w:r w:rsidRPr="00950EDE">
              <w:rPr>
                <w:vertAlign w:val="subscript"/>
              </w:rPr>
              <w:t>10</w:t>
            </w:r>
            <w:r>
              <w:t>H</w:t>
            </w:r>
            <w:r w:rsidRPr="00950EDE">
              <w:rPr>
                <w:vertAlign w:val="subscript"/>
              </w:rPr>
              <w:t>16</w:t>
            </w:r>
            <w:r>
              <w:t>O</w:t>
            </w:r>
          </w:p>
        </w:tc>
      </w:tr>
      <w:tr w:rsidR="00F43AD5" w:rsidRPr="004C23F4" w14:paraId="182F22D0" w14:textId="77777777" w:rsidTr="00B76A41">
        <w:trPr>
          <w:cantSplit/>
        </w:trPr>
        <w:tc>
          <w:tcPr>
            <w:tcW w:w="4077" w:type="dxa"/>
          </w:tcPr>
          <w:p w14:paraId="3E24608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497A204" w14:textId="77777777" w:rsidR="00F43AD5" w:rsidRPr="00B40C60" w:rsidRDefault="00645A2F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357313E" w14:textId="66B7B58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3752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FAE93B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30913C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E47B319" w14:textId="77777777" w:rsidR="002C7AFE" w:rsidRPr="00EB3D1B" w:rsidRDefault="007B14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(12 mg/m</w:t>
            </w:r>
            <w:r w:rsidRPr="007B14D6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773AA28" w14:textId="77777777" w:rsidTr="00921DE7">
        <w:trPr>
          <w:cantSplit/>
        </w:trPr>
        <w:tc>
          <w:tcPr>
            <w:tcW w:w="4077" w:type="dxa"/>
            <w:vAlign w:val="center"/>
          </w:tcPr>
          <w:p w14:paraId="3765677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83FECFE" w14:textId="627AE3A7" w:rsidR="002C7AFE" w:rsidRPr="00EB3D1B" w:rsidRDefault="00C3752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D360D1D" w14:textId="77777777" w:rsidTr="00921DE7">
        <w:trPr>
          <w:cantSplit/>
        </w:trPr>
        <w:tc>
          <w:tcPr>
            <w:tcW w:w="4077" w:type="dxa"/>
            <w:vAlign w:val="center"/>
          </w:tcPr>
          <w:p w14:paraId="0B53B13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4C2B8BE" w14:textId="77777777" w:rsidR="002C7AFE" w:rsidRPr="00EB3D1B" w:rsidRDefault="006253ED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C87596C" w14:textId="77777777" w:rsidTr="00A2073D">
        <w:trPr>
          <w:cantSplit/>
        </w:trPr>
        <w:tc>
          <w:tcPr>
            <w:tcW w:w="4077" w:type="dxa"/>
          </w:tcPr>
          <w:p w14:paraId="7DA2054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BB226CD" w14:textId="1F7C7661" w:rsidR="002C7AFE" w:rsidRPr="00B4470C" w:rsidRDefault="00B4470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2C7AFE" w:rsidRPr="004C23F4" w14:paraId="4A93CA82" w14:textId="77777777" w:rsidTr="00921DE7">
        <w:trPr>
          <w:cantSplit/>
        </w:trPr>
        <w:tc>
          <w:tcPr>
            <w:tcW w:w="4077" w:type="dxa"/>
            <w:vAlign w:val="center"/>
          </w:tcPr>
          <w:p w14:paraId="3F7E3AA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89C2DBE" w14:textId="54AC1DCF" w:rsidR="002C7AFE" w:rsidRPr="00A47B26" w:rsidRDefault="00A47B26" w:rsidP="00C12986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1,200 ppm </w:t>
            </w:r>
          </w:p>
        </w:tc>
      </w:tr>
      <w:tr w:rsidR="009F04D2" w:rsidRPr="004C23F4" w14:paraId="716761D8" w14:textId="77777777" w:rsidTr="00C12986">
        <w:trPr>
          <w:cantSplit/>
        </w:trPr>
        <w:tc>
          <w:tcPr>
            <w:tcW w:w="4077" w:type="dxa"/>
          </w:tcPr>
          <w:p w14:paraId="22CCBA11" w14:textId="77777777" w:rsidR="009F04D2" w:rsidRDefault="009F04D2" w:rsidP="00C12986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30AD3AD" w14:textId="122A01F4" w:rsidR="009F04D2" w:rsidRPr="00C12986" w:rsidRDefault="00537D45" w:rsidP="00221EA2">
            <w:pPr>
              <w:pStyle w:val="Tablefont"/>
            </w:pPr>
            <w:r w:rsidRPr="00C12986">
              <w:t xml:space="preserve">The recommended value is quantifiable through available sampling and analysis techniques. </w:t>
            </w:r>
          </w:p>
        </w:tc>
      </w:tr>
    </w:tbl>
    <w:p w14:paraId="26219F0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2DF4155" w14:textId="77777777" w:rsidR="006639B4" w:rsidRDefault="007B14D6" w:rsidP="000C139A">
      <w:pPr>
        <w:rPr>
          <w:rFonts w:cs="Arial"/>
        </w:rPr>
      </w:pPr>
      <w:r w:rsidRPr="007B14D6">
        <w:rPr>
          <w:rFonts w:cs="Arial"/>
        </w:rPr>
        <w:t xml:space="preserve">A TWA of </w:t>
      </w:r>
      <w:r>
        <w:rPr>
          <w:rFonts w:cs="Arial"/>
        </w:rPr>
        <w:t>2</w:t>
      </w:r>
      <w:r w:rsidRPr="007B14D6">
        <w:rPr>
          <w:rFonts w:cs="Arial"/>
        </w:rPr>
        <w:t xml:space="preserve"> ppm (</w:t>
      </w:r>
      <w:r>
        <w:rPr>
          <w:rFonts w:cs="Arial"/>
        </w:rPr>
        <w:t>12</w:t>
      </w:r>
      <w:r w:rsidRPr="007B14D6">
        <w:rPr>
          <w:rFonts w:cs="Arial"/>
        </w:rPr>
        <w:t xml:space="preserve"> mg/m</w:t>
      </w:r>
      <w:r w:rsidRPr="005B4063">
        <w:rPr>
          <w:rFonts w:cs="Arial"/>
          <w:vertAlign w:val="superscript"/>
        </w:rPr>
        <w:t>3</w:t>
      </w:r>
      <w:r w:rsidRPr="007B14D6">
        <w:rPr>
          <w:rFonts w:cs="Arial"/>
        </w:rPr>
        <w:t xml:space="preserve">) is </w:t>
      </w:r>
      <w:r w:rsidR="00E15ADE">
        <w:rPr>
          <w:rFonts w:cs="Arial"/>
        </w:rPr>
        <w:t>recommended</w:t>
      </w:r>
      <w:r w:rsidR="00E15ADE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for irritation of the nose and eyes </w:t>
      </w:r>
      <w:r w:rsidR="005B4063" w:rsidRPr="005B4063">
        <w:rPr>
          <w:rFonts w:cs="Arial"/>
        </w:rPr>
        <w:t xml:space="preserve">in </w:t>
      </w:r>
      <w:r w:rsidR="00D973B7" w:rsidRPr="005B4063">
        <w:rPr>
          <w:rFonts w:eastAsia="Calibri" w:cs="Times New Roman"/>
        </w:rPr>
        <w:t xml:space="preserve">exposed </w:t>
      </w:r>
      <w:r w:rsidR="005B4063" w:rsidRPr="005B4063">
        <w:rPr>
          <w:rFonts w:eastAsia="Calibri" w:cs="Times New Roman"/>
        </w:rPr>
        <w:t>workers</w:t>
      </w:r>
      <w:r w:rsidR="005B4063" w:rsidRPr="005B4063">
        <w:rPr>
          <w:rFonts w:cs="Arial"/>
        </w:rPr>
        <w:t>.</w:t>
      </w:r>
    </w:p>
    <w:p w14:paraId="79DA5FFF" w14:textId="7CBD2FC7" w:rsidR="005B4063" w:rsidRDefault="00C3752E" w:rsidP="000C139A">
      <w:pPr>
        <w:rPr>
          <w:rFonts w:eastAsia="Calibri" w:cs="Times New Roman"/>
        </w:rPr>
      </w:pPr>
      <w:r>
        <w:rPr>
          <w:rFonts w:eastAsia="Calibri" w:cs="Times New Roman"/>
        </w:rPr>
        <w:t>There is insufficient data about immediate and severe effects to support a STEL. Therefore, it is recommended that the STEL be withdrawn.</w:t>
      </w:r>
    </w:p>
    <w:p w14:paraId="49A1BF3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D32358A" w14:textId="7BFD62A4" w:rsidR="00C7193B" w:rsidRDefault="00C7193B" w:rsidP="006639B4">
      <w:pPr>
        <w:rPr>
          <w:rFonts w:cs="Arial"/>
        </w:rPr>
      </w:pPr>
      <w:r>
        <w:rPr>
          <w:rFonts w:cs="Arial"/>
        </w:rPr>
        <w:t>Synthetic c</w:t>
      </w:r>
      <w:r w:rsidR="00E763E9">
        <w:rPr>
          <w:rFonts w:cs="Arial"/>
        </w:rPr>
        <w:t xml:space="preserve">amphor </w:t>
      </w:r>
      <w:r w:rsidR="004E4532">
        <w:rPr>
          <w:rFonts w:cs="Arial"/>
        </w:rPr>
        <w:t>is</w:t>
      </w:r>
      <w:r w:rsidR="000B5A5E">
        <w:rPr>
          <w:rFonts w:cs="Arial"/>
        </w:rPr>
        <w:t xml:space="preserve"> primarily</w:t>
      </w:r>
      <w:r w:rsidR="004E4532">
        <w:rPr>
          <w:rFonts w:cs="Arial"/>
        </w:rPr>
        <w:t xml:space="preserve"> used as a plasticis</w:t>
      </w:r>
      <w:r w:rsidR="00E763E9" w:rsidRPr="00E763E9">
        <w:rPr>
          <w:rFonts w:cs="Arial"/>
        </w:rPr>
        <w:t>er</w:t>
      </w:r>
      <w:r w:rsidR="00736609">
        <w:rPr>
          <w:rFonts w:cs="Arial"/>
        </w:rPr>
        <w:t xml:space="preserve"> </w:t>
      </w:r>
      <w:r w:rsidR="000B5A5E">
        <w:rPr>
          <w:rFonts w:cs="Arial"/>
        </w:rPr>
        <w:t>for cellulose esters and ethers</w:t>
      </w:r>
      <w:r w:rsidR="00C12986">
        <w:rPr>
          <w:rFonts w:cs="Arial"/>
        </w:rPr>
        <w:t xml:space="preserve"> which are in turn</w:t>
      </w:r>
      <w:r w:rsidR="000B5A5E">
        <w:rPr>
          <w:rFonts w:cs="Arial"/>
        </w:rPr>
        <w:t xml:space="preserve"> used in a range of industrial applications and processes. </w:t>
      </w:r>
    </w:p>
    <w:p w14:paraId="6A3CD9AE" w14:textId="2F86A74D" w:rsidR="00267BC8" w:rsidRPr="00267BC8" w:rsidRDefault="00ED4920" w:rsidP="006639B4">
      <w:r>
        <w:t xml:space="preserve">The data available </w:t>
      </w:r>
      <w:r w:rsidR="00C12986">
        <w:t xml:space="preserve">relating to </w:t>
      </w:r>
      <w:r>
        <w:t>irritation as the critical effect is conflicting. It is a</w:t>
      </w:r>
      <w:r w:rsidR="0009434D">
        <w:t>n</w:t>
      </w:r>
      <w:r>
        <w:t xml:space="preserve"> </w:t>
      </w:r>
      <w:r w:rsidR="00FE19C3">
        <w:t>irritant to</w:t>
      </w:r>
      <w:r w:rsidR="001620B5">
        <w:t xml:space="preserve"> the</w:t>
      </w:r>
      <w:r w:rsidR="00FE19C3">
        <w:t xml:space="preserve"> eyes and nose </w:t>
      </w:r>
      <w:r w:rsidR="00C7193B">
        <w:t xml:space="preserve">and </w:t>
      </w:r>
      <w:r w:rsidR="00C12986">
        <w:t xml:space="preserve">exposure to </w:t>
      </w:r>
      <w:r w:rsidR="00C7193B">
        <w:t xml:space="preserve">high concentrations can result in adverse effects on the central nervous system </w:t>
      </w:r>
      <w:r w:rsidR="00FE19C3">
        <w:t>(ACGIH</w:t>
      </w:r>
      <w:r w:rsidR="00E15ADE">
        <w:t>,</w:t>
      </w:r>
      <w:r w:rsidR="00FE19C3">
        <w:t xml:space="preserve"> 20</w:t>
      </w:r>
      <w:r w:rsidR="00CD7269">
        <w:t>18</w:t>
      </w:r>
      <w:r w:rsidR="00FE19C3">
        <w:t>)</w:t>
      </w:r>
      <w:r w:rsidR="00645A2F">
        <w:t>.</w:t>
      </w:r>
      <w:r w:rsidR="00C7193B">
        <w:t xml:space="preserve"> </w:t>
      </w:r>
      <w:r>
        <w:t xml:space="preserve">No irritation </w:t>
      </w:r>
      <w:r w:rsidR="00331C4A">
        <w:t xml:space="preserve">or sensory </w:t>
      </w:r>
      <w:r>
        <w:t xml:space="preserve">effects </w:t>
      </w:r>
      <w:r w:rsidR="00C12986">
        <w:t xml:space="preserve">are </w:t>
      </w:r>
      <w:r>
        <w:t xml:space="preserve">reported in a </w:t>
      </w:r>
      <w:r w:rsidR="00C12986">
        <w:t>study of workers</w:t>
      </w:r>
      <w:r w:rsidR="00B4266B">
        <w:t xml:space="preserve"> </w:t>
      </w:r>
      <w:r w:rsidR="00DC5A2A">
        <w:t>exposed</w:t>
      </w:r>
      <w:r w:rsidR="00C7193B">
        <w:t xml:space="preserve"> to less than</w:t>
      </w:r>
      <w:r w:rsidR="00A47B26">
        <w:t xml:space="preserve"> </w:t>
      </w:r>
      <w:r w:rsidR="00A47B26" w:rsidRPr="00A47B26">
        <w:t>2</w:t>
      </w:r>
      <w:r w:rsidR="007F0547">
        <w:t xml:space="preserve"> </w:t>
      </w:r>
      <w:r w:rsidR="00A47B26" w:rsidRPr="00A47B26">
        <w:t>ppm</w:t>
      </w:r>
      <w:r w:rsidR="00C7193B">
        <w:t xml:space="preserve"> </w:t>
      </w:r>
      <w:r w:rsidR="00DC5A2A" w:rsidRPr="00A47B26">
        <w:t xml:space="preserve">for </w:t>
      </w:r>
      <w:r w:rsidR="00A26BBD" w:rsidRPr="00A47B26">
        <w:t>five</w:t>
      </w:r>
      <w:r w:rsidR="00DC5A2A">
        <w:t xml:space="preserve"> </w:t>
      </w:r>
      <w:r>
        <w:t xml:space="preserve">days a week for up to 10 months. </w:t>
      </w:r>
      <w:r w:rsidR="00581F62">
        <w:t>E</w:t>
      </w:r>
      <w:r w:rsidR="006C2434">
        <w:t>xposures ranging from</w:t>
      </w:r>
      <w:r>
        <w:t xml:space="preserve"> </w:t>
      </w:r>
      <w:r w:rsidR="005C50C5">
        <w:t xml:space="preserve">15 to 21 ppm </w:t>
      </w:r>
      <w:r w:rsidR="006C2434">
        <w:t xml:space="preserve">were </w:t>
      </w:r>
      <w:r>
        <w:t xml:space="preserve">reported to cause mild </w:t>
      </w:r>
      <w:r w:rsidR="006C2434">
        <w:t>eye irritation</w:t>
      </w:r>
      <w:r>
        <w:t xml:space="preserve"> and drowsiness</w:t>
      </w:r>
      <w:r w:rsidR="005C50C5">
        <w:t xml:space="preserve"> (DFG, 2013)</w:t>
      </w:r>
      <w:r w:rsidR="00DC5A2A">
        <w:t>.</w:t>
      </w:r>
    </w:p>
    <w:p w14:paraId="3B77CD4A" w14:textId="554E42D7" w:rsidR="00267BC8" w:rsidRDefault="006965CE" w:rsidP="006639B4">
      <w:r>
        <w:t>T</w:t>
      </w:r>
      <w:r w:rsidR="00267BC8">
        <w:t>he</w:t>
      </w:r>
      <w:r w:rsidR="00DC5A2A">
        <w:t xml:space="preserve"> recommended</w:t>
      </w:r>
      <w:r w:rsidR="00FE19C3">
        <w:t xml:space="preserve"> TWA</w:t>
      </w:r>
      <w:r w:rsidR="00267BC8">
        <w:t xml:space="preserve"> </w:t>
      </w:r>
      <w:r w:rsidR="00C3752E">
        <w:t>is</w:t>
      </w:r>
      <w:r w:rsidR="00267BC8">
        <w:t xml:space="preserve"> considered sufficiently low to </w:t>
      </w:r>
      <w:r w:rsidR="00A36C41">
        <w:t xml:space="preserve">minimise </w:t>
      </w:r>
      <w:r w:rsidR="00A36C41" w:rsidRPr="00C91D05">
        <w:t xml:space="preserve">irritation of the </w:t>
      </w:r>
      <w:r w:rsidR="00A36C41">
        <w:t xml:space="preserve">nose and </w:t>
      </w:r>
      <w:r w:rsidR="00A36C41" w:rsidRPr="00C91D05">
        <w:t xml:space="preserve">eyes and </w:t>
      </w:r>
      <w:r w:rsidR="00C3752E">
        <w:t>effects on the central nervous system</w:t>
      </w:r>
      <w:r w:rsidR="009872DD">
        <w:t>.</w:t>
      </w:r>
      <w:r w:rsidR="00B4470C">
        <w:t xml:space="preserve"> </w:t>
      </w:r>
      <w:r w:rsidR="00C3752E">
        <w:t>Only mild effects are noted at exposures up to 21 ppm and a STEL is not recommended as the TWA is considered sufficient to protect for these effects.</w:t>
      </w:r>
    </w:p>
    <w:p w14:paraId="7E0B6AF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7148DAF" w14:textId="77777777" w:rsidR="0025734A" w:rsidRDefault="00C069CE">
      <w:pPr>
        <w:rPr>
          <w:rFonts w:cs="Arial"/>
        </w:rPr>
      </w:pPr>
      <w:r w:rsidRPr="00C069CE">
        <w:rPr>
          <w:rFonts w:cs="Arial"/>
        </w:rPr>
        <w:t>Not classified as a carcinogen according to the Globally Harmonized System of Classification and Labelling of Chemicals (GHS).</w:t>
      </w:r>
    </w:p>
    <w:p w14:paraId="0A8C2C59" w14:textId="77777777" w:rsidR="00C069CE" w:rsidRPr="004C23F4" w:rsidRDefault="00C069CE" w:rsidP="00C069CE">
      <w:pPr>
        <w:rPr>
          <w:rFonts w:cs="Arial"/>
        </w:rPr>
      </w:pPr>
      <w:r w:rsidRPr="00011ADB">
        <w:rPr>
          <w:rFonts w:cs="Arial"/>
        </w:rPr>
        <w:t xml:space="preserve">Classified as a skin sensitiser </w:t>
      </w:r>
      <w:r w:rsidR="00F75A91">
        <w:rPr>
          <w:rFonts w:cs="Arial"/>
        </w:rPr>
        <w:t>a</w:t>
      </w:r>
      <w:r w:rsidR="00D973B7">
        <w:rPr>
          <w:rFonts w:cs="Arial"/>
        </w:rPr>
        <w:t>nd n</w:t>
      </w:r>
      <w:r>
        <w:rPr>
          <w:rFonts w:cs="Arial"/>
        </w:rPr>
        <w:t>ot</w:t>
      </w:r>
      <w:r w:rsidRPr="00CE64B9">
        <w:rPr>
          <w:rFonts w:cs="Arial"/>
        </w:rPr>
        <w:t xml:space="preserve"> a </w:t>
      </w:r>
      <w:r>
        <w:rPr>
          <w:rFonts w:cs="Arial"/>
        </w:rPr>
        <w:t>respiratory</w:t>
      </w:r>
      <w:r w:rsidRPr="00CE64B9">
        <w:rPr>
          <w:rFonts w:cs="Arial"/>
        </w:rPr>
        <w:t xml:space="preserve"> sensitiser according to the GH</w:t>
      </w:r>
      <w:r>
        <w:rPr>
          <w:rFonts w:cs="Arial"/>
        </w:rPr>
        <w:t>S</w:t>
      </w:r>
      <w:r w:rsidRPr="00CE64B9">
        <w:rPr>
          <w:rFonts w:cs="Arial"/>
        </w:rPr>
        <w:t>.</w:t>
      </w:r>
    </w:p>
    <w:p w14:paraId="3E8E0788" w14:textId="36672472" w:rsidR="0009434D" w:rsidRDefault="0009434D" w:rsidP="0009434D">
      <w:pPr>
        <w:rPr>
          <w:rFonts w:cs="Arial"/>
        </w:rPr>
      </w:pPr>
      <w:r w:rsidRPr="0009434D">
        <w:rPr>
          <w:rFonts w:cs="Arial"/>
        </w:rPr>
        <w:lastRenderedPageBreak/>
        <w:t xml:space="preserve">A skin notation is not </w:t>
      </w:r>
      <w:r w:rsidR="00581F62">
        <w:rPr>
          <w:rFonts w:cs="Arial"/>
        </w:rPr>
        <w:t>recommended</w:t>
      </w:r>
      <w:r w:rsidR="00581F62" w:rsidRPr="0009434D">
        <w:rPr>
          <w:rFonts w:cs="Arial"/>
        </w:rPr>
        <w:t xml:space="preserve"> </w:t>
      </w:r>
      <w:r w:rsidRPr="0009434D">
        <w:rPr>
          <w:rFonts w:cs="Arial"/>
        </w:rPr>
        <w:t>based on the available evidence.</w:t>
      </w:r>
    </w:p>
    <w:p w14:paraId="69C3C4E5" w14:textId="77777777" w:rsidR="00C069CE" w:rsidRPr="004C23F4" w:rsidRDefault="00C069CE">
      <w:pPr>
        <w:rPr>
          <w:rFonts w:cs="Arial"/>
        </w:rPr>
        <w:sectPr w:rsidR="00C069CE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66572E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CF5454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5FD5C7E" w14:textId="77777777" w:rsidTr="00221EA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870AF2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C4CF17E" w14:textId="77777777" w:rsidTr="00221EA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D20D1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62BA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A2926">
                  <w:t>TWA: 2 ppm (12 mg/m</w:t>
                </w:r>
                <w:r w:rsidR="001A2926" w:rsidRPr="001A2926">
                  <w:rPr>
                    <w:vertAlign w:val="superscript"/>
                  </w:rPr>
                  <w:t>3</w:t>
                </w:r>
                <w:r w:rsidR="001A2926">
                  <w:t xml:space="preserve">); </w:t>
                </w:r>
                <w:r w:rsidR="00127595">
                  <w:t>STEL: 3 ppm (19 mg/m</w:t>
                </w:r>
                <w:r w:rsidR="00127595" w:rsidRPr="00127595">
                  <w:rPr>
                    <w:vertAlign w:val="superscript"/>
                  </w:rPr>
                  <w:t>3</w:t>
                </w:r>
                <w:r w:rsidR="00127595">
                  <w:t>)</w:t>
                </w:r>
              </w:sdtContent>
            </w:sdt>
          </w:p>
        </w:tc>
      </w:tr>
      <w:tr w:rsidR="00C978F0" w:rsidRPr="00DA352E" w14:paraId="7B1AC1E2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4ED922D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84F688C" w14:textId="77777777" w:rsidTr="00221EA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C8D004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2597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2597F">
                  <w:t>TLV-TWA: 2 ppm (12 mg/m</w:t>
                </w:r>
                <w:r w:rsidR="00E2597F" w:rsidRPr="00E2597F">
                  <w:rPr>
                    <w:vertAlign w:val="superscript"/>
                  </w:rPr>
                  <w:t>3</w:t>
                </w:r>
                <w:r w:rsidR="00E2597F">
                  <w:t>)</w:t>
                </w:r>
                <w:r w:rsidR="007F02AA">
                  <w:t>; TLV-STEL: 3 ppm (19 mg/m</w:t>
                </w:r>
                <w:r w:rsidR="007F02AA" w:rsidRPr="007F02AA">
                  <w:rPr>
                    <w:vertAlign w:val="superscript"/>
                  </w:rPr>
                  <w:t>3</w:t>
                </w:r>
                <w:r w:rsidR="007F02AA">
                  <w:t>)</w:t>
                </w:r>
              </w:sdtContent>
            </w:sdt>
          </w:p>
        </w:tc>
      </w:tr>
      <w:tr w:rsidR="00C978F0" w:rsidRPr="00DA352E" w14:paraId="3A2CE882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796A9FC4" w14:textId="77777777" w:rsidR="00C91D05" w:rsidRDefault="00C91D05" w:rsidP="00C91D05">
            <w:pPr>
              <w:pStyle w:val="Tabletextprimarysource"/>
            </w:pPr>
            <w:r>
              <w:t xml:space="preserve">TLV-TWA and TLV-STEL recommended to minimise </w:t>
            </w:r>
            <w:r w:rsidRPr="00C91D05">
              <w:t xml:space="preserve">the potential for irritation of the </w:t>
            </w:r>
            <w:r>
              <w:t xml:space="preserve">nose and </w:t>
            </w:r>
            <w:r w:rsidRPr="00C91D05">
              <w:t>eyes and loss of the sense of smell (anosmia</w:t>
            </w:r>
            <w:r>
              <w:t>).</w:t>
            </w:r>
          </w:p>
          <w:p w14:paraId="0A802B67" w14:textId="77777777" w:rsidR="00C91D05" w:rsidRDefault="00C91D05" w:rsidP="00C91D05">
            <w:pPr>
              <w:pStyle w:val="Tabletextprimarysource"/>
            </w:pPr>
            <w:r>
              <w:t>Summary of data:</w:t>
            </w:r>
          </w:p>
          <w:p w14:paraId="720DB202" w14:textId="77777777" w:rsidR="00557210" w:rsidRDefault="00557210" w:rsidP="00557210">
            <w:pPr>
              <w:pStyle w:val="ListBullet"/>
              <w:ind w:left="360" w:hanging="360"/>
              <w:contextualSpacing w:val="0"/>
            </w:pPr>
            <w:r>
              <w:t>Human data:</w:t>
            </w:r>
          </w:p>
          <w:p w14:paraId="1272DB49" w14:textId="544DCAC1" w:rsidR="00A10AEA" w:rsidRDefault="00C7193B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M</w:t>
            </w:r>
            <w:r w:rsidR="00A10AEA">
              <w:t xml:space="preserve">inor inflammation </w:t>
            </w:r>
            <w:r w:rsidR="00DB0DCA">
              <w:t xml:space="preserve">reported in workers exposed </w:t>
            </w:r>
            <w:r>
              <w:t>at</w:t>
            </w:r>
            <w:r w:rsidR="00DB0DCA">
              <w:t xml:space="preserve"> &lt;2 ppm, 5</w:t>
            </w:r>
            <w:r w:rsidR="00FD37ED">
              <w:t xml:space="preserve"> </w:t>
            </w:r>
            <w:r w:rsidR="00DB0DCA">
              <w:t xml:space="preserve">d </w:t>
            </w:r>
            <w:r w:rsidR="00C12986">
              <w:t>/</w:t>
            </w:r>
            <w:r w:rsidR="00DB0DCA">
              <w:t>w</w:t>
            </w:r>
            <w:r>
              <w:t>k</w:t>
            </w:r>
            <w:r w:rsidR="00DB0DCA">
              <w:t xml:space="preserve">, </w:t>
            </w:r>
            <w:r w:rsidR="00FD37ED">
              <w:t xml:space="preserve">for up to </w:t>
            </w:r>
            <w:r w:rsidR="00DB0DCA">
              <w:t xml:space="preserve">10 </w:t>
            </w:r>
            <w:proofErr w:type="spellStart"/>
            <w:r w:rsidR="00DB0DCA">
              <w:t>mo</w:t>
            </w:r>
            <w:proofErr w:type="spellEnd"/>
          </w:p>
          <w:p w14:paraId="5B532A01" w14:textId="338E02A7" w:rsidR="00DB0DCA" w:rsidRDefault="00DB0DCA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Fatal exposure reported from inhalation of heated vapour</w:t>
            </w:r>
            <w:r w:rsidR="00C7193B">
              <w:t>;</w:t>
            </w:r>
            <w:r>
              <w:t xml:space="preserve"> no concentration noted</w:t>
            </w:r>
          </w:p>
          <w:p w14:paraId="207F41D4" w14:textId="7DD5B41F" w:rsidR="006965CE" w:rsidRDefault="00367FA0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Nausea</w:t>
            </w:r>
            <w:r w:rsidR="00DB0DCA">
              <w:t>, anxiety, dizziness, confusion, headache, twitching, spasticity, convulsions and coma</w:t>
            </w:r>
            <w:r>
              <w:t xml:space="preserve"> reported following heavy exposure; </w:t>
            </w:r>
            <w:r w:rsidR="00DB0DCA">
              <w:t>no concentration noted</w:t>
            </w:r>
            <w:r w:rsidR="00C7193B">
              <w:t>.</w:t>
            </w:r>
          </w:p>
          <w:p w14:paraId="77A22EE5" w14:textId="77777777" w:rsidR="00601272" w:rsidRDefault="00601272" w:rsidP="00426B4C">
            <w:pPr>
              <w:pStyle w:val="ListBullet"/>
              <w:ind w:left="714"/>
            </w:pPr>
          </w:p>
          <w:p w14:paraId="0F0BDA40" w14:textId="77777777" w:rsidR="00DB0DCA" w:rsidRDefault="00DB0DCA" w:rsidP="00426B4C">
            <w:pPr>
              <w:pStyle w:val="Tablefont"/>
            </w:pPr>
            <w:r>
              <w:t>Animal data:</w:t>
            </w:r>
          </w:p>
          <w:p w14:paraId="54C0959A" w14:textId="21A9F6CD" w:rsidR="00A36C41" w:rsidRDefault="00A36C41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P</w:t>
            </w:r>
            <w:r w:rsidRPr="003A6121">
              <w:t xml:space="preserve">rolonged inhalation </w:t>
            </w:r>
            <w:r w:rsidR="00C7193B">
              <w:t>at</w:t>
            </w:r>
            <w:r w:rsidRPr="003A6121">
              <w:t xml:space="preserve"> 6 mg/m</w:t>
            </w:r>
            <w:r w:rsidRPr="00A7238D">
              <w:rPr>
                <w:vertAlign w:val="superscript"/>
              </w:rPr>
              <w:t>3</w:t>
            </w:r>
            <w:r w:rsidRPr="003A6121">
              <w:t xml:space="preserve"> (1 ppm) may cause severe injury to animals</w:t>
            </w:r>
            <w:r w:rsidR="00367FA0">
              <w:t xml:space="preserve"> (</w:t>
            </w:r>
            <w:r w:rsidR="00D973B7">
              <w:t>no further information</w:t>
            </w:r>
            <w:r w:rsidR="00367FA0">
              <w:t>)</w:t>
            </w:r>
          </w:p>
          <w:p w14:paraId="7B38124D" w14:textId="77777777" w:rsidR="004E4532" w:rsidRDefault="004E4532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A7238D">
              <w:rPr>
                <w:vertAlign w:val="subscript"/>
              </w:rPr>
              <w:t>50</w:t>
            </w:r>
            <w:r>
              <w:t>: 3</w:t>
            </w:r>
            <w:r w:rsidR="006965CE">
              <w:t>,</w:t>
            </w:r>
            <w:r>
              <w:t>000</w:t>
            </w:r>
            <w:r w:rsidR="00FD37ED">
              <w:t xml:space="preserve"> </w:t>
            </w:r>
            <w:r>
              <w:t>mg/kg (rats,</w:t>
            </w:r>
            <w:r w:rsidRPr="00AF0F6C">
              <w:t xml:space="preserve"> intraperitoneal</w:t>
            </w:r>
            <w:r>
              <w:t>)</w:t>
            </w:r>
          </w:p>
          <w:p w14:paraId="2BA6FEA1" w14:textId="106DE78C" w:rsidR="007F0547" w:rsidRDefault="004E4532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Subcutaneous injection</w:t>
            </w:r>
            <w:r w:rsidRPr="00AF0F6C">
              <w:t xml:space="preserve"> </w:t>
            </w:r>
            <w:r w:rsidR="00085593">
              <w:t>1/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r w:rsidR="00D973B7">
              <w:t xml:space="preserve">over </w:t>
            </w:r>
            <w:r>
              <w:t xml:space="preserve">18 </w:t>
            </w:r>
            <w:proofErr w:type="spellStart"/>
            <w:r>
              <w:t>mo</w:t>
            </w:r>
            <w:proofErr w:type="spellEnd"/>
            <w:r w:rsidRPr="00AF0F6C">
              <w:t xml:space="preserve"> produced </w:t>
            </w:r>
            <w:r>
              <w:t xml:space="preserve">no elicited </w:t>
            </w:r>
            <w:r w:rsidR="00D973B7">
              <w:t>tumours</w:t>
            </w:r>
            <w:r>
              <w:t xml:space="preserve"> </w:t>
            </w:r>
            <w:r w:rsidRPr="00AF0F6C">
              <w:t>in mice</w:t>
            </w:r>
            <w:r w:rsidR="00FD37ED">
              <w:t>.</w:t>
            </w:r>
          </w:p>
          <w:p w14:paraId="52EDBB64" w14:textId="77777777" w:rsidR="000E2DA5" w:rsidRDefault="000E2DA5" w:rsidP="00AF0F6C">
            <w:pPr>
              <w:pStyle w:val="ListBullet"/>
              <w:ind w:left="360" w:hanging="360"/>
              <w:contextualSpacing w:val="0"/>
            </w:pPr>
          </w:p>
          <w:p w14:paraId="408326ED" w14:textId="17B9EE0A" w:rsidR="00AF0F6C" w:rsidRDefault="00AF0F6C" w:rsidP="00AF0F6C">
            <w:pPr>
              <w:pStyle w:val="ListBullet"/>
              <w:ind w:left="360" w:hanging="360"/>
              <w:contextualSpacing w:val="0"/>
            </w:pPr>
            <w:r>
              <w:t xml:space="preserve">Assigned an A4, </w:t>
            </w:r>
            <w:r w:rsidR="00FD37ED">
              <w:t xml:space="preserve">not </w:t>
            </w:r>
            <w:r>
              <w:t>classified as human carcinogen</w:t>
            </w:r>
            <w:r w:rsidR="002B17EA">
              <w:t>.</w:t>
            </w:r>
          </w:p>
          <w:p w14:paraId="02793408" w14:textId="77777777" w:rsidR="006965CE" w:rsidRDefault="00D973B7" w:rsidP="00AF0F6C">
            <w:pPr>
              <w:pStyle w:val="ListBullet"/>
              <w:contextualSpacing w:val="0"/>
            </w:pPr>
            <w:r>
              <w:t>Ins</w:t>
            </w:r>
            <w:r w:rsidR="00AF0F6C">
              <w:t>ufficient data to assign a sensitiser or skin notation</w:t>
            </w:r>
            <w:r w:rsidR="002B17EA">
              <w:t>.</w:t>
            </w:r>
          </w:p>
          <w:p w14:paraId="7ECDD9E3" w14:textId="77777777" w:rsidR="006E3429" w:rsidRPr="00DA352E" w:rsidRDefault="006E3429" w:rsidP="00AF0F6C">
            <w:pPr>
              <w:pStyle w:val="ListBullet"/>
              <w:contextualSpacing w:val="0"/>
            </w:pPr>
          </w:p>
        </w:tc>
      </w:tr>
      <w:tr w:rsidR="00C978F0" w:rsidRPr="00DA352E" w14:paraId="2B3C11C9" w14:textId="77777777" w:rsidTr="00221EA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7E0843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r w:rsidR="007E0F9F">
              <w:t>2013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1036661569"/>
                    <w:placeholder>
                      <w:docPart w:val="1A6D4C219E434CCDAE9F79799A0CE85F"/>
                    </w:placeholder>
                  </w:sdtPr>
                  <w:sdtEndPr/>
                  <w:sdtContent>
                    <w:sdt>
                      <w:sdtPr>
                        <w:alias w:val="DFG WES equivalent"/>
                        <w:tag w:val="DFG WES equivalent"/>
                        <w:id w:val="403492278"/>
                        <w:placeholder>
                          <w:docPart w:val="BD9E65A02FBA4FA5BB8D62D034ACF682"/>
                        </w:placeholder>
                      </w:sdtPr>
                      <w:sdtEndPr/>
                      <w:sdtContent>
                        <w:sdt>
                          <w:sdtPr>
                            <w:alias w:val="SCOEL WES equivalent"/>
                            <w:tag w:val="SCOEL WES equivalent"/>
                            <w:id w:val="-1958788972"/>
                            <w:placeholder>
                              <w:docPart w:val="0F650313C01D4A26AFDF235CE5E12935"/>
                            </w:placeholder>
                          </w:sdtPr>
                          <w:sdtEndPr/>
                          <w:sdtContent>
                            <w:r w:rsidR="00C04455">
                              <w:t>NA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35031CB3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3A831886" w14:textId="77777777" w:rsidR="005C37B6" w:rsidRDefault="005C37B6" w:rsidP="005C37B6">
            <w:pPr>
              <w:pStyle w:val="Tabletextprimarysource"/>
            </w:pPr>
            <w:r>
              <w:t xml:space="preserve">No MAK recommended due to lack of NOAEL in human </w:t>
            </w:r>
            <w:r w:rsidR="00C7193B">
              <w:t>and</w:t>
            </w:r>
            <w:r>
              <w:t xml:space="preserve"> animal inhalation studies.</w:t>
            </w:r>
          </w:p>
          <w:p w14:paraId="5250919D" w14:textId="77777777" w:rsidR="005C37B6" w:rsidRDefault="005C37B6" w:rsidP="005C37B6">
            <w:pPr>
              <w:pStyle w:val="Tabletextprimarysource"/>
            </w:pPr>
            <w:r>
              <w:t>Summary of additional data:</w:t>
            </w:r>
          </w:p>
          <w:p w14:paraId="77EF1211" w14:textId="72E4AE0F" w:rsidR="006E14C1" w:rsidRDefault="005C37B6" w:rsidP="006E3429">
            <w:pPr>
              <w:pStyle w:val="ListBullet"/>
            </w:pPr>
            <w:r>
              <w:t>Previous MAK of 13</w:t>
            </w:r>
            <w:r w:rsidR="00E7270A">
              <w:t xml:space="preserve"> </w:t>
            </w:r>
            <w:r>
              <w:t>mg/m</w:t>
            </w:r>
            <w:r w:rsidRPr="00A7238D">
              <w:rPr>
                <w:vertAlign w:val="superscript"/>
              </w:rPr>
              <w:t>3</w:t>
            </w:r>
            <w:r>
              <w:t xml:space="preserve"> (</w:t>
            </w:r>
            <w:r w:rsidR="00367FA0">
              <w:t xml:space="preserve">withdrawn </w:t>
            </w:r>
            <w:r w:rsidR="00E7270A">
              <w:t>2013</w:t>
            </w:r>
            <w:r>
              <w:t>)</w:t>
            </w:r>
            <w:r w:rsidR="006E3429">
              <w:t>.</w:t>
            </w:r>
          </w:p>
          <w:p w14:paraId="574BFBC6" w14:textId="77777777" w:rsidR="00E7270A" w:rsidRDefault="00E7270A" w:rsidP="003944AE">
            <w:pPr>
              <w:pStyle w:val="Tablefont"/>
            </w:pPr>
            <w:r>
              <w:t>Human data:</w:t>
            </w:r>
          </w:p>
          <w:p w14:paraId="1906CC13" w14:textId="77777777" w:rsidR="00C7193B" w:rsidRDefault="00E7270A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Factory worker</w:t>
            </w:r>
            <w:r w:rsidR="007E2648">
              <w:t>s</w:t>
            </w:r>
            <w:r>
              <w:t xml:space="preserve"> exposed to </w:t>
            </w:r>
            <w:r w:rsidR="007E2648">
              <w:t>24</w:t>
            </w:r>
            <w:r w:rsidR="00FD37ED">
              <w:t>–</w:t>
            </w:r>
            <w:r w:rsidR="007E2648">
              <w:t>192</w:t>
            </w:r>
            <w:r w:rsidR="00DC5A2A">
              <w:t xml:space="preserve"> </w:t>
            </w:r>
            <w:r w:rsidR="007E2648">
              <w:t>mg/m</w:t>
            </w:r>
            <w:r w:rsidR="007E2648" w:rsidRPr="00A7238D">
              <w:rPr>
                <w:vertAlign w:val="superscript"/>
              </w:rPr>
              <w:t xml:space="preserve">3 </w:t>
            </w:r>
            <w:r w:rsidR="007E2648">
              <w:t xml:space="preserve">reported very slight eye irritation and drowsiness, follow-up examinations of </w:t>
            </w:r>
            <w:r w:rsidR="00C7193B">
              <w:t>6</w:t>
            </w:r>
            <w:r w:rsidR="007E2648">
              <w:t xml:space="preserve"> worker</w:t>
            </w:r>
            <w:r w:rsidR="00406F36">
              <w:t>s</w:t>
            </w:r>
            <w:r w:rsidR="007E2648">
              <w:t xml:space="preserve"> detected no </w:t>
            </w:r>
            <w:r w:rsidR="007E2648" w:rsidRPr="007E2648">
              <w:t xml:space="preserve">lymphadenopathy. </w:t>
            </w:r>
          </w:p>
          <w:p w14:paraId="34CFB305" w14:textId="52F5EB9B" w:rsidR="00E7270A" w:rsidRDefault="00AB2534" w:rsidP="000E2DA5">
            <w:pPr>
              <w:pStyle w:val="ListBullet"/>
              <w:numPr>
                <w:ilvl w:val="0"/>
                <w:numId w:val="8"/>
              </w:numPr>
              <w:spacing w:before="60" w:after="60"/>
              <w:ind w:left="1071" w:hanging="357"/>
              <w:contextualSpacing w:val="0"/>
            </w:pPr>
            <w:r>
              <w:t>a</w:t>
            </w:r>
            <w:r w:rsidR="003963C4">
              <w:t xml:space="preserve"> follow-up study (after improving working conditions) reported the same symptoms at </w:t>
            </w:r>
            <w:r w:rsidR="007E2648">
              <w:t>2.5</w:t>
            </w:r>
            <w:r w:rsidR="00FD37ED">
              <w:t>–</w:t>
            </w:r>
            <w:r w:rsidR="007E2648">
              <w:t>3.5</w:t>
            </w:r>
            <w:r w:rsidR="003963C4">
              <w:t> </w:t>
            </w:r>
            <w:r w:rsidR="007E2648">
              <w:t>mg/m</w:t>
            </w:r>
            <w:r w:rsidR="007E2648" w:rsidRPr="00A7238D">
              <w:rPr>
                <w:vertAlign w:val="superscript"/>
              </w:rPr>
              <w:t>3</w:t>
            </w:r>
            <w:r w:rsidR="000E2DA5">
              <w:t>.</w:t>
            </w:r>
          </w:p>
          <w:p w14:paraId="410EC613" w14:textId="77777777" w:rsidR="00601272" w:rsidRDefault="00601272" w:rsidP="00426B4C">
            <w:pPr>
              <w:pStyle w:val="Tablefont"/>
            </w:pPr>
          </w:p>
          <w:p w14:paraId="420ECA4A" w14:textId="0C12A39A" w:rsidR="00E7270A" w:rsidRDefault="00E7270A" w:rsidP="003944AE">
            <w:pPr>
              <w:pStyle w:val="Tablefont"/>
            </w:pPr>
            <w:r>
              <w:t>Animal data:</w:t>
            </w:r>
          </w:p>
          <w:p w14:paraId="4C734349" w14:textId="77777777" w:rsidR="00E7270A" w:rsidRDefault="00747DBA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C7193B">
              <w:rPr>
                <w:vertAlign w:val="subscript"/>
              </w:rPr>
              <w:t>Lo</w:t>
            </w:r>
            <w:proofErr w:type="spellEnd"/>
            <w:r>
              <w:t>: 300</w:t>
            </w:r>
            <w:r w:rsidR="00085593">
              <w:t xml:space="preserve"> </w:t>
            </w:r>
            <w:r>
              <w:t>mg/m</w:t>
            </w:r>
            <w:r w:rsidRPr="00C7193B">
              <w:rPr>
                <w:vertAlign w:val="superscript"/>
              </w:rPr>
              <w:t>3</w:t>
            </w:r>
            <w:r>
              <w:t xml:space="preserve"> (rats,</w:t>
            </w:r>
            <w:r w:rsidR="00A10AEA">
              <w:t>3</w:t>
            </w:r>
            <w:r w:rsidR="00FD37ED">
              <w:t xml:space="preserve"> </w:t>
            </w:r>
            <w:r w:rsidR="00A10AEA">
              <w:t>h</w:t>
            </w:r>
            <w:r w:rsidR="0077235E">
              <w:t>)</w:t>
            </w:r>
          </w:p>
          <w:p w14:paraId="7CE92F84" w14:textId="79901FDB" w:rsidR="0077235E" w:rsidRDefault="0077235E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A7238D">
              <w:rPr>
                <w:vertAlign w:val="subscript"/>
              </w:rPr>
              <w:t>50</w:t>
            </w:r>
            <w:r>
              <w:t>: 5</w:t>
            </w:r>
            <w:r w:rsidR="006965CE">
              <w:t>,</w:t>
            </w:r>
            <w:r>
              <w:t>000</w:t>
            </w:r>
            <w:r w:rsidR="000308AF">
              <w:t xml:space="preserve"> </w:t>
            </w:r>
            <w:r>
              <w:t>mg/kg (</w:t>
            </w:r>
            <w:r w:rsidR="00464D6F">
              <w:t>rabbits</w:t>
            </w:r>
            <w:r>
              <w:t>, dermal)</w:t>
            </w:r>
          </w:p>
          <w:p w14:paraId="29230853" w14:textId="4EAF8870" w:rsidR="00AB2534" w:rsidRDefault="00AB2534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NOAEL for systemic effects 200 mg/kg/d (mice, dermal)</w:t>
            </w:r>
          </w:p>
          <w:p w14:paraId="53AD0189" w14:textId="20A80F48" w:rsidR="00AB2534" w:rsidRDefault="000308AF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NOAEL</w:t>
            </w:r>
            <w:r w:rsidR="00AB2534">
              <w:t>:</w:t>
            </w:r>
            <w:r w:rsidR="006A4887">
              <w:t xml:space="preserve"> </w:t>
            </w:r>
            <w:r w:rsidR="00AB2534">
              <w:t xml:space="preserve">16 mg/kg </w:t>
            </w:r>
            <w:r w:rsidR="006B6658">
              <w:t>nephropathy</w:t>
            </w:r>
            <w:r w:rsidR="00AB2534" w:rsidDel="00AB2534">
              <w:t xml:space="preserve"> </w:t>
            </w:r>
            <w:r w:rsidR="00AB2534">
              <w:t>(female rats, dermal)</w:t>
            </w:r>
          </w:p>
          <w:p w14:paraId="18D0DFA7" w14:textId="473BB300" w:rsidR="006965CE" w:rsidRDefault="00AB2534" w:rsidP="000E2DA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increased incidences of nephropathy sine in male rats at this concentration</w:t>
            </w:r>
            <w:r w:rsidR="000E2DA5">
              <w:t>.</w:t>
            </w:r>
          </w:p>
          <w:p w14:paraId="2020D785" w14:textId="77777777" w:rsidR="007F0547" w:rsidRDefault="007F0547" w:rsidP="00426B4C">
            <w:pPr>
              <w:pStyle w:val="ListBullet"/>
              <w:ind w:left="714"/>
            </w:pPr>
          </w:p>
          <w:p w14:paraId="26F8D898" w14:textId="77777777" w:rsidR="00C978F0" w:rsidRDefault="00A10AEA" w:rsidP="003365A5">
            <w:pPr>
              <w:pStyle w:val="Tabletextprimarysource"/>
            </w:pPr>
            <w:r>
              <w:t>Ins</w:t>
            </w:r>
            <w:r w:rsidR="00406F36">
              <w:t>ufficient data available to assign a sensitiser or skin notation.</w:t>
            </w:r>
          </w:p>
          <w:p w14:paraId="3399F970" w14:textId="77777777" w:rsidR="00A26BBD" w:rsidRPr="00DA352E" w:rsidRDefault="00A26BBD" w:rsidP="003365A5">
            <w:pPr>
              <w:pStyle w:val="Tabletextprimarysource"/>
            </w:pPr>
          </w:p>
        </w:tc>
      </w:tr>
      <w:tr w:rsidR="00C978F0" w:rsidRPr="00DA352E" w14:paraId="27543B54" w14:textId="77777777" w:rsidTr="00221EA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70BEC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2291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22915">
                  <w:t>NA</w:t>
                </w:r>
                <w:proofErr w:type="spellEnd"/>
              </w:sdtContent>
            </w:sdt>
          </w:p>
        </w:tc>
      </w:tr>
      <w:tr w:rsidR="00C978F0" w:rsidRPr="00DA352E" w14:paraId="4C0BE15F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6574C73A" w14:textId="77777777" w:rsidR="00C978F0" w:rsidRPr="00DA352E" w:rsidRDefault="00222915" w:rsidP="003365A5">
            <w:pPr>
              <w:pStyle w:val="Tabletextprimarysource"/>
            </w:pPr>
            <w:r>
              <w:t>No report</w:t>
            </w:r>
            <w:r w:rsidR="00C7193B">
              <w:t>.</w:t>
            </w:r>
          </w:p>
        </w:tc>
      </w:tr>
      <w:tr w:rsidR="00DA352E" w:rsidRPr="00DA352E" w14:paraId="55F8CF16" w14:textId="77777777" w:rsidTr="00221EA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ED1E98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64A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64A06">
                  <w:t>NA</w:t>
                </w:r>
                <w:proofErr w:type="spellEnd"/>
              </w:sdtContent>
            </w:sdt>
          </w:p>
        </w:tc>
      </w:tr>
      <w:tr w:rsidR="00DA352E" w:rsidRPr="00DA352E" w14:paraId="78D5281D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452D6053" w14:textId="77777777" w:rsidR="00DA352E" w:rsidRPr="00DA352E" w:rsidRDefault="00764A06" w:rsidP="003365A5">
            <w:pPr>
              <w:pStyle w:val="Tabletextprimarysource"/>
            </w:pPr>
            <w:r>
              <w:t>No report</w:t>
            </w:r>
            <w:r w:rsidR="00C7193B">
              <w:t>.</w:t>
            </w:r>
          </w:p>
        </w:tc>
      </w:tr>
      <w:tr w:rsidR="00DA352E" w:rsidRPr="00DA352E" w14:paraId="1AD4B41D" w14:textId="77777777" w:rsidTr="00221EA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470EA2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1652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C7316">
                  <w:t>TWA: 2 ppm (12 mg/m</w:t>
                </w:r>
                <w:r w:rsidR="004C7316" w:rsidRPr="004C7316">
                  <w:rPr>
                    <w:vertAlign w:val="superscript"/>
                  </w:rPr>
                  <w:t>3</w:t>
                </w:r>
                <w:r w:rsidR="004C7316">
                  <w:t>)</w:t>
                </w:r>
              </w:sdtContent>
            </w:sdt>
          </w:p>
        </w:tc>
      </w:tr>
      <w:tr w:rsidR="00DA352E" w:rsidRPr="00DA352E" w14:paraId="40251C94" w14:textId="77777777" w:rsidTr="00221EA2">
        <w:trPr>
          <w:gridAfter w:val="1"/>
          <w:wAfter w:w="8" w:type="pct"/>
        </w:trPr>
        <w:tc>
          <w:tcPr>
            <w:tcW w:w="4992" w:type="pct"/>
          </w:tcPr>
          <w:p w14:paraId="6D0E885C" w14:textId="77777777" w:rsidR="00C7193B" w:rsidRDefault="002C1CF6" w:rsidP="003365A5">
            <w:pPr>
              <w:pStyle w:val="Tabletextprimarysource"/>
            </w:pPr>
            <w:r w:rsidRPr="002C1CF6">
              <w:t xml:space="preserve">TWA considered an administrative </w:t>
            </w:r>
            <w:r w:rsidR="00ED4920">
              <w:t>OEL</w:t>
            </w:r>
            <w:r w:rsidR="00C7193B">
              <w:t>.</w:t>
            </w:r>
          </w:p>
          <w:p w14:paraId="61922ABB" w14:textId="355BA4DF" w:rsidR="00DA352E" w:rsidRDefault="00C7193B" w:rsidP="003365A5">
            <w:pPr>
              <w:pStyle w:val="Tabletextprimarysource"/>
            </w:pPr>
            <w:r>
              <w:t>T</w:t>
            </w:r>
            <w:r w:rsidR="002C1CF6" w:rsidRPr="002C1CF6">
              <w:t xml:space="preserve">oxicological data insufficient to justify recommendation of a </w:t>
            </w:r>
            <w:r w:rsidR="00AB5410" w:rsidRPr="002C1CF6">
              <w:t>health based</w:t>
            </w:r>
            <w:r w:rsidR="002C1CF6" w:rsidRPr="002C1CF6">
              <w:t xml:space="preserve"> </w:t>
            </w:r>
            <w:r w:rsidR="00A10AEA">
              <w:t>OEL</w:t>
            </w:r>
            <w:r w:rsidR="002C1CF6" w:rsidRPr="002C1CF6">
              <w:t>.</w:t>
            </w:r>
          </w:p>
          <w:p w14:paraId="3F7E24C5" w14:textId="77777777" w:rsidR="002629B4" w:rsidRDefault="002629B4" w:rsidP="002629B4">
            <w:pPr>
              <w:pStyle w:val="Tabletextprimarysource"/>
            </w:pPr>
            <w:r>
              <w:t>Summary of additional data:</w:t>
            </w:r>
          </w:p>
          <w:p w14:paraId="6555756D" w14:textId="1D38BE6D" w:rsidR="00A26BBD" w:rsidRDefault="002629B4" w:rsidP="000E2D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2629B4">
              <w:t>Oral doses of 50</w:t>
            </w:r>
            <w:r w:rsidR="00085593">
              <w:t>–</w:t>
            </w:r>
            <w:r w:rsidR="006E3429">
              <w:t>500 mg/kg</w:t>
            </w:r>
            <w:r w:rsidRPr="002629B4">
              <w:t xml:space="preserve"> </w:t>
            </w:r>
            <w:r w:rsidR="00C7193B">
              <w:t>reported to be</w:t>
            </w:r>
            <w:r w:rsidRPr="002629B4">
              <w:t xml:space="preserve"> lethal to </w:t>
            </w:r>
            <w:r w:rsidR="000E2DA5">
              <w:t xml:space="preserve">human </w:t>
            </w:r>
            <w:r w:rsidRPr="002629B4">
              <w:t>adults.</w:t>
            </w:r>
          </w:p>
          <w:p w14:paraId="1A86CAF7" w14:textId="77777777" w:rsidR="002629B4" w:rsidRPr="00DA352E" w:rsidRDefault="002629B4" w:rsidP="00C7193B">
            <w:pPr>
              <w:pStyle w:val="ListBullet"/>
            </w:pPr>
            <w:r>
              <w:t xml:space="preserve"> </w:t>
            </w:r>
          </w:p>
        </w:tc>
      </w:tr>
    </w:tbl>
    <w:p w14:paraId="6AC6321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07D1591" w14:textId="77777777" w:rsidR="007E2A4B" w:rsidRDefault="00C7193B">
      <w:r>
        <w:t>NIL.</w:t>
      </w:r>
    </w:p>
    <w:bookmarkEnd w:id="0"/>
    <w:p w14:paraId="69B13AE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1B4F5C8" w14:textId="77777777" w:rsidTr="002C1CF6">
        <w:trPr>
          <w:trHeight w:val="454"/>
          <w:tblHeader/>
        </w:trPr>
        <w:tc>
          <w:tcPr>
            <w:tcW w:w="6603" w:type="dxa"/>
            <w:vAlign w:val="center"/>
          </w:tcPr>
          <w:p w14:paraId="4F2DD15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C3CDA5" w14:textId="77777777" w:rsidR="002E0D61" w:rsidRDefault="002C1CF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2C1CF6" w14:paraId="15068D43" w14:textId="77777777" w:rsidTr="002C1CF6">
        <w:trPr>
          <w:trHeight w:val="454"/>
        </w:trPr>
        <w:sdt>
          <w:sdtPr>
            <w:rPr>
              <w:b/>
            </w:rPr>
            <w:id w:val="1830936485"/>
            <w:placeholder>
              <w:docPart w:val="3FBA9F16C31F439BBB0956DC660AB12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645AE07" w14:textId="77777777" w:rsidR="002C1CF6" w:rsidRPr="002C1CF6" w:rsidRDefault="002C1CF6" w:rsidP="002C1CF6">
                <w:pPr>
                  <w:pStyle w:val="Tablefont"/>
                  <w:keepNext/>
                  <w:keepLines/>
                  <w:spacing w:before="40" w:after="40"/>
                </w:pPr>
                <w:r w:rsidRPr="002C1CF6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A324179" w14:textId="77777777" w:rsidR="002C1CF6" w:rsidRPr="002C1CF6" w:rsidRDefault="002C1CF6" w:rsidP="002C1CF6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765EFB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4EF926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CA96DE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E9585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7A0DDF" w14:textId="77777777" w:rsidTr="00812887">
        <w:trPr>
          <w:cantSplit/>
        </w:trPr>
        <w:tc>
          <w:tcPr>
            <w:tcW w:w="3227" w:type="dxa"/>
          </w:tcPr>
          <w:p w14:paraId="45D0FA5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D20FC40" w14:textId="77777777" w:rsidR="00687890" w:rsidRPr="00DD2F9B" w:rsidRDefault="004904A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E4D9C3A" w14:textId="77777777" w:rsidTr="00812887">
        <w:trPr>
          <w:cantSplit/>
        </w:trPr>
        <w:tc>
          <w:tcPr>
            <w:tcW w:w="3227" w:type="dxa"/>
          </w:tcPr>
          <w:p w14:paraId="6673102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73EC662" w14:textId="77777777" w:rsidR="007925F0" w:rsidRPr="00DD2F9B" w:rsidRDefault="004904A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4848C3D" w14:textId="77777777" w:rsidTr="00812887">
        <w:trPr>
          <w:cantSplit/>
        </w:trPr>
        <w:tc>
          <w:tcPr>
            <w:tcW w:w="3227" w:type="dxa"/>
          </w:tcPr>
          <w:p w14:paraId="326F5C3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531D9FC" w14:textId="77777777" w:rsidR="00AF483F" w:rsidRPr="00DD2F9B" w:rsidRDefault="004904A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391E57E" w14:textId="77777777" w:rsidTr="00812887">
        <w:trPr>
          <w:cantSplit/>
        </w:trPr>
        <w:tc>
          <w:tcPr>
            <w:tcW w:w="3227" w:type="dxa"/>
          </w:tcPr>
          <w:p w14:paraId="3C04C50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E0727E3" w14:textId="77777777" w:rsidR="00687890" w:rsidRPr="00DD2F9B" w:rsidRDefault="00B25E8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A189933" w14:textId="77777777" w:rsidTr="00812887">
        <w:trPr>
          <w:cantSplit/>
        </w:trPr>
        <w:tc>
          <w:tcPr>
            <w:tcW w:w="3227" w:type="dxa"/>
          </w:tcPr>
          <w:p w14:paraId="5F1DC4D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414B962" w14:textId="77777777" w:rsidR="00E41A26" w:rsidRPr="00DD2F9B" w:rsidRDefault="00B25E8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96F66E7" w14:textId="77777777" w:rsidTr="00812887">
        <w:trPr>
          <w:cantSplit/>
        </w:trPr>
        <w:tc>
          <w:tcPr>
            <w:tcW w:w="3227" w:type="dxa"/>
          </w:tcPr>
          <w:p w14:paraId="1CBA270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76ED03" w14:textId="77777777" w:rsidR="002E0D61" w:rsidRPr="00DD2F9B" w:rsidRDefault="007E3948" w:rsidP="00DD2F9B">
            <w:pPr>
              <w:pStyle w:val="Tablefont"/>
            </w:pPr>
            <w:r>
              <w:t>Carcinogenicity – A4</w:t>
            </w:r>
          </w:p>
        </w:tc>
      </w:tr>
      <w:tr w:rsidR="002E0D61" w:rsidRPr="004C23F4" w14:paraId="43063C09" w14:textId="77777777" w:rsidTr="00812887">
        <w:trPr>
          <w:cantSplit/>
        </w:trPr>
        <w:tc>
          <w:tcPr>
            <w:tcW w:w="3227" w:type="dxa"/>
          </w:tcPr>
          <w:p w14:paraId="71CB8B7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8B1AB52" w14:textId="77777777" w:rsidR="002E0D61" w:rsidRPr="00DD2F9B" w:rsidRDefault="003427C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DD1BEE6" w14:textId="77777777" w:rsidTr="00812887">
        <w:trPr>
          <w:cantSplit/>
        </w:trPr>
        <w:tc>
          <w:tcPr>
            <w:tcW w:w="3227" w:type="dxa"/>
          </w:tcPr>
          <w:p w14:paraId="6139F78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7DA53E9" w14:textId="77777777" w:rsidR="002E0D61" w:rsidRPr="00DD2F9B" w:rsidRDefault="00950E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154C60" w14:textId="77777777" w:rsidTr="00812887">
        <w:trPr>
          <w:cantSplit/>
        </w:trPr>
        <w:tc>
          <w:tcPr>
            <w:tcW w:w="3227" w:type="dxa"/>
          </w:tcPr>
          <w:p w14:paraId="529572A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A5CE04A" w14:textId="77777777" w:rsidR="002E0D61" w:rsidRPr="00DD2F9B" w:rsidRDefault="003427C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AD92B73" w14:textId="77777777" w:rsidTr="00812887">
        <w:trPr>
          <w:cantSplit/>
        </w:trPr>
        <w:tc>
          <w:tcPr>
            <w:tcW w:w="3227" w:type="dxa"/>
          </w:tcPr>
          <w:p w14:paraId="141FE26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63C8579" w14:textId="77777777" w:rsidR="00386093" w:rsidRPr="00DD2F9B" w:rsidRDefault="00BD45D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0EA914D" w14:textId="77777777" w:rsidTr="00812887">
        <w:trPr>
          <w:cantSplit/>
        </w:trPr>
        <w:tc>
          <w:tcPr>
            <w:tcW w:w="3227" w:type="dxa"/>
          </w:tcPr>
          <w:p w14:paraId="7864D95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F263C6" w14:textId="77777777" w:rsidR="00386093" w:rsidRPr="00DD2F9B" w:rsidRDefault="0005601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1D4FFC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3664A9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33DF1A2" w14:textId="77777777" w:rsidTr="00B621EC">
        <w:trPr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486B01" w14:textId="77777777" w:rsidR="00932DCE" w:rsidRPr="004C23F4" w:rsidRDefault="00932DCE" w:rsidP="00C7193B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BF106B7" w14:textId="77777777" w:rsidTr="00ED4920"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1080"/>
              <w:gridCol w:w="990"/>
              <w:gridCol w:w="2975"/>
            </w:tblGrid>
            <w:tr w:rsidR="007B14D6" w:rsidRPr="007B14D6" w14:paraId="292FD2DF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6BBFBF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7F1CD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4497F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46913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20433AFD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B98E1A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D5429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28521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1A33D4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28735FE3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AAFD6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879DC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7D3F2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AE1BF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228ABBD5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3258E9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89CD7E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9D3583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ABB28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564E0C5C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4AD1A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1864E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0A193B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6BD6F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7752B2DA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3D18BD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AD30B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F124D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5E14DA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B14D6" w:rsidRPr="007B14D6" w14:paraId="5E1BF26F" w14:textId="77777777" w:rsidTr="007B14D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45639" w14:textId="77777777" w:rsidR="007B14D6" w:rsidRPr="007B14D6" w:rsidRDefault="007B14D6" w:rsidP="00C7193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8C9A74" w14:textId="77777777" w:rsidR="007B14D6" w:rsidRPr="007B14D6" w:rsidRDefault="007B14D6" w:rsidP="00C7193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E3480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0DC9C" w14:textId="77777777" w:rsidR="007B14D6" w:rsidRPr="007B14D6" w:rsidRDefault="007B14D6" w:rsidP="00C7193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B14D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71307B24" w14:textId="77777777" w:rsidR="00932DCE" w:rsidRPr="004C23F4" w:rsidRDefault="00932DCE" w:rsidP="00C7193B">
            <w:pPr>
              <w:pStyle w:val="Tablefont"/>
            </w:pPr>
          </w:p>
        </w:tc>
      </w:tr>
    </w:tbl>
    <w:bookmarkEnd w:id="3"/>
    <w:p w14:paraId="189B976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17599F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0B830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8ADDFF5" w14:textId="77777777" w:rsidR="00EB3D1B" w:rsidRDefault="00442BB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7A14C8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652E6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02048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2738F71" w14:textId="77777777" w:rsidR="001B79E5" w:rsidRDefault="00B071D7" w:rsidP="001B79E5">
                <w:pPr>
                  <w:pStyle w:val="Tablefont"/>
                </w:pPr>
                <w:r>
                  <w:t>152.23</w:t>
                </w:r>
              </w:p>
            </w:tc>
          </w:sdtContent>
        </w:sdt>
      </w:tr>
      <w:tr w:rsidR="00A31D99" w:rsidRPr="004C23F4" w14:paraId="6E80C3B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59E26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4E64E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0FF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</w:t>
            </w:r>
            <w:r w:rsidRPr="000E5E85">
              <w:t xml:space="preserve">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A170FF" w:rsidRPr="00DF796F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8517B9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E0EAE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A01BA6" w14:textId="77777777" w:rsidR="00687890" w:rsidRPr="004C23F4" w:rsidRDefault="000E225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3741CA0" w14:textId="77777777" w:rsidTr="00EA6243">
        <w:trPr>
          <w:cantSplit/>
        </w:trPr>
        <w:tc>
          <w:tcPr>
            <w:tcW w:w="4077" w:type="dxa"/>
            <w:vAlign w:val="center"/>
          </w:tcPr>
          <w:p w14:paraId="38FED98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EBADB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1C4A0E6" w14:textId="77777777" w:rsidTr="00EA6243">
        <w:trPr>
          <w:cantSplit/>
        </w:trPr>
        <w:tc>
          <w:tcPr>
            <w:tcW w:w="4077" w:type="dxa"/>
            <w:vAlign w:val="center"/>
          </w:tcPr>
          <w:p w14:paraId="387AE31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67CA3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4E9190" w14:textId="77777777" w:rsidTr="00EA6243">
        <w:trPr>
          <w:cantSplit/>
        </w:trPr>
        <w:tc>
          <w:tcPr>
            <w:tcW w:w="4077" w:type="dxa"/>
            <w:vAlign w:val="center"/>
          </w:tcPr>
          <w:p w14:paraId="1F5D955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437C35C" w14:textId="77777777" w:rsidR="00E06F40" w:rsidRPr="00A006A0" w:rsidRDefault="006C39F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33325C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CDCB82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C3DA67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42865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A5F4F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91A0E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FD7D8D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7B45BB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D2E373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10A2A39" w14:textId="77777777" w:rsidR="00406F36" w:rsidRDefault="00406F36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(2013)</w:t>
      </w:r>
      <w:r w:rsidRPr="00406F36">
        <w:t xml:space="preserve"> Kampfer</w:t>
      </w:r>
      <w:r>
        <w:t xml:space="preserve"> – MAK value documentation.</w:t>
      </w:r>
    </w:p>
    <w:p w14:paraId="2E02D1B5" w14:textId="77777777" w:rsidR="00406F36" w:rsidRDefault="007B14D6" w:rsidP="00084859">
      <w:r w:rsidRPr="002022B6">
        <w:t>Health Council of the Netherlands</w:t>
      </w:r>
      <w:r>
        <w:t xml:space="preserve"> (HCOTN) (2001) </w:t>
      </w:r>
      <w:r w:rsidRPr="007B14D6">
        <w:t>Bornan-2-one (camphor, synthetic)</w:t>
      </w:r>
      <w:r w:rsidRPr="005F7416">
        <w:t xml:space="preserve">. Health-based calculated occupational cancer risk values. The Hague: Health Council of the Netherlands; publication no. </w:t>
      </w:r>
      <w:r w:rsidRPr="007B14D6">
        <w:t>2000/15OSH/018</w:t>
      </w:r>
      <w:r>
        <w:t>.</w:t>
      </w:r>
    </w:p>
    <w:p w14:paraId="3D33D01D" w14:textId="77777777" w:rsidR="00A10AEA" w:rsidRDefault="00A10AEA" w:rsidP="00A10AEA">
      <w:r>
        <w:t xml:space="preserve">US National Institute for Occupational Safety and Health (NIOSH) (1994) Immediately dangerous to life or health concentrations – camphor. </w:t>
      </w:r>
    </w:p>
    <w:p w14:paraId="07C3CDB1" w14:textId="77777777" w:rsidR="00A10AEA" w:rsidRDefault="00A10AEA" w:rsidP="00084859"/>
    <w:sectPr w:rsidR="00A10AEA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0B8A" w14:textId="77777777" w:rsidR="008244B6" w:rsidRDefault="008244B6" w:rsidP="00F43AD5">
      <w:pPr>
        <w:spacing w:after="0" w:line="240" w:lineRule="auto"/>
      </w:pPr>
      <w:r>
        <w:separator/>
      </w:r>
    </w:p>
  </w:endnote>
  <w:endnote w:type="continuationSeparator" w:id="0">
    <w:p w14:paraId="5F4FD10D" w14:textId="77777777" w:rsidR="008244B6" w:rsidRDefault="008244B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821592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E5E01BB" w14:textId="77777777" w:rsidR="008A36CF" w:rsidRDefault="0095021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Camphor, synthetic</w:t>
        </w:r>
        <w:r w:rsidR="008A36CF">
          <w:rPr>
            <w:b/>
            <w:sz w:val="18"/>
            <w:szCs w:val="18"/>
          </w:rPr>
          <w:t xml:space="preserve"> (</w:t>
        </w:r>
        <w:r w:rsidR="00AF7097">
          <w:rPr>
            <w:b/>
            <w:sz w:val="18"/>
            <w:szCs w:val="18"/>
          </w:rPr>
          <w:t>76-22-2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7752372" w14:textId="451BD45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621E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C9E62" w14:textId="77777777" w:rsidR="008244B6" w:rsidRDefault="008244B6" w:rsidP="00F43AD5">
      <w:pPr>
        <w:spacing w:after="0" w:line="240" w:lineRule="auto"/>
      </w:pPr>
      <w:r>
        <w:separator/>
      </w:r>
    </w:p>
  </w:footnote>
  <w:footnote w:type="continuationSeparator" w:id="0">
    <w:p w14:paraId="4637D716" w14:textId="77777777" w:rsidR="008244B6" w:rsidRDefault="008244B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7288" w14:textId="565E5F2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164A02" wp14:editId="6122033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AAEC" w14:textId="32057C83" w:rsidR="00B621EC" w:rsidRDefault="00B621EC" w:rsidP="00B621EC">
    <w:pPr>
      <w:pStyle w:val="Header"/>
      <w:jc w:val="right"/>
    </w:pPr>
    <w:r>
      <w:rPr>
        <w:noProof/>
        <w:lang w:eastAsia="en-AU"/>
      </w:rPr>
      <w:drawing>
        <wp:inline distT="0" distB="0" distL="0" distR="0" wp14:anchorId="6CC6196A" wp14:editId="06C9F71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81A34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B6E4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E5C5D5D"/>
    <w:multiLevelType w:val="hybridMultilevel"/>
    <w:tmpl w:val="E77E7D6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49817994">
    <w:abstractNumId w:val="0"/>
  </w:num>
  <w:num w:numId="2" w16cid:durableId="1717008169">
    <w:abstractNumId w:val="0"/>
  </w:num>
  <w:num w:numId="3" w16cid:durableId="1789003066">
    <w:abstractNumId w:val="0"/>
  </w:num>
  <w:num w:numId="4" w16cid:durableId="1748652408">
    <w:abstractNumId w:val="0"/>
  </w:num>
  <w:num w:numId="5" w16cid:durableId="96800476">
    <w:abstractNumId w:val="0"/>
  </w:num>
  <w:num w:numId="6" w16cid:durableId="1339847913">
    <w:abstractNumId w:val="0"/>
  </w:num>
  <w:num w:numId="7" w16cid:durableId="1699042227">
    <w:abstractNumId w:val="0"/>
  </w:num>
  <w:num w:numId="8" w16cid:durableId="14254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335"/>
    <w:rsid w:val="00013A22"/>
    <w:rsid w:val="00014C3F"/>
    <w:rsid w:val="00017C82"/>
    <w:rsid w:val="000308AF"/>
    <w:rsid w:val="00032B88"/>
    <w:rsid w:val="00046DF5"/>
    <w:rsid w:val="0005057C"/>
    <w:rsid w:val="00052060"/>
    <w:rsid w:val="0005574A"/>
    <w:rsid w:val="00055FE1"/>
    <w:rsid w:val="0005601E"/>
    <w:rsid w:val="00056EC2"/>
    <w:rsid w:val="00060B48"/>
    <w:rsid w:val="00067F32"/>
    <w:rsid w:val="00071807"/>
    <w:rsid w:val="000803E1"/>
    <w:rsid w:val="00084513"/>
    <w:rsid w:val="00084859"/>
    <w:rsid w:val="00085593"/>
    <w:rsid w:val="00092D94"/>
    <w:rsid w:val="0009434D"/>
    <w:rsid w:val="000B0868"/>
    <w:rsid w:val="000B19D5"/>
    <w:rsid w:val="000B3E12"/>
    <w:rsid w:val="000B3E78"/>
    <w:rsid w:val="000B5A5E"/>
    <w:rsid w:val="000B7B48"/>
    <w:rsid w:val="000C096D"/>
    <w:rsid w:val="000C139A"/>
    <w:rsid w:val="000C2053"/>
    <w:rsid w:val="000C248C"/>
    <w:rsid w:val="000D1F69"/>
    <w:rsid w:val="000D291C"/>
    <w:rsid w:val="000E225C"/>
    <w:rsid w:val="000E2DA5"/>
    <w:rsid w:val="000E5A54"/>
    <w:rsid w:val="000E5E85"/>
    <w:rsid w:val="000E63D3"/>
    <w:rsid w:val="000E67CF"/>
    <w:rsid w:val="000F5EB7"/>
    <w:rsid w:val="0010461E"/>
    <w:rsid w:val="00106FAA"/>
    <w:rsid w:val="00113443"/>
    <w:rsid w:val="001269A7"/>
    <w:rsid w:val="00127595"/>
    <w:rsid w:val="00131092"/>
    <w:rsid w:val="00140E6A"/>
    <w:rsid w:val="00146545"/>
    <w:rsid w:val="00146B75"/>
    <w:rsid w:val="0015266D"/>
    <w:rsid w:val="0015288A"/>
    <w:rsid w:val="00152F05"/>
    <w:rsid w:val="00153CCB"/>
    <w:rsid w:val="00160F47"/>
    <w:rsid w:val="001620B5"/>
    <w:rsid w:val="00177CA1"/>
    <w:rsid w:val="00183823"/>
    <w:rsid w:val="00183942"/>
    <w:rsid w:val="001869E7"/>
    <w:rsid w:val="001A009E"/>
    <w:rsid w:val="001A1287"/>
    <w:rsid w:val="001A2926"/>
    <w:rsid w:val="001A3859"/>
    <w:rsid w:val="001A3C9D"/>
    <w:rsid w:val="001A43F8"/>
    <w:rsid w:val="001A45DE"/>
    <w:rsid w:val="001A684F"/>
    <w:rsid w:val="001B072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1EA2"/>
    <w:rsid w:val="00222533"/>
    <w:rsid w:val="00222915"/>
    <w:rsid w:val="00222F30"/>
    <w:rsid w:val="0022471E"/>
    <w:rsid w:val="00224EE2"/>
    <w:rsid w:val="00227EC7"/>
    <w:rsid w:val="00244AD1"/>
    <w:rsid w:val="002463BC"/>
    <w:rsid w:val="002465CE"/>
    <w:rsid w:val="0025734A"/>
    <w:rsid w:val="002629B4"/>
    <w:rsid w:val="00263255"/>
    <w:rsid w:val="0026552B"/>
    <w:rsid w:val="00267BC8"/>
    <w:rsid w:val="00276494"/>
    <w:rsid w:val="00277B0C"/>
    <w:rsid w:val="002B17EA"/>
    <w:rsid w:val="002B1A2C"/>
    <w:rsid w:val="002C1CF6"/>
    <w:rsid w:val="002C34F2"/>
    <w:rsid w:val="002C58FF"/>
    <w:rsid w:val="002C7AFE"/>
    <w:rsid w:val="002D05D2"/>
    <w:rsid w:val="002E0D61"/>
    <w:rsid w:val="002E4C7B"/>
    <w:rsid w:val="002F0405"/>
    <w:rsid w:val="0030740C"/>
    <w:rsid w:val="00307C9B"/>
    <w:rsid w:val="00314E3B"/>
    <w:rsid w:val="00315833"/>
    <w:rsid w:val="003215EE"/>
    <w:rsid w:val="003224BF"/>
    <w:rsid w:val="003241A8"/>
    <w:rsid w:val="003253F0"/>
    <w:rsid w:val="00331C4A"/>
    <w:rsid w:val="003337DA"/>
    <w:rsid w:val="00334EFB"/>
    <w:rsid w:val="00335CDE"/>
    <w:rsid w:val="003365A5"/>
    <w:rsid w:val="00340540"/>
    <w:rsid w:val="00341945"/>
    <w:rsid w:val="003427CC"/>
    <w:rsid w:val="00347192"/>
    <w:rsid w:val="0034744C"/>
    <w:rsid w:val="00351FE0"/>
    <w:rsid w:val="00352615"/>
    <w:rsid w:val="0035412B"/>
    <w:rsid w:val="003567A8"/>
    <w:rsid w:val="00362895"/>
    <w:rsid w:val="00367FA0"/>
    <w:rsid w:val="00370DBF"/>
    <w:rsid w:val="00386093"/>
    <w:rsid w:val="003904A4"/>
    <w:rsid w:val="00391841"/>
    <w:rsid w:val="00391B6D"/>
    <w:rsid w:val="003944AE"/>
    <w:rsid w:val="00394922"/>
    <w:rsid w:val="003963C4"/>
    <w:rsid w:val="00396E62"/>
    <w:rsid w:val="003A0E32"/>
    <w:rsid w:val="003A2B94"/>
    <w:rsid w:val="003A6121"/>
    <w:rsid w:val="003B387D"/>
    <w:rsid w:val="003C0D58"/>
    <w:rsid w:val="003C21BA"/>
    <w:rsid w:val="003D30A8"/>
    <w:rsid w:val="003D41E7"/>
    <w:rsid w:val="003D4FA3"/>
    <w:rsid w:val="003E0807"/>
    <w:rsid w:val="003E080F"/>
    <w:rsid w:val="003E4448"/>
    <w:rsid w:val="003E5046"/>
    <w:rsid w:val="003E51FB"/>
    <w:rsid w:val="003E6B39"/>
    <w:rsid w:val="003F07E1"/>
    <w:rsid w:val="004030BC"/>
    <w:rsid w:val="00403F7D"/>
    <w:rsid w:val="00406785"/>
    <w:rsid w:val="00406F36"/>
    <w:rsid w:val="004079B4"/>
    <w:rsid w:val="00417A56"/>
    <w:rsid w:val="00420957"/>
    <w:rsid w:val="00422A10"/>
    <w:rsid w:val="00426B4C"/>
    <w:rsid w:val="00430179"/>
    <w:rsid w:val="004414B5"/>
    <w:rsid w:val="00442BB2"/>
    <w:rsid w:val="00444482"/>
    <w:rsid w:val="00444B42"/>
    <w:rsid w:val="00445E44"/>
    <w:rsid w:val="004509E2"/>
    <w:rsid w:val="004515EE"/>
    <w:rsid w:val="004529F0"/>
    <w:rsid w:val="00460A03"/>
    <w:rsid w:val="00464D6F"/>
    <w:rsid w:val="00472A11"/>
    <w:rsid w:val="00472AAD"/>
    <w:rsid w:val="00474E33"/>
    <w:rsid w:val="00476803"/>
    <w:rsid w:val="00485BFD"/>
    <w:rsid w:val="004867A2"/>
    <w:rsid w:val="004873F2"/>
    <w:rsid w:val="004904A5"/>
    <w:rsid w:val="00490D4C"/>
    <w:rsid w:val="00493A35"/>
    <w:rsid w:val="004942E7"/>
    <w:rsid w:val="0049527A"/>
    <w:rsid w:val="004966BF"/>
    <w:rsid w:val="00497984"/>
    <w:rsid w:val="004A5088"/>
    <w:rsid w:val="004C1E3F"/>
    <w:rsid w:val="004C23F4"/>
    <w:rsid w:val="004C3475"/>
    <w:rsid w:val="004C58B6"/>
    <w:rsid w:val="004C7316"/>
    <w:rsid w:val="004D16A3"/>
    <w:rsid w:val="004D4443"/>
    <w:rsid w:val="004D4AA1"/>
    <w:rsid w:val="004D564B"/>
    <w:rsid w:val="004D6D68"/>
    <w:rsid w:val="004E4532"/>
    <w:rsid w:val="004E5EDD"/>
    <w:rsid w:val="004F448A"/>
    <w:rsid w:val="004F493D"/>
    <w:rsid w:val="004F65E8"/>
    <w:rsid w:val="0050005E"/>
    <w:rsid w:val="00502B88"/>
    <w:rsid w:val="005142C4"/>
    <w:rsid w:val="00515080"/>
    <w:rsid w:val="0051509C"/>
    <w:rsid w:val="005272E2"/>
    <w:rsid w:val="0053108F"/>
    <w:rsid w:val="00532B56"/>
    <w:rsid w:val="00534B10"/>
    <w:rsid w:val="00537D45"/>
    <w:rsid w:val="005446A2"/>
    <w:rsid w:val="00544D2F"/>
    <w:rsid w:val="00551BD8"/>
    <w:rsid w:val="005553CA"/>
    <w:rsid w:val="00557210"/>
    <w:rsid w:val="0056106A"/>
    <w:rsid w:val="00562BAC"/>
    <w:rsid w:val="00565EBD"/>
    <w:rsid w:val="00577C96"/>
    <w:rsid w:val="00581055"/>
    <w:rsid w:val="00581F62"/>
    <w:rsid w:val="00587C8D"/>
    <w:rsid w:val="00591E38"/>
    <w:rsid w:val="005A19C5"/>
    <w:rsid w:val="005A3034"/>
    <w:rsid w:val="005A462D"/>
    <w:rsid w:val="005B253B"/>
    <w:rsid w:val="005B4063"/>
    <w:rsid w:val="005B771D"/>
    <w:rsid w:val="005C37B6"/>
    <w:rsid w:val="005C50C5"/>
    <w:rsid w:val="005C5D16"/>
    <w:rsid w:val="005D3193"/>
    <w:rsid w:val="005D4A6E"/>
    <w:rsid w:val="005E6979"/>
    <w:rsid w:val="005E73E9"/>
    <w:rsid w:val="005E75CB"/>
    <w:rsid w:val="00601272"/>
    <w:rsid w:val="006013C1"/>
    <w:rsid w:val="0060669E"/>
    <w:rsid w:val="00610F2E"/>
    <w:rsid w:val="00611399"/>
    <w:rsid w:val="0062208A"/>
    <w:rsid w:val="00624C4E"/>
    <w:rsid w:val="00625200"/>
    <w:rsid w:val="006253ED"/>
    <w:rsid w:val="006306D5"/>
    <w:rsid w:val="006347EE"/>
    <w:rsid w:val="006363A8"/>
    <w:rsid w:val="00636DB7"/>
    <w:rsid w:val="00645A2F"/>
    <w:rsid w:val="00650905"/>
    <w:rsid w:val="006532ED"/>
    <w:rsid w:val="006549F2"/>
    <w:rsid w:val="006567B7"/>
    <w:rsid w:val="00657BFB"/>
    <w:rsid w:val="0066333C"/>
    <w:rsid w:val="006639B4"/>
    <w:rsid w:val="00664FD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65CE"/>
    <w:rsid w:val="006A4887"/>
    <w:rsid w:val="006B160A"/>
    <w:rsid w:val="006B4E6C"/>
    <w:rsid w:val="006B50B6"/>
    <w:rsid w:val="006B6658"/>
    <w:rsid w:val="006C2434"/>
    <w:rsid w:val="006C39FE"/>
    <w:rsid w:val="006D79EA"/>
    <w:rsid w:val="006E14C1"/>
    <w:rsid w:val="006E3429"/>
    <w:rsid w:val="006E5D05"/>
    <w:rsid w:val="006E7905"/>
    <w:rsid w:val="00701053"/>
    <w:rsid w:val="007010E1"/>
    <w:rsid w:val="00701507"/>
    <w:rsid w:val="00714021"/>
    <w:rsid w:val="007141E8"/>
    <w:rsid w:val="00716A0F"/>
    <w:rsid w:val="00717D45"/>
    <w:rsid w:val="007208F7"/>
    <w:rsid w:val="007218AF"/>
    <w:rsid w:val="007365D1"/>
    <w:rsid w:val="00736609"/>
    <w:rsid w:val="00740E0E"/>
    <w:rsid w:val="00747DBA"/>
    <w:rsid w:val="00750212"/>
    <w:rsid w:val="00754779"/>
    <w:rsid w:val="0075716D"/>
    <w:rsid w:val="00764A06"/>
    <w:rsid w:val="00765F14"/>
    <w:rsid w:val="00770E31"/>
    <w:rsid w:val="0077235E"/>
    <w:rsid w:val="007770F1"/>
    <w:rsid w:val="00783FB1"/>
    <w:rsid w:val="00785CDD"/>
    <w:rsid w:val="00791847"/>
    <w:rsid w:val="007925F0"/>
    <w:rsid w:val="007939B3"/>
    <w:rsid w:val="0079509C"/>
    <w:rsid w:val="00796708"/>
    <w:rsid w:val="007B14D6"/>
    <w:rsid w:val="007B1B42"/>
    <w:rsid w:val="007C30EB"/>
    <w:rsid w:val="007E063C"/>
    <w:rsid w:val="007E0F9F"/>
    <w:rsid w:val="007E2648"/>
    <w:rsid w:val="007E2A4B"/>
    <w:rsid w:val="007E307D"/>
    <w:rsid w:val="007E3948"/>
    <w:rsid w:val="007E6A4E"/>
    <w:rsid w:val="007E6C94"/>
    <w:rsid w:val="007F02AA"/>
    <w:rsid w:val="007F0547"/>
    <w:rsid w:val="007F1005"/>
    <w:rsid w:val="007F25E0"/>
    <w:rsid w:val="007F5328"/>
    <w:rsid w:val="00804F5A"/>
    <w:rsid w:val="00810C6D"/>
    <w:rsid w:val="00812887"/>
    <w:rsid w:val="00820131"/>
    <w:rsid w:val="008244B6"/>
    <w:rsid w:val="00826F21"/>
    <w:rsid w:val="00834CC8"/>
    <w:rsid w:val="00835E00"/>
    <w:rsid w:val="00837113"/>
    <w:rsid w:val="008414E4"/>
    <w:rsid w:val="00843E21"/>
    <w:rsid w:val="0084508E"/>
    <w:rsid w:val="0084751B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5A0C"/>
    <w:rsid w:val="008B403C"/>
    <w:rsid w:val="008B7983"/>
    <w:rsid w:val="008C2511"/>
    <w:rsid w:val="008D026D"/>
    <w:rsid w:val="008D23AB"/>
    <w:rsid w:val="008D4B8B"/>
    <w:rsid w:val="008D5A78"/>
    <w:rsid w:val="008E7B64"/>
    <w:rsid w:val="008F272B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21E"/>
    <w:rsid w:val="00950EDE"/>
    <w:rsid w:val="0095260E"/>
    <w:rsid w:val="009578DD"/>
    <w:rsid w:val="00957B2D"/>
    <w:rsid w:val="00961124"/>
    <w:rsid w:val="009621B6"/>
    <w:rsid w:val="00974F2D"/>
    <w:rsid w:val="00977524"/>
    <w:rsid w:val="00977E88"/>
    <w:rsid w:val="00984920"/>
    <w:rsid w:val="009872DD"/>
    <w:rsid w:val="0099303A"/>
    <w:rsid w:val="009971C2"/>
    <w:rsid w:val="009A1254"/>
    <w:rsid w:val="009A5565"/>
    <w:rsid w:val="009B2FF2"/>
    <w:rsid w:val="009B380C"/>
    <w:rsid w:val="009B4843"/>
    <w:rsid w:val="009B530A"/>
    <w:rsid w:val="009B6543"/>
    <w:rsid w:val="009C199D"/>
    <w:rsid w:val="009C278F"/>
    <w:rsid w:val="009C2B94"/>
    <w:rsid w:val="009C5874"/>
    <w:rsid w:val="009C5FDD"/>
    <w:rsid w:val="009D3B5A"/>
    <w:rsid w:val="009D45B2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532"/>
    <w:rsid w:val="00A10AEA"/>
    <w:rsid w:val="00A10FCE"/>
    <w:rsid w:val="00A13271"/>
    <w:rsid w:val="00A1652C"/>
    <w:rsid w:val="00A16D91"/>
    <w:rsid w:val="00A170FF"/>
    <w:rsid w:val="00A174CC"/>
    <w:rsid w:val="00A2073D"/>
    <w:rsid w:val="00A20751"/>
    <w:rsid w:val="00A26BBD"/>
    <w:rsid w:val="00A27E2D"/>
    <w:rsid w:val="00A31D99"/>
    <w:rsid w:val="00A357BA"/>
    <w:rsid w:val="00A35ADC"/>
    <w:rsid w:val="00A36C41"/>
    <w:rsid w:val="00A402A3"/>
    <w:rsid w:val="00A47552"/>
    <w:rsid w:val="00A47B26"/>
    <w:rsid w:val="00A53681"/>
    <w:rsid w:val="00A633D4"/>
    <w:rsid w:val="00A6461A"/>
    <w:rsid w:val="00A7109B"/>
    <w:rsid w:val="00A7238D"/>
    <w:rsid w:val="00A84504"/>
    <w:rsid w:val="00A8672F"/>
    <w:rsid w:val="00A93057"/>
    <w:rsid w:val="00A968B0"/>
    <w:rsid w:val="00AB2534"/>
    <w:rsid w:val="00AB2672"/>
    <w:rsid w:val="00AB2817"/>
    <w:rsid w:val="00AB43C4"/>
    <w:rsid w:val="00AB5410"/>
    <w:rsid w:val="00AC32E7"/>
    <w:rsid w:val="00AC3A9F"/>
    <w:rsid w:val="00AC6B7E"/>
    <w:rsid w:val="00AC6D2F"/>
    <w:rsid w:val="00AE2745"/>
    <w:rsid w:val="00AE2F64"/>
    <w:rsid w:val="00AF0F6C"/>
    <w:rsid w:val="00AF42CB"/>
    <w:rsid w:val="00AF483F"/>
    <w:rsid w:val="00AF5E07"/>
    <w:rsid w:val="00AF5F06"/>
    <w:rsid w:val="00AF7097"/>
    <w:rsid w:val="00B00A25"/>
    <w:rsid w:val="00B071D7"/>
    <w:rsid w:val="00B1422A"/>
    <w:rsid w:val="00B1765C"/>
    <w:rsid w:val="00B213C4"/>
    <w:rsid w:val="00B25E8B"/>
    <w:rsid w:val="00B40C60"/>
    <w:rsid w:val="00B4266B"/>
    <w:rsid w:val="00B4470C"/>
    <w:rsid w:val="00B44BDE"/>
    <w:rsid w:val="00B479A9"/>
    <w:rsid w:val="00B52EDF"/>
    <w:rsid w:val="00B621EC"/>
    <w:rsid w:val="00B71188"/>
    <w:rsid w:val="00B76A41"/>
    <w:rsid w:val="00B87D4C"/>
    <w:rsid w:val="00B93646"/>
    <w:rsid w:val="00BA0B38"/>
    <w:rsid w:val="00BA1DBB"/>
    <w:rsid w:val="00BA4510"/>
    <w:rsid w:val="00BA529A"/>
    <w:rsid w:val="00BA6242"/>
    <w:rsid w:val="00BB4BF3"/>
    <w:rsid w:val="00BB612A"/>
    <w:rsid w:val="00BD45D6"/>
    <w:rsid w:val="00BD499F"/>
    <w:rsid w:val="00BD56DE"/>
    <w:rsid w:val="00BF2406"/>
    <w:rsid w:val="00BF531F"/>
    <w:rsid w:val="00C04455"/>
    <w:rsid w:val="00C05F27"/>
    <w:rsid w:val="00C069CE"/>
    <w:rsid w:val="00C06E43"/>
    <w:rsid w:val="00C12986"/>
    <w:rsid w:val="00C16315"/>
    <w:rsid w:val="00C26513"/>
    <w:rsid w:val="00C3091E"/>
    <w:rsid w:val="00C3752E"/>
    <w:rsid w:val="00C40FF1"/>
    <w:rsid w:val="00C419E2"/>
    <w:rsid w:val="00C44BE2"/>
    <w:rsid w:val="00C45A7F"/>
    <w:rsid w:val="00C5020E"/>
    <w:rsid w:val="00C57452"/>
    <w:rsid w:val="00C61EDF"/>
    <w:rsid w:val="00C6239D"/>
    <w:rsid w:val="00C6594B"/>
    <w:rsid w:val="00C67FFB"/>
    <w:rsid w:val="00C7155E"/>
    <w:rsid w:val="00C7193B"/>
    <w:rsid w:val="00C71D1E"/>
    <w:rsid w:val="00C71D7D"/>
    <w:rsid w:val="00C74833"/>
    <w:rsid w:val="00C82756"/>
    <w:rsid w:val="00C850A0"/>
    <w:rsid w:val="00C85A86"/>
    <w:rsid w:val="00C91D05"/>
    <w:rsid w:val="00C978F0"/>
    <w:rsid w:val="00CA57A1"/>
    <w:rsid w:val="00CA58FE"/>
    <w:rsid w:val="00CB1CB1"/>
    <w:rsid w:val="00CB6BC1"/>
    <w:rsid w:val="00CB6CB8"/>
    <w:rsid w:val="00CC1A68"/>
    <w:rsid w:val="00CC2123"/>
    <w:rsid w:val="00CD2BFD"/>
    <w:rsid w:val="00CD5414"/>
    <w:rsid w:val="00CD7269"/>
    <w:rsid w:val="00CE5AD6"/>
    <w:rsid w:val="00CE617F"/>
    <w:rsid w:val="00CE78EF"/>
    <w:rsid w:val="00D048F7"/>
    <w:rsid w:val="00D0517E"/>
    <w:rsid w:val="00D140FC"/>
    <w:rsid w:val="00D21D8C"/>
    <w:rsid w:val="00D2479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5581"/>
    <w:rsid w:val="00D973B7"/>
    <w:rsid w:val="00D97989"/>
    <w:rsid w:val="00D97D8D"/>
    <w:rsid w:val="00DA352E"/>
    <w:rsid w:val="00DB01EB"/>
    <w:rsid w:val="00DB0DCA"/>
    <w:rsid w:val="00DC5A2A"/>
    <w:rsid w:val="00DC7694"/>
    <w:rsid w:val="00DD1BF6"/>
    <w:rsid w:val="00DD2F9B"/>
    <w:rsid w:val="00DE2513"/>
    <w:rsid w:val="00DE26E8"/>
    <w:rsid w:val="00DE6630"/>
    <w:rsid w:val="00DF6F36"/>
    <w:rsid w:val="00E0084C"/>
    <w:rsid w:val="00E025AB"/>
    <w:rsid w:val="00E02B23"/>
    <w:rsid w:val="00E06F40"/>
    <w:rsid w:val="00E07CE8"/>
    <w:rsid w:val="00E15ADE"/>
    <w:rsid w:val="00E24149"/>
    <w:rsid w:val="00E2597F"/>
    <w:rsid w:val="00E26A07"/>
    <w:rsid w:val="00E32595"/>
    <w:rsid w:val="00E34493"/>
    <w:rsid w:val="00E37CFD"/>
    <w:rsid w:val="00E41A26"/>
    <w:rsid w:val="00E46BCB"/>
    <w:rsid w:val="00E51CAF"/>
    <w:rsid w:val="00E60F04"/>
    <w:rsid w:val="00E62AAC"/>
    <w:rsid w:val="00E67C2F"/>
    <w:rsid w:val="00E67EF5"/>
    <w:rsid w:val="00E7270A"/>
    <w:rsid w:val="00E763E9"/>
    <w:rsid w:val="00E804EA"/>
    <w:rsid w:val="00E80A71"/>
    <w:rsid w:val="00E82337"/>
    <w:rsid w:val="00E92499"/>
    <w:rsid w:val="00E949AF"/>
    <w:rsid w:val="00E95542"/>
    <w:rsid w:val="00E96077"/>
    <w:rsid w:val="00EA0A06"/>
    <w:rsid w:val="00EA6243"/>
    <w:rsid w:val="00EA74AB"/>
    <w:rsid w:val="00EB3D1B"/>
    <w:rsid w:val="00ED1D89"/>
    <w:rsid w:val="00ED4920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49C"/>
    <w:rsid w:val="00F16019"/>
    <w:rsid w:val="00F20E68"/>
    <w:rsid w:val="00F22093"/>
    <w:rsid w:val="00F236DF"/>
    <w:rsid w:val="00F31624"/>
    <w:rsid w:val="00F31E70"/>
    <w:rsid w:val="00F406C9"/>
    <w:rsid w:val="00F43AD5"/>
    <w:rsid w:val="00F4402E"/>
    <w:rsid w:val="00F44B3E"/>
    <w:rsid w:val="00F52C1B"/>
    <w:rsid w:val="00F53608"/>
    <w:rsid w:val="00F56DD0"/>
    <w:rsid w:val="00F6491C"/>
    <w:rsid w:val="00F67BBB"/>
    <w:rsid w:val="00F75A9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7ED"/>
    <w:rsid w:val="00FE19C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87F57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14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49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49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49C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557210"/>
    <w:p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DBA"/>
    <w:rPr>
      <w:rFonts w:ascii="Courier New" w:eastAsia="Times New Roman" w:hAnsi="Courier New" w:cs="Courier New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21E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A6D4C219E434CCDAE9F79799A0CE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62517-A15F-43B2-A1BD-FE5B4AFE8762}"/>
      </w:docPartPr>
      <w:docPartBody>
        <w:p w:rsidR="00F833CE" w:rsidRDefault="001D34E5" w:rsidP="001D34E5">
          <w:pPr>
            <w:pStyle w:val="1A6D4C219E434CCDAE9F79799A0CE85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D9E65A02FBA4FA5BB8D62D034ACF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DC8B8-95FA-44EF-A4D7-BAC08E50F78D}"/>
      </w:docPartPr>
      <w:docPartBody>
        <w:p w:rsidR="00F833CE" w:rsidRDefault="001D34E5" w:rsidP="001D34E5">
          <w:pPr>
            <w:pStyle w:val="BD9E65A02FBA4FA5BB8D62D034ACF68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F650313C01D4A26AFDF235CE5E12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44B6A-DC26-4882-A386-708D558D3217}"/>
      </w:docPartPr>
      <w:docPartBody>
        <w:p w:rsidR="00F833CE" w:rsidRDefault="001D34E5" w:rsidP="001D34E5">
          <w:pPr>
            <w:pStyle w:val="0F650313C01D4A26AFDF235CE5E1293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FBA9F16C31F439BBB0956DC660AB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84C17-A7C8-4ED9-9688-D239816A2712}"/>
      </w:docPartPr>
      <w:docPartBody>
        <w:p w:rsidR="009133FF" w:rsidRDefault="00F833CE" w:rsidP="00F833CE">
          <w:pPr>
            <w:pStyle w:val="3FBA9F16C31F439BBB0956DC660AB12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4A72"/>
    <w:rsid w:val="001D34E5"/>
    <w:rsid w:val="00223A53"/>
    <w:rsid w:val="00315ED3"/>
    <w:rsid w:val="00576C16"/>
    <w:rsid w:val="007010E1"/>
    <w:rsid w:val="007D059D"/>
    <w:rsid w:val="008A5A0C"/>
    <w:rsid w:val="009133FF"/>
    <w:rsid w:val="00B614A5"/>
    <w:rsid w:val="00D21A9F"/>
    <w:rsid w:val="00F833CE"/>
    <w:rsid w:val="00FB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33C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A6D4C219E434CCDAE9F79799A0CE85F">
    <w:name w:val="1A6D4C219E434CCDAE9F79799A0CE85F"/>
    <w:rsid w:val="001D34E5"/>
    <w:rPr>
      <w:lang w:val="en-US" w:eastAsia="en-US"/>
    </w:rPr>
  </w:style>
  <w:style w:type="paragraph" w:customStyle="1" w:styleId="BD9E65A02FBA4FA5BB8D62D034ACF682">
    <w:name w:val="BD9E65A02FBA4FA5BB8D62D034ACF682"/>
    <w:rsid w:val="001D34E5"/>
    <w:rPr>
      <w:lang w:val="en-US" w:eastAsia="en-US"/>
    </w:rPr>
  </w:style>
  <w:style w:type="paragraph" w:customStyle="1" w:styleId="0F650313C01D4A26AFDF235CE5E12935">
    <w:name w:val="0F650313C01D4A26AFDF235CE5E12935"/>
    <w:rsid w:val="001D34E5"/>
    <w:rPr>
      <w:lang w:val="en-US" w:eastAsia="en-US"/>
    </w:rPr>
  </w:style>
  <w:style w:type="paragraph" w:customStyle="1" w:styleId="3FBA9F16C31F439BBB0956DC660AB12D">
    <w:name w:val="3FBA9F16C31F439BBB0956DC660AB12D"/>
    <w:rsid w:val="00F833C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65A43E-D637-4FC1-BCBB-84D8EAE61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072E5-FFA5-4779-BA44-169C50E94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1c567317-0c4d-4a62-8516-c22afd1b5354"/>
    <ds:schemaRef ds:uri="http://schemas.openxmlformats.org/package/2006/metadata/core-properties"/>
    <ds:schemaRef ds:uri="a0509f21-ed56-4150-9955-96be669e5f2d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34</cp:revision>
  <cp:lastPrinted>2018-10-22T22:41:00Z</cp:lastPrinted>
  <dcterms:created xsi:type="dcterms:W3CDTF">2019-07-24T06:01:00Z</dcterms:created>
  <dcterms:modified xsi:type="dcterms:W3CDTF">2026-01-08T23:38:00Z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2025-12-18T05:52:25Z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6dffc3e6-a9d5-4b98-84c6-3e0e9fbe15fe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