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Content>
        <w:p w14:paraId="70F2106F" w14:textId="77777777" w:rsidR="00BD499F" w:rsidRPr="002766E6" w:rsidRDefault="009B5889" w:rsidP="00B40C60">
          <w:pPr>
            <w:pStyle w:val="Heading1"/>
            <w:jc w:val="center"/>
            <w:rPr>
              <w:rFonts w:ascii="Arial" w:hAnsi="Arial" w:cs="Arial"/>
            </w:rPr>
          </w:pPr>
          <w:r w:rsidRPr="002766E6">
            <w:rPr>
              <w:rFonts w:ascii="Arial" w:hAnsi="Arial" w:cs="Arial"/>
            </w:rPr>
            <w:t>Cadmium and compounds (as Cd)</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4"/>
        <w:gridCol w:w="5032"/>
      </w:tblGrid>
      <w:tr w:rsidR="00F43AD5" w:rsidRPr="002766E6" w14:paraId="7F9A6325" w14:textId="77777777" w:rsidTr="00B76A41">
        <w:trPr>
          <w:cantSplit/>
          <w:tblHeader/>
        </w:trPr>
        <w:tc>
          <w:tcPr>
            <w:tcW w:w="4077" w:type="dxa"/>
          </w:tcPr>
          <w:p w14:paraId="116D75AD" w14:textId="77777777" w:rsidR="00F43AD5" w:rsidRPr="002766E6" w:rsidRDefault="00CB1CB1" w:rsidP="00B76A41">
            <w:pPr>
              <w:pStyle w:val="Tablerowright"/>
            </w:pPr>
            <w:r w:rsidRPr="002766E6">
              <w:t>CAS number:</w:t>
            </w:r>
          </w:p>
        </w:tc>
        <w:tc>
          <w:tcPr>
            <w:tcW w:w="5165" w:type="dxa"/>
          </w:tcPr>
          <w:p w14:paraId="2F48315C" w14:textId="77777777" w:rsidR="00F43AD5" w:rsidRPr="002766E6" w:rsidRDefault="00DC0F77" w:rsidP="00B76A41">
            <w:pPr>
              <w:pStyle w:val="Tablefont"/>
            </w:pPr>
            <w:r w:rsidRPr="002766E6">
              <w:t>7440-43-9</w:t>
            </w:r>
          </w:p>
        </w:tc>
      </w:tr>
      <w:tr w:rsidR="00F43AD5" w:rsidRPr="002766E6" w14:paraId="65F6D14B" w14:textId="77777777" w:rsidTr="00B76A41">
        <w:trPr>
          <w:cantSplit/>
        </w:trPr>
        <w:tc>
          <w:tcPr>
            <w:tcW w:w="4077" w:type="dxa"/>
          </w:tcPr>
          <w:p w14:paraId="60DA82A4" w14:textId="77777777" w:rsidR="00F43AD5" w:rsidRPr="002766E6" w:rsidRDefault="00CB1CB1" w:rsidP="00B76A41">
            <w:pPr>
              <w:pStyle w:val="Tablerowright"/>
            </w:pPr>
            <w:r w:rsidRPr="002766E6">
              <w:t>Synonyms:</w:t>
            </w:r>
          </w:p>
        </w:tc>
        <w:tc>
          <w:tcPr>
            <w:tcW w:w="5165" w:type="dxa"/>
          </w:tcPr>
          <w:p w14:paraId="39D2C5B0" w14:textId="77777777" w:rsidR="00F43AD5" w:rsidRPr="002766E6" w:rsidRDefault="00DA6478" w:rsidP="00B76A41">
            <w:pPr>
              <w:pStyle w:val="Tablefont"/>
            </w:pPr>
            <w:r w:rsidRPr="002766E6">
              <w:t>—</w:t>
            </w:r>
          </w:p>
        </w:tc>
      </w:tr>
      <w:tr w:rsidR="00F43AD5" w:rsidRPr="002766E6" w14:paraId="375EEB21" w14:textId="77777777" w:rsidTr="00B76A41">
        <w:trPr>
          <w:cantSplit/>
        </w:trPr>
        <w:tc>
          <w:tcPr>
            <w:tcW w:w="4077" w:type="dxa"/>
          </w:tcPr>
          <w:p w14:paraId="48C81AB7" w14:textId="77777777" w:rsidR="00F43AD5" w:rsidRPr="002766E6" w:rsidRDefault="00CB1CB1" w:rsidP="00B76A41">
            <w:pPr>
              <w:pStyle w:val="Tablerowright"/>
            </w:pPr>
            <w:r w:rsidRPr="002766E6">
              <w:t>Chemical formula:</w:t>
            </w:r>
          </w:p>
        </w:tc>
        <w:tc>
          <w:tcPr>
            <w:tcW w:w="5165" w:type="dxa"/>
          </w:tcPr>
          <w:p w14:paraId="3FB5AA9C" w14:textId="77777777" w:rsidR="00F43AD5" w:rsidRPr="002766E6" w:rsidRDefault="00DA6478" w:rsidP="00B76A41">
            <w:pPr>
              <w:pStyle w:val="Tablefont"/>
            </w:pPr>
            <w:r w:rsidRPr="002766E6">
              <w:t>Cd</w:t>
            </w:r>
          </w:p>
        </w:tc>
      </w:tr>
      <w:tr w:rsidR="00F43AD5" w:rsidRPr="002766E6" w14:paraId="671ED31D" w14:textId="77777777" w:rsidTr="00B76A41">
        <w:trPr>
          <w:cantSplit/>
        </w:trPr>
        <w:tc>
          <w:tcPr>
            <w:tcW w:w="4077" w:type="dxa"/>
          </w:tcPr>
          <w:p w14:paraId="4F6F1D44" w14:textId="77777777" w:rsidR="00F43AD5" w:rsidRPr="002766E6" w:rsidRDefault="00CB1CB1" w:rsidP="00B76A41">
            <w:pPr>
              <w:pStyle w:val="Tablerowright"/>
            </w:pPr>
            <w:r w:rsidRPr="002766E6">
              <w:t>Structural formula:</w:t>
            </w:r>
          </w:p>
        </w:tc>
        <w:tc>
          <w:tcPr>
            <w:tcW w:w="5165" w:type="dxa"/>
          </w:tcPr>
          <w:p w14:paraId="74C29018" w14:textId="77777777" w:rsidR="00F43AD5" w:rsidRPr="002766E6" w:rsidRDefault="00F43AD5" w:rsidP="00B76A41">
            <w:pPr>
              <w:pStyle w:val="Tablerowheading"/>
              <w:rPr>
                <w:b w:val="0"/>
              </w:rPr>
            </w:pPr>
          </w:p>
        </w:tc>
      </w:tr>
    </w:tbl>
    <w:p w14:paraId="2495FD0B" w14:textId="01AD2CA2" w:rsidR="00AE2745" w:rsidRPr="002766E6" w:rsidRDefault="00AE2745" w:rsidP="00AE2745">
      <w:pPr>
        <w:pStyle w:val="WES"/>
        <w:tabs>
          <w:tab w:val="left" w:pos="2041"/>
        </w:tabs>
      </w:pPr>
      <w:r w:rsidRPr="002766E6">
        <w:tab/>
        <w:t xml:space="preserve">Workplace exposure standard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Content>
          <w:r w:rsidR="00602E17" w:rsidRPr="002766E6">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7"/>
        <w:gridCol w:w="5029"/>
      </w:tblGrid>
      <w:tr w:rsidR="002C7AFE" w:rsidRPr="002766E6" w14:paraId="6AF29AFD" w14:textId="77777777" w:rsidTr="00610F2E">
        <w:trPr>
          <w:cantSplit/>
          <w:tblHeader/>
        </w:trPr>
        <w:tc>
          <w:tcPr>
            <w:tcW w:w="4077" w:type="dxa"/>
            <w:vAlign w:val="center"/>
          </w:tcPr>
          <w:p w14:paraId="29194BFD" w14:textId="77777777" w:rsidR="002C7AFE" w:rsidRPr="002766E6" w:rsidRDefault="00921DE7" w:rsidP="00921DE7">
            <w:pPr>
              <w:pStyle w:val="Tablerowright"/>
            </w:pPr>
            <w:r w:rsidRPr="002766E6">
              <w:t>TWA:</w:t>
            </w:r>
          </w:p>
        </w:tc>
        <w:tc>
          <w:tcPr>
            <w:tcW w:w="5165" w:type="dxa"/>
          </w:tcPr>
          <w:p w14:paraId="4A84FD34" w14:textId="77777777" w:rsidR="002C7AFE" w:rsidRPr="002766E6" w:rsidRDefault="00602E17" w:rsidP="00017C82">
            <w:pPr>
              <w:pStyle w:val="Tablefont"/>
              <w:rPr>
                <w:b/>
              </w:rPr>
            </w:pPr>
            <w:r w:rsidRPr="002766E6">
              <w:rPr>
                <w:b/>
              </w:rPr>
              <w:t>1 µg/m</w:t>
            </w:r>
            <w:r w:rsidRPr="002766E6">
              <w:rPr>
                <w:b/>
                <w:vertAlign w:val="superscript"/>
              </w:rPr>
              <w:t>3</w:t>
            </w:r>
          </w:p>
        </w:tc>
      </w:tr>
      <w:tr w:rsidR="002C7AFE" w:rsidRPr="002766E6" w14:paraId="488B6C16" w14:textId="77777777" w:rsidTr="00921DE7">
        <w:trPr>
          <w:cantSplit/>
        </w:trPr>
        <w:tc>
          <w:tcPr>
            <w:tcW w:w="4077" w:type="dxa"/>
            <w:vAlign w:val="center"/>
          </w:tcPr>
          <w:p w14:paraId="7830D9B6" w14:textId="77777777" w:rsidR="002C7AFE" w:rsidRPr="002766E6" w:rsidRDefault="002C7AFE" w:rsidP="00921DE7">
            <w:pPr>
              <w:pStyle w:val="Tablerowright"/>
            </w:pPr>
            <w:r w:rsidRPr="002766E6">
              <w:t>STEL</w:t>
            </w:r>
            <w:r w:rsidR="00921DE7" w:rsidRPr="002766E6">
              <w:t>:</w:t>
            </w:r>
          </w:p>
        </w:tc>
        <w:tc>
          <w:tcPr>
            <w:tcW w:w="5165" w:type="dxa"/>
          </w:tcPr>
          <w:p w14:paraId="051D1A6D" w14:textId="77777777" w:rsidR="002C7AFE" w:rsidRPr="002766E6" w:rsidRDefault="003A4B1C" w:rsidP="00017C82">
            <w:pPr>
              <w:pStyle w:val="Tablefont"/>
              <w:rPr>
                <w:b/>
              </w:rPr>
            </w:pPr>
            <w:r w:rsidRPr="002766E6">
              <w:rPr>
                <w:b/>
              </w:rPr>
              <w:t>—</w:t>
            </w:r>
          </w:p>
        </w:tc>
      </w:tr>
      <w:tr w:rsidR="002C7AFE" w:rsidRPr="002766E6" w14:paraId="7A17D26A" w14:textId="77777777" w:rsidTr="00921DE7">
        <w:trPr>
          <w:cantSplit/>
        </w:trPr>
        <w:tc>
          <w:tcPr>
            <w:tcW w:w="4077" w:type="dxa"/>
            <w:vAlign w:val="center"/>
          </w:tcPr>
          <w:p w14:paraId="27BE7371" w14:textId="77777777" w:rsidR="002C7AFE" w:rsidRPr="002766E6" w:rsidRDefault="00921DE7" w:rsidP="00921DE7">
            <w:pPr>
              <w:pStyle w:val="Tablerowright"/>
            </w:pPr>
            <w:r w:rsidRPr="002766E6">
              <w:t>Peak limitation:</w:t>
            </w:r>
          </w:p>
        </w:tc>
        <w:tc>
          <w:tcPr>
            <w:tcW w:w="5165" w:type="dxa"/>
          </w:tcPr>
          <w:p w14:paraId="505F7BA9" w14:textId="77777777" w:rsidR="002C7AFE" w:rsidRPr="002766E6" w:rsidRDefault="003A4B1C" w:rsidP="00017C82">
            <w:pPr>
              <w:pStyle w:val="Tablefont"/>
              <w:rPr>
                <w:b/>
              </w:rPr>
            </w:pPr>
            <w:r w:rsidRPr="002766E6">
              <w:rPr>
                <w:b/>
              </w:rPr>
              <w:t>—</w:t>
            </w:r>
          </w:p>
        </w:tc>
      </w:tr>
      <w:tr w:rsidR="002C7AFE" w:rsidRPr="002766E6" w14:paraId="021D3E29" w14:textId="77777777" w:rsidTr="00A2073D">
        <w:trPr>
          <w:cantSplit/>
        </w:trPr>
        <w:tc>
          <w:tcPr>
            <w:tcW w:w="4077" w:type="dxa"/>
          </w:tcPr>
          <w:p w14:paraId="7EF02C68" w14:textId="77777777" w:rsidR="002C7AFE" w:rsidRPr="002766E6" w:rsidRDefault="00A2073D" w:rsidP="003241A8">
            <w:pPr>
              <w:pStyle w:val="Tablerowright"/>
            </w:pPr>
            <w:r w:rsidRPr="002766E6">
              <w:rPr>
                <w:b w:val="0"/>
                <w:bCs/>
                <w:color w:val="000000" w:themeColor="text1"/>
              </w:rPr>
              <w:tab/>
            </w:r>
            <w:r w:rsidR="00921DE7" w:rsidRPr="002766E6">
              <w:t>Notations:</w:t>
            </w:r>
          </w:p>
        </w:tc>
        <w:tc>
          <w:tcPr>
            <w:tcW w:w="5165" w:type="dxa"/>
          </w:tcPr>
          <w:p w14:paraId="5EE49461" w14:textId="77777777" w:rsidR="002C7AFE" w:rsidRPr="002766E6" w:rsidRDefault="00F8756E" w:rsidP="008A36CF">
            <w:pPr>
              <w:pStyle w:val="Tablefont"/>
              <w:rPr>
                <w:b/>
              </w:rPr>
            </w:pPr>
            <w:proofErr w:type="spellStart"/>
            <w:r w:rsidRPr="002766E6">
              <w:rPr>
                <w:b/>
              </w:rPr>
              <w:t>Carc</w:t>
            </w:r>
            <w:proofErr w:type="spellEnd"/>
            <w:r w:rsidRPr="002766E6">
              <w:rPr>
                <w:b/>
              </w:rPr>
              <w:t>. 2</w:t>
            </w:r>
          </w:p>
        </w:tc>
      </w:tr>
      <w:tr w:rsidR="002C7AFE" w:rsidRPr="002766E6" w14:paraId="44933472" w14:textId="77777777" w:rsidTr="00921DE7">
        <w:trPr>
          <w:cantSplit/>
        </w:trPr>
        <w:tc>
          <w:tcPr>
            <w:tcW w:w="4077" w:type="dxa"/>
            <w:vAlign w:val="center"/>
          </w:tcPr>
          <w:p w14:paraId="36E6541B" w14:textId="77777777" w:rsidR="00F10C97" w:rsidRPr="002766E6" w:rsidRDefault="00921DE7" w:rsidP="009F04D2">
            <w:pPr>
              <w:pStyle w:val="Tablerowright"/>
            </w:pPr>
            <w:r w:rsidRPr="002766E6">
              <w:t>IDLH:</w:t>
            </w:r>
          </w:p>
        </w:tc>
        <w:tc>
          <w:tcPr>
            <w:tcW w:w="5165" w:type="dxa"/>
          </w:tcPr>
          <w:p w14:paraId="3D3565E7" w14:textId="77777777" w:rsidR="002C7AFE" w:rsidRPr="002766E6" w:rsidRDefault="00EB64D0" w:rsidP="00017C82">
            <w:pPr>
              <w:pStyle w:val="Tablefont"/>
              <w:rPr>
                <w:b/>
              </w:rPr>
            </w:pPr>
            <w:r w:rsidRPr="002766E6">
              <w:rPr>
                <w:b/>
              </w:rPr>
              <w:t>9 mg/m</w:t>
            </w:r>
            <w:r w:rsidRPr="002766E6">
              <w:rPr>
                <w:b/>
                <w:vertAlign w:val="superscript"/>
              </w:rPr>
              <w:t>3</w:t>
            </w:r>
          </w:p>
        </w:tc>
      </w:tr>
      <w:tr w:rsidR="009F04D2" w:rsidRPr="002766E6" w14:paraId="574B7705" w14:textId="77777777" w:rsidTr="001F097A">
        <w:trPr>
          <w:cantSplit/>
        </w:trPr>
        <w:tc>
          <w:tcPr>
            <w:tcW w:w="4077" w:type="dxa"/>
          </w:tcPr>
          <w:p w14:paraId="5E4FD7F9" w14:textId="77777777" w:rsidR="009F04D2" w:rsidRPr="002766E6" w:rsidRDefault="009F04D2" w:rsidP="001F097A">
            <w:pPr>
              <w:pStyle w:val="Tablerowright"/>
            </w:pPr>
            <w:r w:rsidRPr="002766E6">
              <w:t>Sampling and analysis:</w:t>
            </w:r>
          </w:p>
        </w:tc>
        <w:tc>
          <w:tcPr>
            <w:tcW w:w="5165" w:type="dxa"/>
          </w:tcPr>
          <w:p w14:paraId="381D4E23" w14:textId="3B598A1D" w:rsidR="009F04D2" w:rsidRPr="001F097A" w:rsidRDefault="0069156A" w:rsidP="00BE5680">
            <w:pPr>
              <w:pStyle w:val="Tablefont"/>
            </w:pPr>
            <w:r w:rsidRPr="0069156A">
              <w:t>The recommended value is quantifiable through available sampling and analysis techniques</w:t>
            </w:r>
            <w:r w:rsidR="0081027D" w:rsidRPr="001F097A">
              <w:t xml:space="preserve">. </w:t>
            </w:r>
          </w:p>
        </w:tc>
      </w:tr>
    </w:tbl>
    <w:p w14:paraId="0521E0A6" w14:textId="77777777" w:rsidR="00CB1CB1" w:rsidRPr="002766E6" w:rsidRDefault="00F10C97" w:rsidP="003365A5">
      <w:pPr>
        <w:pStyle w:val="Heading2"/>
      </w:pPr>
      <w:r w:rsidRPr="002766E6">
        <w:t>Recommendation and basis for workplace exposure standard</w:t>
      </w:r>
    </w:p>
    <w:p w14:paraId="7FB3EE02" w14:textId="74ACD037" w:rsidR="006639B4" w:rsidRPr="002766E6" w:rsidRDefault="00F8756E" w:rsidP="000C139A">
      <w:pPr>
        <w:rPr>
          <w:rFonts w:cs="Arial"/>
        </w:rPr>
      </w:pPr>
      <w:r w:rsidRPr="002766E6">
        <w:rPr>
          <w:rFonts w:cs="Arial"/>
        </w:rPr>
        <w:t>A TWA of 1</w:t>
      </w:r>
      <w:r w:rsidR="00247D8B" w:rsidRPr="002766E6">
        <w:rPr>
          <w:rFonts w:cs="Arial"/>
        </w:rPr>
        <w:t xml:space="preserve"> </w:t>
      </w:r>
      <w:r w:rsidRPr="002766E6">
        <w:rPr>
          <w:rFonts w:cs="Arial"/>
        </w:rPr>
        <w:t>µg/m</w:t>
      </w:r>
      <w:r w:rsidRPr="002766E6">
        <w:rPr>
          <w:rFonts w:cs="Arial"/>
          <w:vertAlign w:val="superscript"/>
        </w:rPr>
        <w:t>3</w:t>
      </w:r>
      <w:r w:rsidRPr="002766E6">
        <w:rPr>
          <w:rFonts w:cs="Arial"/>
        </w:rPr>
        <w:t xml:space="preserve"> </w:t>
      </w:r>
      <w:r w:rsidR="00BE1161" w:rsidRPr="002766E6">
        <w:rPr>
          <w:rFonts w:cs="Arial"/>
        </w:rPr>
        <w:t xml:space="preserve">is recommended </w:t>
      </w:r>
      <w:r w:rsidRPr="002766E6">
        <w:rPr>
          <w:rFonts w:cs="Arial"/>
        </w:rPr>
        <w:t xml:space="preserve">to protect for effects on the kidneys </w:t>
      </w:r>
      <w:r w:rsidR="003E481C" w:rsidRPr="002766E6">
        <w:rPr>
          <w:rFonts w:cs="Arial"/>
        </w:rPr>
        <w:t>in</w:t>
      </w:r>
      <w:r w:rsidR="00BE1161" w:rsidRPr="002766E6">
        <w:rPr>
          <w:rFonts w:cs="Arial"/>
        </w:rPr>
        <w:t xml:space="preserve"> </w:t>
      </w:r>
      <w:r w:rsidR="008C24D8" w:rsidRPr="002766E6">
        <w:rPr>
          <w:rFonts w:cs="Arial"/>
        </w:rPr>
        <w:t xml:space="preserve">exposed </w:t>
      </w:r>
      <w:r w:rsidR="00BE1161" w:rsidRPr="002766E6">
        <w:rPr>
          <w:rFonts w:cs="Arial"/>
        </w:rPr>
        <w:t>workers</w:t>
      </w:r>
      <w:r w:rsidR="00424803" w:rsidRPr="002766E6">
        <w:rPr>
          <w:rFonts w:cs="Arial"/>
        </w:rPr>
        <w:t>.</w:t>
      </w:r>
    </w:p>
    <w:p w14:paraId="34BEBB4A" w14:textId="77777777" w:rsidR="00C7155E" w:rsidRPr="002766E6" w:rsidRDefault="00F10C97" w:rsidP="003365A5">
      <w:pPr>
        <w:pStyle w:val="Heading2"/>
      </w:pPr>
      <w:r w:rsidRPr="002766E6">
        <w:t>Discussion and conclusions</w:t>
      </w:r>
    </w:p>
    <w:p w14:paraId="1423C367" w14:textId="77777777" w:rsidR="00133602" w:rsidRPr="002766E6" w:rsidRDefault="005C65F7" w:rsidP="00A168A6">
      <w:r w:rsidRPr="002766E6">
        <w:t>Cadmium is</w:t>
      </w:r>
      <w:r w:rsidR="006A194A" w:rsidRPr="002766E6">
        <w:t xml:space="preserve"> a naturally occurring element </w:t>
      </w:r>
      <w:r w:rsidR="003A4B1C" w:rsidRPr="002766E6">
        <w:t>that</w:t>
      </w:r>
      <w:r w:rsidR="006A194A" w:rsidRPr="002766E6">
        <w:t xml:space="preserve"> is</w:t>
      </w:r>
      <w:r w:rsidRPr="002766E6">
        <w:t xml:space="preserve"> primarily used as a coating for other metals and can be found in a range of consumer products. It is also recovered as a by-product during the refining of zinc, lead and copper.</w:t>
      </w:r>
      <w:r w:rsidR="00564DA1" w:rsidRPr="002766E6">
        <w:t xml:space="preserve"> </w:t>
      </w:r>
    </w:p>
    <w:p w14:paraId="3B0BFEC4" w14:textId="733EFFD4" w:rsidR="00D1043D" w:rsidRPr="002766E6" w:rsidRDefault="006A194A" w:rsidP="00A168A6">
      <w:r w:rsidRPr="002766E6">
        <w:t>The critical health effects include systemic long-term effects on the kid</w:t>
      </w:r>
      <w:r w:rsidR="00953B1C" w:rsidRPr="002766E6">
        <w:t>neys and lung cancer.</w:t>
      </w:r>
      <w:r w:rsidR="00564DA1" w:rsidRPr="002766E6">
        <w:t xml:space="preserve"> </w:t>
      </w:r>
      <w:r w:rsidR="00953B1C" w:rsidRPr="002766E6">
        <w:t xml:space="preserve">Carcinogenic effects were </w:t>
      </w:r>
      <w:r w:rsidR="00133602" w:rsidRPr="002766E6">
        <w:t>reported</w:t>
      </w:r>
      <w:r w:rsidR="00953B1C" w:rsidRPr="002766E6">
        <w:t xml:space="preserve"> in rats after </w:t>
      </w:r>
      <w:r w:rsidR="00133602" w:rsidRPr="002766E6">
        <w:t xml:space="preserve">multiple routes of </w:t>
      </w:r>
      <w:r w:rsidR="00953B1C" w:rsidRPr="002766E6">
        <w:t>exposure</w:t>
      </w:r>
      <w:r w:rsidR="00D1770B" w:rsidRPr="002766E6">
        <w:t xml:space="preserve">. </w:t>
      </w:r>
      <w:r w:rsidR="00953B1C" w:rsidRPr="002766E6">
        <w:t xml:space="preserve">An epidemiological study found no excess cancer </w:t>
      </w:r>
      <w:r w:rsidR="007769B4" w:rsidRPr="002766E6">
        <w:t xml:space="preserve">incidence </w:t>
      </w:r>
      <w:r w:rsidR="00953B1C" w:rsidRPr="002766E6">
        <w:t xml:space="preserve">in workers exposed to an estimated cumulative exposure </w:t>
      </w:r>
      <w:r w:rsidR="007769B4" w:rsidRPr="002766E6">
        <w:t xml:space="preserve">of cadmium </w:t>
      </w:r>
      <w:r w:rsidR="00953B1C" w:rsidRPr="002766E6">
        <w:t xml:space="preserve">corresponding to a </w:t>
      </w:r>
      <w:r w:rsidR="002766E6" w:rsidRPr="002766E6">
        <w:t>40-year</w:t>
      </w:r>
      <w:r w:rsidR="00953B1C" w:rsidRPr="002766E6">
        <w:t xml:space="preserve"> TWA of 21 to </w:t>
      </w:r>
      <w:r w:rsidR="00133602" w:rsidRPr="002766E6">
        <w:t>40 </w:t>
      </w:r>
      <w:r w:rsidR="00953B1C" w:rsidRPr="002766E6">
        <w:t>mg/m</w:t>
      </w:r>
      <w:r w:rsidR="00953B1C" w:rsidRPr="002766E6">
        <w:rPr>
          <w:vertAlign w:val="superscript"/>
        </w:rPr>
        <w:t>3</w:t>
      </w:r>
      <w:r w:rsidR="00953B1C" w:rsidRPr="002766E6">
        <w:t>.</w:t>
      </w:r>
      <w:r w:rsidR="00564DA1" w:rsidRPr="002766E6">
        <w:t xml:space="preserve"> </w:t>
      </w:r>
      <w:r w:rsidR="00D1043D" w:rsidRPr="002766E6">
        <w:t xml:space="preserve">Cadmium oxide </w:t>
      </w:r>
      <w:r w:rsidR="00133602" w:rsidRPr="002766E6">
        <w:t>is</w:t>
      </w:r>
      <w:r w:rsidR="00D1043D" w:rsidRPr="002766E6">
        <w:t xml:space="preserve"> acutely toxic in rats with a reported inhalation LC</w:t>
      </w:r>
      <w:r w:rsidR="00D1043D" w:rsidRPr="002766E6">
        <w:rPr>
          <w:vertAlign w:val="subscript"/>
        </w:rPr>
        <w:t xml:space="preserve">50 </w:t>
      </w:r>
      <w:r w:rsidR="00D1043D" w:rsidRPr="002766E6">
        <w:t>of 25 mg/m</w:t>
      </w:r>
      <w:r w:rsidR="00D1043D" w:rsidRPr="002766E6">
        <w:rPr>
          <w:vertAlign w:val="superscript"/>
        </w:rPr>
        <w:t>3</w:t>
      </w:r>
      <w:r w:rsidR="00D1043D" w:rsidRPr="002766E6">
        <w:t xml:space="preserve">. </w:t>
      </w:r>
      <w:r w:rsidR="00A168A6" w:rsidRPr="002766E6">
        <w:t>Acute</w:t>
      </w:r>
      <w:r w:rsidR="00133602" w:rsidRPr="002766E6">
        <w:t xml:space="preserve">, high exposures </w:t>
      </w:r>
      <w:r w:rsidR="00133602" w:rsidRPr="002766E6">
        <w:rPr>
          <w:i/>
        </w:rPr>
        <w:t>via</w:t>
      </w:r>
      <w:r w:rsidR="00A168A6" w:rsidRPr="002766E6">
        <w:t xml:space="preserve"> inhalation</w:t>
      </w:r>
      <w:r w:rsidR="00133602" w:rsidRPr="002766E6">
        <w:t xml:space="preserve"> are</w:t>
      </w:r>
      <w:r w:rsidR="00A168A6" w:rsidRPr="002766E6">
        <w:t xml:space="preserve"> reported to be intensely irritating and to result in severe respiratory effects in humans</w:t>
      </w:r>
      <w:r w:rsidR="00133602" w:rsidRPr="002766E6">
        <w:t xml:space="preserve"> including metal fume fever</w:t>
      </w:r>
      <w:r w:rsidR="00A168A6" w:rsidRPr="002766E6">
        <w:t xml:space="preserve"> (ACGIH, 2018; DFG, 2006).</w:t>
      </w:r>
    </w:p>
    <w:p w14:paraId="56396F75" w14:textId="7F043D72" w:rsidR="00D1043D" w:rsidRPr="002766E6" w:rsidRDefault="00F8756E" w:rsidP="00953B1C">
      <w:r w:rsidRPr="002766E6">
        <w:t>A study reviewing p</w:t>
      </w:r>
      <w:r w:rsidR="00A168A6" w:rsidRPr="002766E6">
        <w:t xml:space="preserve">ublished </w:t>
      </w:r>
      <w:r w:rsidRPr="002766E6">
        <w:t xml:space="preserve">data </w:t>
      </w:r>
      <w:r w:rsidR="00A168A6" w:rsidRPr="002766E6">
        <w:t>has</w:t>
      </w:r>
      <w:r w:rsidRPr="002766E6">
        <w:t xml:space="preserve"> presented </w:t>
      </w:r>
      <w:r w:rsidR="00A168A6" w:rsidRPr="002766E6">
        <w:t>a cumulative life-time lowest-effect exposure of 0.1 to 0.4 mg/m</w:t>
      </w:r>
      <w:r w:rsidR="00A168A6" w:rsidRPr="002766E6">
        <w:rPr>
          <w:vertAlign w:val="superscript"/>
        </w:rPr>
        <w:t>3</w:t>
      </w:r>
      <w:r w:rsidR="00E77A61" w:rsidRPr="002766E6">
        <w:t xml:space="preserve"> per </w:t>
      </w:r>
      <w:r w:rsidR="00A168A6" w:rsidRPr="002766E6">
        <w:t>y</w:t>
      </w:r>
      <w:r w:rsidR="00E77A61" w:rsidRPr="002766E6">
        <w:t>ea</w:t>
      </w:r>
      <w:r w:rsidR="00A168A6" w:rsidRPr="002766E6">
        <w:t>r for kidney effects in workers</w:t>
      </w:r>
      <w:r w:rsidR="002E6CAE">
        <w:t xml:space="preserve"> (</w:t>
      </w:r>
      <w:r w:rsidR="00AB65E1">
        <w:t>SCOEL, 2017</w:t>
      </w:r>
      <w:r w:rsidR="00AD33FE">
        <w:t>)</w:t>
      </w:r>
      <w:r w:rsidRPr="002766E6">
        <w:t>.</w:t>
      </w:r>
      <w:r w:rsidR="00564DA1" w:rsidRPr="002766E6">
        <w:t xml:space="preserve"> </w:t>
      </w:r>
      <w:r w:rsidRPr="002766E6">
        <w:t>This value</w:t>
      </w:r>
      <w:r w:rsidR="00A168A6" w:rsidRPr="002766E6">
        <w:t xml:space="preserve"> </w:t>
      </w:r>
      <w:r w:rsidR="00104CAD" w:rsidRPr="002766E6">
        <w:t xml:space="preserve">equates to </w:t>
      </w:r>
      <w:r w:rsidR="00A168A6" w:rsidRPr="002766E6">
        <w:t>an LOAEC of 0.0025 mg/m</w:t>
      </w:r>
      <w:r w:rsidR="00A168A6" w:rsidRPr="002766E6">
        <w:rPr>
          <w:vertAlign w:val="superscript"/>
        </w:rPr>
        <w:t>3</w:t>
      </w:r>
      <w:r w:rsidRPr="002766E6">
        <w:t>.</w:t>
      </w:r>
      <w:r w:rsidR="00564DA1" w:rsidRPr="002766E6">
        <w:t xml:space="preserve"> </w:t>
      </w:r>
      <w:r w:rsidR="00953B1C" w:rsidRPr="002766E6">
        <w:t>Applying an uncertainty factor of 2 to account for lack of NOAEC derives a TWA</w:t>
      </w:r>
      <w:r w:rsidR="00564DA1" w:rsidRPr="002766E6">
        <w:t xml:space="preserve"> </w:t>
      </w:r>
      <w:r w:rsidR="00104CAD" w:rsidRPr="002766E6">
        <w:t xml:space="preserve">of </w:t>
      </w:r>
      <w:r w:rsidR="00953B1C" w:rsidRPr="002766E6">
        <w:rPr>
          <w:rFonts w:cs="Arial"/>
        </w:rPr>
        <w:t>1</w:t>
      </w:r>
      <w:r w:rsidR="003733AB">
        <w:rPr>
          <w:rFonts w:cs="Arial"/>
        </w:rPr>
        <w:t> </w:t>
      </w:r>
      <w:r w:rsidR="00953B1C" w:rsidRPr="002766E6">
        <w:rPr>
          <w:rFonts w:cs="Arial"/>
        </w:rPr>
        <w:t>µg/m</w:t>
      </w:r>
      <w:r w:rsidR="00953B1C" w:rsidRPr="002766E6">
        <w:rPr>
          <w:rFonts w:cs="Arial"/>
          <w:vertAlign w:val="superscript"/>
        </w:rPr>
        <w:t>3</w:t>
      </w:r>
      <w:r w:rsidR="00953B1C" w:rsidRPr="002766E6">
        <w:rPr>
          <w:rFonts w:cs="Arial"/>
        </w:rPr>
        <w:t>. This TWA is considered sufficiently low to protect for adverse effects in kidneys and reduce the risk of cancer in exposed workers</w:t>
      </w:r>
      <w:r w:rsidR="00C8585B" w:rsidRPr="002766E6">
        <w:rPr>
          <w:rFonts w:cs="Arial"/>
        </w:rPr>
        <w:t xml:space="preserve"> (SCOEL, 2017; HCTON, 2013)</w:t>
      </w:r>
      <w:r w:rsidR="003A4B1C" w:rsidRPr="002766E6">
        <w:rPr>
          <w:rFonts w:cs="Arial"/>
        </w:rPr>
        <w:t>.</w:t>
      </w:r>
    </w:p>
    <w:p w14:paraId="7475B591" w14:textId="77777777" w:rsidR="004529F0" w:rsidRPr="002766E6" w:rsidRDefault="004529F0" w:rsidP="00602E17">
      <w:pPr>
        <w:pStyle w:val="Heading2"/>
        <w:rPr>
          <w:color w:val="auto"/>
        </w:rPr>
      </w:pPr>
      <w:r w:rsidRPr="002766E6">
        <w:rPr>
          <w:color w:val="auto"/>
        </w:rPr>
        <w:t>Recommendation for notations</w:t>
      </w:r>
    </w:p>
    <w:p w14:paraId="62C36240" w14:textId="77777777" w:rsidR="00C8585B" w:rsidRPr="002766E6" w:rsidRDefault="00C8585B" w:rsidP="00C8585B">
      <w:pPr>
        <w:rPr>
          <w:rFonts w:cs="Arial"/>
        </w:rPr>
      </w:pPr>
      <w:r w:rsidRPr="002766E6">
        <w:rPr>
          <w:rFonts w:cs="Arial"/>
        </w:rPr>
        <w:t xml:space="preserve">Classified as a </w:t>
      </w:r>
      <w:r w:rsidR="00987256" w:rsidRPr="002766E6">
        <w:rPr>
          <w:rFonts w:cs="Arial"/>
        </w:rPr>
        <w:t>category 2</w:t>
      </w:r>
      <w:r w:rsidR="0071279E" w:rsidRPr="002766E6">
        <w:rPr>
          <w:rFonts w:cs="Arial"/>
        </w:rPr>
        <w:t xml:space="preserve"> </w:t>
      </w:r>
      <w:r w:rsidRPr="002766E6">
        <w:rPr>
          <w:rFonts w:cs="Arial"/>
        </w:rPr>
        <w:t xml:space="preserve">carcinogen according to the Globally </w:t>
      </w:r>
      <w:r w:rsidR="00987256" w:rsidRPr="002766E6">
        <w:rPr>
          <w:rFonts w:cs="Arial"/>
        </w:rPr>
        <w:t xml:space="preserve">Harmonized </w:t>
      </w:r>
      <w:r w:rsidRPr="002766E6">
        <w:rPr>
          <w:rFonts w:cs="Arial"/>
        </w:rPr>
        <w:t>System of Classification and Labelling o</w:t>
      </w:r>
      <w:r w:rsidR="00D80C42" w:rsidRPr="002766E6">
        <w:rPr>
          <w:rFonts w:cs="Arial"/>
        </w:rPr>
        <w:t>f</w:t>
      </w:r>
      <w:r w:rsidRPr="002766E6">
        <w:rPr>
          <w:rFonts w:cs="Arial"/>
        </w:rPr>
        <w:t xml:space="preserve"> Chemicals (GHS). </w:t>
      </w:r>
    </w:p>
    <w:p w14:paraId="7C9D24B6" w14:textId="77777777" w:rsidR="00C8585B" w:rsidRPr="002766E6" w:rsidRDefault="00C8585B" w:rsidP="00C8585B">
      <w:pPr>
        <w:rPr>
          <w:rFonts w:cs="Arial"/>
        </w:rPr>
      </w:pPr>
      <w:r w:rsidRPr="002766E6">
        <w:rPr>
          <w:rFonts w:cs="Arial"/>
        </w:rPr>
        <w:t xml:space="preserve">Not classified as a skin </w:t>
      </w:r>
      <w:r w:rsidR="00104CAD" w:rsidRPr="002766E6">
        <w:rPr>
          <w:rFonts w:cs="Arial"/>
        </w:rPr>
        <w:t xml:space="preserve">sensitiser </w:t>
      </w:r>
      <w:r w:rsidRPr="002766E6">
        <w:rPr>
          <w:rFonts w:cs="Arial"/>
        </w:rPr>
        <w:t>or respiratory sensitiser according to the GHS</w:t>
      </w:r>
      <w:r w:rsidR="00E872B4" w:rsidRPr="002766E6">
        <w:rPr>
          <w:rFonts w:cs="Arial"/>
        </w:rPr>
        <w:t>.</w:t>
      </w:r>
    </w:p>
    <w:p w14:paraId="339656CD" w14:textId="77777777" w:rsidR="004529F0" w:rsidRPr="002766E6" w:rsidRDefault="00133602" w:rsidP="004529F0">
      <w:pPr>
        <w:rPr>
          <w:rFonts w:cs="Arial"/>
        </w:rPr>
      </w:pPr>
      <w:r w:rsidRPr="002766E6">
        <w:rPr>
          <w:rFonts w:cs="Arial"/>
        </w:rPr>
        <w:lastRenderedPageBreak/>
        <w:t>There are i</w:t>
      </w:r>
      <w:r w:rsidR="00C8585B" w:rsidRPr="002766E6">
        <w:rPr>
          <w:rFonts w:cs="Arial"/>
        </w:rPr>
        <w:t xml:space="preserve">nsufficient </w:t>
      </w:r>
      <w:r w:rsidRPr="002766E6">
        <w:rPr>
          <w:rFonts w:cs="Arial"/>
        </w:rPr>
        <w:t>data</w:t>
      </w:r>
      <w:r w:rsidR="00C8585B" w:rsidRPr="002766E6">
        <w:rPr>
          <w:rFonts w:cs="Arial"/>
        </w:rPr>
        <w:t xml:space="preserve"> to recommend a</w:t>
      </w:r>
      <w:r w:rsidR="00E872B4" w:rsidRPr="002766E6">
        <w:rPr>
          <w:rFonts w:cs="Arial"/>
        </w:rPr>
        <w:t xml:space="preserve"> skin notation.</w:t>
      </w:r>
    </w:p>
    <w:p w14:paraId="298CB38A" w14:textId="77777777" w:rsidR="005E6979" w:rsidRPr="002766E6" w:rsidRDefault="005E6979">
      <w:pPr>
        <w:rPr>
          <w:rFonts w:cs="Arial"/>
        </w:rPr>
        <w:sectPr w:rsidR="005E6979" w:rsidRPr="002766E6"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15D09066" w14:textId="77777777" w:rsidR="0034744C" w:rsidRPr="002766E6" w:rsidRDefault="005E6979" w:rsidP="005E6979">
      <w:pPr>
        <w:pStyle w:val="Heading1"/>
        <w:rPr>
          <w:rFonts w:ascii="Arial" w:hAnsi="Arial" w:cs="Arial"/>
        </w:rPr>
      </w:pPr>
      <w:r w:rsidRPr="002766E6">
        <w:rPr>
          <w:rFonts w:ascii="Arial" w:hAnsi="Arial" w:cs="Arial"/>
        </w:rPr>
        <w:lastRenderedPageBreak/>
        <w:t>Appendix</w:t>
      </w:r>
    </w:p>
    <w:p w14:paraId="7D4055AB" w14:textId="77777777" w:rsidR="008D026D" w:rsidRPr="002766E6" w:rsidRDefault="00B479A9" w:rsidP="003365A5">
      <w:pPr>
        <w:pStyle w:val="Heading3"/>
      </w:pPr>
      <w:r w:rsidRPr="002766E6">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2766E6" w14:paraId="74D78250" w14:textId="77777777" w:rsidTr="00DE26E8">
        <w:trPr>
          <w:gridAfter w:val="1"/>
          <w:wAfter w:w="8" w:type="pct"/>
          <w:cantSplit/>
          <w:trHeight w:val="393"/>
          <w:tblHeader/>
        </w:trPr>
        <w:tc>
          <w:tcPr>
            <w:tcW w:w="4992" w:type="pct"/>
            <w:shd w:val="clear" w:color="auto" w:fill="BFBFBF" w:themeFill="background1" w:themeFillShade="BF"/>
            <w:vAlign w:val="center"/>
          </w:tcPr>
          <w:p w14:paraId="28237F4D" w14:textId="77777777" w:rsidR="00C978F0" w:rsidRPr="002766E6" w:rsidRDefault="00C978F0" w:rsidP="00C67FFB">
            <w:pPr>
              <w:pStyle w:val="Tableheader"/>
              <w:tabs>
                <w:tab w:val="left" w:pos="1418"/>
                <w:tab w:val="left" w:pos="2552"/>
                <w:tab w:val="right" w:pos="8489"/>
              </w:tabs>
            </w:pPr>
            <w:r w:rsidRPr="002766E6">
              <w:t>Source</w:t>
            </w:r>
            <w:r w:rsidR="00DA352E" w:rsidRPr="002766E6">
              <w:tab/>
              <w:t>Year set</w:t>
            </w:r>
            <w:r w:rsidR="00DA352E" w:rsidRPr="002766E6">
              <w:tab/>
              <w:t>Standard</w:t>
            </w:r>
            <w:r w:rsidR="00974F2D" w:rsidRPr="002766E6">
              <w:tab/>
            </w:r>
          </w:p>
        </w:tc>
      </w:tr>
      <w:tr w:rsidR="00DE26E8" w:rsidRPr="002766E6" w14:paraId="7E4424E5" w14:textId="77777777" w:rsidTr="00DE26E8">
        <w:trPr>
          <w:cantSplit/>
        </w:trPr>
        <w:tc>
          <w:tcPr>
            <w:tcW w:w="5000" w:type="pct"/>
            <w:gridSpan w:val="2"/>
            <w:shd w:val="clear" w:color="auto" w:fill="F2F2F2" w:themeFill="background1" w:themeFillShade="F2"/>
          </w:tcPr>
          <w:p w14:paraId="0AAF32FF" w14:textId="2029AA06" w:rsidR="00DE26E8" w:rsidRPr="002766E6" w:rsidRDefault="00DE26E8" w:rsidP="0051509C">
            <w:pPr>
              <w:pStyle w:val="Tablerowheadingitalic"/>
              <w:tabs>
                <w:tab w:val="clear" w:pos="2268"/>
                <w:tab w:val="clear" w:pos="5670"/>
                <w:tab w:val="left" w:pos="1418"/>
                <w:tab w:val="left" w:pos="2552"/>
              </w:tabs>
            </w:pPr>
            <w:r w:rsidRPr="002766E6">
              <w:t>SWA</w:t>
            </w:r>
            <w:r w:rsidRPr="002766E6">
              <w:tab/>
            </w:r>
            <w:sdt>
              <w:sdtPr>
                <w:id w:val="-2034099983"/>
                <w:placeholder>
                  <w:docPart w:val="0A35AF4547E94E219E26BC12DBC33282"/>
                </w:placeholder>
                <w:text/>
              </w:sdtPr>
              <w:sdtContent>
                <w:r w:rsidR="00454F49" w:rsidRPr="002766E6">
                  <w:t>1995</w:t>
                </w:r>
              </w:sdtContent>
            </w:sdt>
            <w:r w:rsidRPr="002766E6">
              <w:tab/>
            </w:r>
            <w:r w:rsidRPr="002766E6">
              <w:tab/>
            </w:r>
            <w:sdt>
              <w:sdtPr>
                <w:alias w:val="SWA WES"/>
                <w:tag w:val="SWA WES"/>
                <w:id w:val="857077202"/>
                <w:placeholder>
                  <w:docPart w:val="81CFEC2FDBC5451289F394E66D92D1A0"/>
                </w:placeholder>
              </w:sdtPr>
              <w:sdtContent>
                <w:r w:rsidR="00454F49" w:rsidRPr="002766E6">
                  <w:t>TWA: 0.01 mg/m</w:t>
                </w:r>
                <w:r w:rsidR="00454F49" w:rsidRPr="002766E6">
                  <w:rPr>
                    <w:vertAlign w:val="superscript"/>
                  </w:rPr>
                  <w:t>3</w:t>
                </w:r>
              </w:sdtContent>
            </w:sdt>
          </w:p>
        </w:tc>
      </w:tr>
      <w:tr w:rsidR="00C978F0" w:rsidRPr="002766E6" w14:paraId="4FEB3554" w14:textId="77777777" w:rsidTr="00DE26E8">
        <w:trPr>
          <w:gridAfter w:val="1"/>
          <w:wAfter w:w="8" w:type="pct"/>
          <w:cantSplit/>
        </w:trPr>
        <w:tc>
          <w:tcPr>
            <w:tcW w:w="4992" w:type="pct"/>
          </w:tcPr>
          <w:p w14:paraId="1748513E" w14:textId="7A92D29B" w:rsidR="00C978F0" w:rsidRPr="002766E6" w:rsidRDefault="005C65F7" w:rsidP="003B18A2">
            <w:pPr>
              <w:pStyle w:val="Tabletextprimarysource"/>
            </w:pPr>
            <w:r w:rsidRPr="002766E6">
              <w:t>There</w:t>
            </w:r>
            <w:r w:rsidR="00602E17" w:rsidRPr="002766E6">
              <w:t xml:space="preserve"> is sufficient evidence </w:t>
            </w:r>
            <w:r w:rsidR="002766E6" w:rsidRPr="002766E6">
              <w:t xml:space="preserve">that </w:t>
            </w:r>
            <w:r w:rsidR="00602E17" w:rsidRPr="002766E6">
              <w:t>human exposure to cadmium and compounds may result in the development of lung cancer, based on animal studies and limited epidemiological evidence. The Working Group recommends that these compounds be classified as Carcinogen Category 2 (Probable Human Carcinogen).</w:t>
            </w:r>
          </w:p>
          <w:p w14:paraId="4C61684D" w14:textId="77777777" w:rsidR="00860515" w:rsidRPr="002766E6" w:rsidRDefault="00860515" w:rsidP="003B18A2">
            <w:pPr>
              <w:pStyle w:val="Tabletextprimarysource"/>
            </w:pPr>
          </w:p>
        </w:tc>
      </w:tr>
      <w:tr w:rsidR="00C978F0" w:rsidRPr="002766E6" w14:paraId="29F10B4D" w14:textId="77777777" w:rsidTr="00DE26E8">
        <w:trPr>
          <w:gridAfter w:val="1"/>
          <w:wAfter w:w="8" w:type="pct"/>
          <w:cantSplit/>
        </w:trPr>
        <w:tc>
          <w:tcPr>
            <w:tcW w:w="4992" w:type="pct"/>
            <w:shd w:val="clear" w:color="auto" w:fill="F2F2F2" w:themeFill="background1" w:themeFillShade="F2"/>
          </w:tcPr>
          <w:p w14:paraId="0D69ABD0" w14:textId="44166C32" w:rsidR="00C978F0" w:rsidRPr="002766E6" w:rsidRDefault="00DA352E" w:rsidP="00104CAD">
            <w:pPr>
              <w:pStyle w:val="Tablerowheadingitalic"/>
              <w:tabs>
                <w:tab w:val="clear" w:pos="2268"/>
                <w:tab w:val="clear" w:pos="5670"/>
                <w:tab w:val="left" w:pos="1418"/>
                <w:tab w:val="left" w:pos="2552"/>
              </w:tabs>
            </w:pPr>
            <w:r w:rsidRPr="002766E6">
              <w:t>ACGIH</w:t>
            </w:r>
            <w:r w:rsidR="00916EC0" w:rsidRPr="002766E6">
              <w:t xml:space="preserve"> </w:t>
            </w:r>
            <w:r w:rsidR="00916EC0" w:rsidRPr="002766E6">
              <w:tab/>
            </w:r>
            <w:sdt>
              <w:sdtPr>
                <w:id w:val="444816450"/>
                <w:placeholder>
                  <w:docPart w:val="C8FBF9621EB94FE084F687C8955AF85F"/>
                </w:placeholder>
                <w:text/>
              </w:sdtPr>
              <w:sdtContent>
                <w:r w:rsidR="004F48B3" w:rsidRPr="002766E6">
                  <w:t>2001</w:t>
                </w:r>
              </w:sdtContent>
            </w:sdt>
            <w:r w:rsidR="00916EC0" w:rsidRPr="002766E6">
              <w:tab/>
            </w:r>
            <w:r w:rsidR="0051509C" w:rsidRPr="002766E6">
              <w:tab/>
            </w:r>
            <w:sdt>
              <w:sdtPr>
                <w:alias w:val="ACGIH WES equivalent"/>
                <w:tag w:val="ACGIH WES equivalent"/>
                <w:id w:val="-1676410403"/>
                <w:placeholder>
                  <w:docPart w:val="522022AAE76B4622AC0DF750489702EB"/>
                </w:placeholder>
              </w:sdtPr>
              <w:sdtContent>
                <w:r w:rsidR="004F48B3" w:rsidRPr="002766E6">
                  <w:t>TLV-TWA: 0.01 mg/m</w:t>
                </w:r>
                <w:r w:rsidR="004F48B3" w:rsidRPr="002766E6">
                  <w:rPr>
                    <w:vertAlign w:val="superscript"/>
                  </w:rPr>
                  <w:t>3</w:t>
                </w:r>
                <w:r w:rsidR="004F48B3" w:rsidRPr="002766E6">
                  <w:t xml:space="preserve"> (as Cd, total particulate)</w:t>
                </w:r>
                <w:r w:rsidR="004F48B3" w:rsidRPr="002766E6">
                  <w:tab/>
                </w:r>
                <w:r w:rsidR="004F48B3" w:rsidRPr="002766E6">
                  <w:tab/>
                </w:r>
                <w:r w:rsidR="004F48B3" w:rsidRPr="002766E6">
                  <w:tab/>
                </w:r>
                <w:r w:rsidR="004F48B3" w:rsidRPr="002766E6">
                  <w:tab/>
                </w:r>
                <w:r w:rsidR="004F48B3" w:rsidRPr="002766E6">
                  <w:tab/>
                  <w:t>TLV-</w:t>
                </w:r>
                <w:r w:rsidR="00454F49" w:rsidRPr="002766E6">
                  <w:t>TW</w:t>
                </w:r>
                <w:r w:rsidR="00104CAD" w:rsidRPr="002766E6">
                  <w:t>A:</w:t>
                </w:r>
                <w:r w:rsidR="00454F49" w:rsidRPr="002766E6">
                  <w:t xml:space="preserve"> 0.002 mg/m</w:t>
                </w:r>
                <w:r w:rsidR="00454F49" w:rsidRPr="002766E6">
                  <w:rPr>
                    <w:vertAlign w:val="superscript"/>
                  </w:rPr>
                  <w:t xml:space="preserve">3 </w:t>
                </w:r>
                <w:r w:rsidR="00454F49" w:rsidRPr="002766E6">
                  <w:t>(as Cd, respirable particulate)</w:t>
                </w:r>
              </w:sdtContent>
            </w:sdt>
          </w:p>
        </w:tc>
      </w:tr>
      <w:tr w:rsidR="00C978F0" w:rsidRPr="002766E6" w14:paraId="06E3F3CA" w14:textId="77777777" w:rsidTr="00DE26E8">
        <w:trPr>
          <w:gridAfter w:val="1"/>
          <w:wAfter w:w="8" w:type="pct"/>
          <w:cantSplit/>
        </w:trPr>
        <w:tc>
          <w:tcPr>
            <w:tcW w:w="4992" w:type="pct"/>
          </w:tcPr>
          <w:p w14:paraId="1F4B606B" w14:textId="77777777" w:rsidR="00133602" w:rsidRPr="002766E6" w:rsidRDefault="00454F49" w:rsidP="00454F49">
            <w:pPr>
              <w:pStyle w:val="Tabletextprimarysource"/>
            </w:pPr>
            <w:r w:rsidRPr="002766E6">
              <w:t xml:space="preserve">The TLV-TWA for total particulate fraction is recommended to minimise the potential for development of preclinical kidney dysfunction. The respirable particulate TLV-TWA is recommended to minimise the potential for lower respiratory tract accumulation of a cadmium burden that could induce lung cancer. </w:t>
            </w:r>
          </w:p>
          <w:p w14:paraId="29BE9B60" w14:textId="77777777" w:rsidR="00C978F0" w:rsidRPr="002766E6" w:rsidRDefault="00454F49" w:rsidP="00454F49">
            <w:pPr>
              <w:pStyle w:val="Tabletextprimarysource"/>
            </w:pPr>
            <w:r w:rsidRPr="002766E6">
              <w:t xml:space="preserve">Both TLV-TWAs should also significantly reduce the potential for metal fume fever in </w:t>
            </w:r>
            <w:r w:rsidR="00927523" w:rsidRPr="002766E6">
              <w:t>exposed</w:t>
            </w:r>
            <w:r w:rsidRPr="002766E6">
              <w:t xml:space="preserve"> workers</w:t>
            </w:r>
            <w:r w:rsidR="00927523" w:rsidRPr="002766E6">
              <w:t>.</w:t>
            </w:r>
          </w:p>
          <w:p w14:paraId="105B75B0" w14:textId="77777777" w:rsidR="00927523" w:rsidRPr="002766E6" w:rsidRDefault="00927523" w:rsidP="00454F49">
            <w:pPr>
              <w:pStyle w:val="Tabletextprimarysource"/>
            </w:pPr>
            <w:r w:rsidRPr="002766E6">
              <w:t>Summary of data:</w:t>
            </w:r>
          </w:p>
          <w:p w14:paraId="1FBEA32D" w14:textId="77777777" w:rsidR="00927523" w:rsidRPr="002766E6" w:rsidRDefault="00927523" w:rsidP="00454F49">
            <w:pPr>
              <w:pStyle w:val="Tabletextprimarysource"/>
            </w:pPr>
            <w:r w:rsidRPr="002766E6">
              <w:t>Human data:</w:t>
            </w:r>
          </w:p>
          <w:p w14:paraId="6F86BEB3" w14:textId="77777777" w:rsidR="00F4543B" w:rsidRPr="002766E6" w:rsidRDefault="00F4543B" w:rsidP="002E6CAE">
            <w:pPr>
              <w:pStyle w:val="ListBullet"/>
              <w:spacing w:before="60" w:after="60"/>
              <w:ind w:left="714" w:hanging="357"/>
              <w:contextualSpacing w:val="0"/>
            </w:pPr>
            <w:r w:rsidRPr="002766E6">
              <w:t>Acute inhalation overexposure reported</w:t>
            </w:r>
            <w:r w:rsidR="0040537C" w:rsidRPr="002766E6">
              <w:t xml:space="preserve"> to be intensely irritating and</w:t>
            </w:r>
            <w:r w:rsidRPr="002766E6">
              <w:t xml:space="preserve"> result in severe tracheobronchitis, pneumonitis and pulmonary oedema</w:t>
            </w:r>
          </w:p>
          <w:p w14:paraId="1F4ED290" w14:textId="77777777" w:rsidR="0040537C" w:rsidRPr="002766E6" w:rsidRDefault="0040537C" w:rsidP="002E6CAE">
            <w:pPr>
              <w:pStyle w:val="ListBullet"/>
              <w:spacing w:before="60" w:after="60"/>
              <w:ind w:left="714" w:hanging="357"/>
              <w:contextualSpacing w:val="0"/>
            </w:pPr>
            <w:r w:rsidRPr="002766E6">
              <w:t xml:space="preserve">Fatal cases reported </w:t>
            </w:r>
            <w:r w:rsidR="00987256" w:rsidRPr="002766E6">
              <w:t>after exposure to an estimated</w:t>
            </w:r>
            <w:r w:rsidRPr="002766E6">
              <w:t xml:space="preserve"> 40 mg/m</w:t>
            </w:r>
            <w:r w:rsidRPr="002766E6">
              <w:rPr>
                <w:vertAlign w:val="superscript"/>
              </w:rPr>
              <w:t xml:space="preserve">3 </w:t>
            </w:r>
            <w:r w:rsidRPr="002766E6">
              <w:t>and 50 mg/m</w:t>
            </w:r>
            <w:r w:rsidRPr="002766E6">
              <w:rPr>
                <w:vertAlign w:val="superscript"/>
              </w:rPr>
              <w:t xml:space="preserve">3 </w:t>
            </w:r>
            <w:r w:rsidRPr="002766E6">
              <w:t>for 1 h and 9</w:t>
            </w:r>
            <w:r w:rsidR="00D80C42" w:rsidRPr="002766E6">
              <w:t> </w:t>
            </w:r>
            <w:r w:rsidRPr="002766E6">
              <w:t>mg/m</w:t>
            </w:r>
            <w:r w:rsidRPr="002766E6">
              <w:rPr>
                <w:vertAlign w:val="superscript"/>
              </w:rPr>
              <w:t xml:space="preserve">3 </w:t>
            </w:r>
            <w:r w:rsidRPr="002766E6">
              <w:t>for 5 h</w:t>
            </w:r>
          </w:p>
          <w:p w14:paraId="2DF0A9C4" w14:textId="77777777" w:rsidR="008A28CB" w:rsidRPr="002766E6" w:rsidRDefault="008A28CB" w:rsidP="002E6CAE">
            <w:pPr>
              <w:pStyle w:val="ListBullet"/>
              <w:spacing w:before="60" w:after="60"/>
              <w:ind w:left="714" w:hanging="357"/>
              <w:contextualSpacing w:val="0"/>
            </w:pPr>
            <w:r w:rsidRPr="002766E6">
              <w:t>Non</w:t>
            </w:r>
            <w:r w:rsidR="00133602" w:rsidRPr="002766E6">
              <w:t>-</w:t>
            </w:r>
            <w:r w:rsidRPr="002766E6">
              <w:t xml:space="preserve">fatal pneumonitis reported </w:t>
            </w:r>
            <w:r w:rsidR="00133602" w:rsidRPr="002766E6">
              <w:t>after exposure to</w:t>
            </w:r>
            <w:r w:rsidRPr="002766E6">
              <w:t xml:space="preserve"> estimated 0.5 and 2.5 mg/m</w:t>
            </w:r>
            <w:r w:rsidRPr="002766E6">
              <w:rPr>
                <w:vertAlign w:val="superscript"/>
              </w:rPr>
              <w:t>3</w:t>
            </w:r>
          </w:p>
          <w:p w14:paraId="04AD9AAD" w14:textId="77777777" w:rsidR="008A28CB" w:rsidRPr="002766E6" w:rsidRDefault="008A28CB" w:rsidP="002E6CAE">
            <w:pPr>
              <w:pStyle w:val="ListBullet"/>
              <w:spacing w:before="60" w:after="60"/>
              <w:ind w:left="714" w:hanging="357"/>
              <w:contextualSpacing w:val="0"/>
            </w:pPr>
            <w:r w:rsidRPr="002766E6">
              <w:t>Kidney considered the primary target related to chronic exposure</w:t>
            </w:r>
          </w:p>
          <w:p w14:paraId="1313837E" w14:textId="6C1042A2" w:rsidR="00133602" w:rsidRPr="002766E6" w:rsidRDefault="008A28CB" w:rsidP="002E6CAE">
            <w:pPr>
              <w:pStyle w:val="ListBullet"/>
              <w:spacing w:before="60" w:after="60"/>
              <w:ind w:left="714" w:hanging="357"/>
              <w:contextualSpacing w:val="0"/>
            </w:pPr>
            <w:r w:rsidRPr="002766E6">
              <w:t>Exposure to concentrations of 0.5 mg/m</w:t>
            </w:r>
            <w:r w:rsidRPr="002766E6">
              <w:rPr>
                <w:vertAlign w:val="superscript"/>
              </w:rPr>
              <w:t>3</w:t>
            </w:r>
            <w:r w:rsidRPr="002766E6">
              <w:t xml:space="preserve"> respirable sized dust for 6</w:t>
            </w:r>
            <w:r w:rsidR="00104CAD" w:rsidRPr="002766E6">
              <w:t>–</w:t>
            </w:r>
            <w:r w:rsidRPr="002766E6">
              <w:t>12 y</w:t>
            </w:r>
            <w:r w:rsidR="00365C80" w:rsidRPr="002766E6">
              <w:t>r</w:t>
            </w:r>
            <w:r w:rsidRPr="002766E6">
              <w:t xml:space="preserve"> resulted in urinary concentrations of </w:t>
            </w:r>
            <w:r w:rsidR="00133602" w:rsidRPr="002766E6">
              <w:rPr>
                <w:rFonts w:cs="Arial"/>
              </w:rPr>
              <w:t>β</w:t>
            </w:r>
            <w:r w:rsidRPr="002766E6">
              <w:t xml:space="preserve"> 2-microglobulin of &gt;290 </w:t>
            </w:r>
            <w:r w:rsidRPr="002766E6">
              <w:rPr>
                <w:rFonts w:cs="Arial"/>
              </w:rPr>
              <w:t>µ</w:t>
            </w:r>
            <w:r w:rsidRPr="002766E6">
              <w:t>g/L</w:t>
            </w:r>
            <w:r w:rsidR="00244281" w:rsidRPr="002766E6">
              <w:t xml:space="preserve"> in 19% of the population study compared with 3.4% in the control group</w:t>
            </w:r>
          </w:p>
          <w:p w14:paraId="6EA8256E" w14:textId="77777777" w:rsidR="008A28CB" w:rsidRPr="002766E6" w:rsidRDefault="00133602" w:rsidP="002E6CAE">
            <w:pPr>
              <w:pStyle w:val="ListBullet"/>
              <w:numPr>
                <w:ilvl w:val="0"/>
                <w:numId w:val="7"/>
              </w:numPr>
              <w:spacing w:before="60" w:after="60"/>
              <w:contextualSpacing w:val="0"/>
            </w:pPr>
            <w:r w:rsidRPr="002766E6">
              <w:t>a</w:t>
            </w:r>
            <w:r w:rsidR="00244281" w:rsidRPr="002766E6">
              <w:t xml:space="preserve">n increase in </w:t>
            </w:r>
            <w:r w:rsidRPr="002766E6">
              <w:rPr>
                <w:rFonts w:cs="Arial"/>
              </w:rPr>
              <w:t>β</w:t>
            </w:r>
            <w:r w:rsidR="00244281" w:rsidRPr="002766E6">
              <w:t xml:space="preserve"> 2-microglobulin is an early indicator of renal dysfunction</w:t>
            </w:r>
          </w:p>
          <w:p w14:paraId="43B0D0B1" w14:textId="77777777" w:rsidR="00860515" w:rsidRPr="002766E6" w:rsidRDefault="00671B75" w:rsidP="002E6CAE">
            <w:pPr>
              <w:pStyle w:val="ListBullet"/>
              <w:spacing w:before="60" w:after="60"/>
              <w:ind w:left="714" w:hanging="357"/>
              <w:contextualSpacing w:val="0"/>
            </w:pPr>
            <w:r w:rsidRPr="002766E6">
              <w:t>No excess cancer found in workers expo</w:t>
            </w:r>
            <w:r w:rsidR="00F4543B" w:rsidRPr="002766E6">
              <w:t xml:space="preserve">sed to an estimated </w:t>
            </w:r>
            <w:r w:rsidRPr="002766E6">
              <w:t>cumulative exposure corresponding to a 40 yr TWA of 21</w:t>
            </w:r>
            <w:r w:rsidR="00104CAD" w:rsidRPr="002766E6">
              <w:t>–</w:t>
            </w:r>
            <w:r w:rsidRPr="002766E6">
              <w:t>40 mg/m</w:t>
            </w:r>
            <w:r w:rsidRPr="002766E6">
              <w:rPr>
                <w:vertAlign w:val="superscript"/>
              </w:rPr>
              <w:t>3</w:t>
            </w:r>
            <w:r w:rsidR="00680C6A" w:rsidRPr="002766E6">
              <w:t>.</w:t>
            </w:r>
          </w:p>
          <w:p w14:paraId="445252B5" w14:textId="77777777" w:rsidR="002E6CAE" w:rsidRDefault="002E6CAE" w:rsidP="00006B1C">
            <w:pPr>
              <w:pStyle w:val="Tabletextprimarysource"/>
            </w:pPr>
          </w:p>
          <w:p w14:paraId="7142E725" w14:textId="59845233" w:rsidR="00671B75" w:rsidRPr="002766E6" w:rsidRDefault="00006B1C" w:rsidP="00006B1C">
            <w:pPr>
              <w:pStyle w:val="Tabletextprimarysource"/>
            </w:pPr>
            <w:r w:rsidRPr="002766E6">
              <w:t>Animal data:</w:t>
            </w:r>
          </w:p>
          <w:p w14:paraId="2EAA7645" w14:textId="278C80A6" w:rsidR="00E77A61" w:rsidRPr="002766E6" w:rsidRDefault="00006B1C" w:rsidP="002E6CAE">
            <w:pPr>
              <w:pStyle w:val="ListBullet"/>
              <w:spacing w:before="60" w:after="60"/>
              <w:ind w:left="714" w:hanging="357"/>
              <w:contextualSpacing w:val="0"/>
            </w:pPr>
            <w:r w:rsidRPr="002766E6">
              <w:t xml:space="preserve">Inhalation study; rats exposed to </w:t>
            </w:r>
            <w:r w:rsidR="00987256" w:rsidRPr="002766E6">
              <w:t xml:space="preserve">cadmium </w:t>
            </w:r>
            <w:r w:rsidRPr="002766E6">
              <w:t>chloride</w:t>
            </w:r>
            <w:r w:rsidR="005E5C3E" w:rsidRPr="002766E6">
              <w:t xml:space="preserve"> (CdCl</w:t>
            </w:r>
            <w:r w:rsidR="005E5C3E" w:rsidRPr="002766E6">
              <w:rPr>
                <w:vertAlign w:val="subscript"/>
              </w:rPr>
              <w:t>2</w:t>
            </w:r>
            <w:r w:rsidR="005E5C3E" w:rsidRPr="002766E6">
              <w:t>)</w:t>
            </w:r>
            <w:r w:rsidRPr="002766E6">
              <w:t xml:space="preserve"> 23 h/d for 18 </w:t>
            </w:r>
            <w:proofErr w:type="spellStart"/>
            <w:r w:rsidRPr="002766E6">
              <w:t>mo</w:t>
            </w:r>
            <w:proofErr w:type="spellEnd"/>
            <w:r w:rsidRPr="002766E6">
              <w:t xml:space="preserve">; exposure/primary lung carcinoma </w:t>
            </w:r>
            <w:r w:rsidR="002766E6" w:rsidRPr="002766E6">
              <w:t>frequency:</w:t>
            </w:r>
            <w:r w:rsidRPr="002766E6">
              <w:t xml:space="preserve"> </w:t>
            </w:r>
          </w:p>
          <w:p w14:paraId="5C880A69" w14:textId="446EE098" w:rsidR="00006B1C" w:rsidRPr="002766E6" w:rsidRDefault="00006B1C" w:rsidP="002E6CAE">
            <w:pPr>
              <w:pStyle w:val="ListBullet"/>
              <w:numPr>
                <w:ilvl w:val="0"/>
                <w:numId w:val="6"/>
              </w:numPr>
              <w:spacing w:before="60" w:after="60"/>
              <w:contextualSpacing w:val="0"/>
            </w:pPr>
            <w:r w:rsidRPr="002766E6">
              <w:t xml:space="preserve">12.5 </w:t>
            </w:r>
            <w:r w:rsidRPr="002766E6">
              <w:rPr>
                <w:rFonts w:cs="Arial"/>
              </w:rPr>
              <w:t>µg/m</w:t>
            </w:r>
            <w:r w:rsidRPr="002766E6">
              <w:rPr>
                <w:rFonts w:cs="Arial"/>
                <w:vertAlign w:val="superscript"/>
              </w:rPr>
              <w:t>3</w:t>
            </w:r>
            <w:r w:rsidRPr="002766E6">
              <w:rPr>
                <w:rFonts w:cs="Arial"/>
              </w:rPr>
              <w:t xml:space="preserve"> =15.4%, </w:t>
            </w:r>
            <w:r w:rsidRPr="002766E6">
              <w:t xml:space="preserve">25 </w:t>
            </w:r>
            <w:r w:rsidRPr="002766E6">
              <w:rPr>
                <w:rFonts w:cs="Arial"/>
              </w:rPr>
              <w:t>µg/m</w:t>
            </w:r>
            <w:r w:rsidRPr="002766E6">
              <w:rPr>
                <w:rFonts w:cs="Arial"/>
                <w:vertAlign w:val="superscript"/>
              </w:rPr>
              <w:t>3</w:t>
            </w:r>
            <w:r w:rsidR="00696A5A" w:rsidRPr="002766E6">
              <w:rPr>
                <w:rFonts w:cs="Arial"/>
              </w:rPr>
              <w:t xml:space="preserve"> =52.6</w:t>
            </w:r>
            <w:r w:rsidRPr="002766E6">
              <w:rPr>
                <w:rFonts w:cs="Arial"/>
              </w:rPr>
              <w:t xml:space="preserve">%, </w:t>
            </w:r>
            <w:r w:rsidRPr="002766E6">
              <w:t xml:space="preserve">50 </w:t>
            </w:r>
            <w:r w:rsidRPr="002766E6">
              <w:rPr>
                <w:rFonts w:cs="Arial"/>
              </w:rPr>
              <w:t>µg/m</w:t>
            </w:r>
            <w:r w:rsidRPr="002766E6">
              <w:rPr>
                <w:rFonts w:cs="Arial"/>
                <w:vertAlign w:val="superscript"/>
              </w:rPr>
              <w:t>3</w:t>
            </w:r>
            <w:r w:rsidRPr="002766E6">
              <w:rPr>
                <w:rFonts w:cs="Arial"/>
              </w:rPr>
              <w:t xml:space="preserve"> =71.4%; no primary lung carcinomas in control group</w:t>
            </w:r>
          </w:p>
          <w:p w14:paraId="6A0433B6" w14:textId="77777777" w:rsidR="00006B1C" w:rsidRPr="002766E6" w:rsidRDefault="00006B1C" w:rsidP="002E6CAE">
            <w:pPr>
              <w:pStyle w:val="ListBullet"/>
              <w:spacing w:before="60" w:after="60"/>
              <w:ind w:left="714" w:hanging="357"/>
              <w:contextualSpacing w:val="0"/>
            </w:pPr>
            <w:r w:rsidRPr="002766E6">
              <w:t>A follow up study exposed rats to CdCl</w:t>
            </w:r>
            <w:r w:rsidRPr="002766E6">
              <w:rPr>
                <w:vertAlign w:val="subscript"/>
              </w:rPr>
              <w:t>2</w:t>
            </w:r>
            <w:r w:rsidRPr="002766E6">
              <w:t xml:space="preserve">, </w:t>
            </w:r>
            <w:proofErr w:type="spellStart"/>
            <w:r w:rsidRPr="002766E6">
              <w:t>Cd</w:t>
            </w:r>
            <w:r w:rsidR="00696A5A" w:rsidRPr="002766E6">
              <w:t>O</w:t>
            </w:r>
            <w:proofErr w:type="spellEnd"/>
            <w:r w:rsidR="00696A5A" w:rsidRPr="002766E6">
              <w:t xml:space="preserve"> (dust and fume), cadmium </w:t>
            </w:r>
            <w:proofErr w:type="spellStart"/>
            <w:r w:rsidR="00696A5A" w:rsidRPr="002766E6">
              <w:t>sulf</w:t>
            </w:r>
            <w:r w:rsidRPr="002766E6">
              <w:t>ate</w:t>
            </w:r>
            <w:proofErr w:type="spellEnd"/>
            <w:r w:rsidRPr="002766E6">
              <w:t xml:space="preserve"> (CdSO</w:t>
            </w:r>
            <w:r w:rsidRPr="002766E6">
              <w:rPr>
                <w:vertAlign w:val="subscript"/>
              </w:rPr>
              <w:t>4</w:t>
            </w:r>
            <w:r w:rsidRPr="002766E6">
              <w:t xml:space="preserve">) and cadmium </w:t>
            </w:r>
            <w:proofErr w:type="spellStart"/>
            <w:r w:rsidRPr="002766E6">
              <w:t>sul</w:t>
            </w:r>
            <w:r w:rsidR="00696A5A" w:rsidRPr="002766E6">
              <w:t>f</w:t>
            </w:r>
            <w:r w:rsidRPr="002766E6">
              <w:t>ide</w:t>
            </w:r>
            <w:proofErr w:type="spellEnd"/>
            <w:r w:rsidRPr="002766E6">
              <w:t xml:space="preserve"> (</w:t>
            </w:r>
            <w:proofErr w:type="spellStart"/>
            <w:r w:rsidRPr="002766E6">
              <w:t>CdS</w:t>
            </w:r>
            <w:proofErr w:type="spellEnd"/>
            <w:r w:rsidRPr="002766E6">
              <w:t>)</w:t>
            </w:r>
            <w:r w:rsidR="005E5C3E" w:rsidRPr="002766E6">
              <w:t>; effects reported:</w:t>
            </w:r>
          </w:p>
          <w:p w14:paraId="3E40B797" w14:textId="77777777" w:rsidR="00006B1C" w:rsidRPr="002766E6" w:rsidRDefault="005E5C3E" w:rsidP="002E6CAE">
            <w:pPr>
              <w:pStyle w:val="ListBullet"/>
              <w:numPr>
                <w:ilvl w:val="0"/>
                <w:numId w:val="7"/>
              </w:numPr>
              <w:spacing w:before="60" w:after="60"/>
              <w:contextualSpacing w:val="0"/>
            </w:pPr>
            <w:r w:rsidRPr="002766E6">
              <w:t>30 µg/m</w:t>
            </w:r>
            <w:r w:rsidRPr="002766E6">
              <w:rPr>
                <w:vertAlign w:val="superscript"/>
              </w:rPr>
              <w:t>3</w:t>
            </w:r>
            <w:r w:rsidRPr="002766E6">
              <w:t xml:space="preserve"> CdCl</w:t>
            </w:r>
            <w:r w:rsidRPr="002766E6">
              <w:rPr>
                <w:vertAlign w:val="subscript"/>
              </w:rPr>
              <w:t xml:space="preserve">2 </w:t>
            </w:r>
            <w:r w:rsidRPr="002766E6">
              <w:t xml:space="preserve">for 6 </w:t>
            </w:r>
            <w:proofErr w:type="spellStart"/>
            <w:r w:rsidRPr="002766E6">
              <w:t>mo</w:t>
            </w:r>
            <w:proofErr w:type="spellEnd"/>
            <w:r w:rsidRPr="002766E6">
              <w:t xml:space="preserve"> resulted in lung nodules in 1</w:t>
            </w:r>
            <w:r w:rsidR="00987256" w:rsidRPr="002766E6">
              <w:t>/</w:t>
            </w:r>
            <w:r w:rsidRPr="002766E6">
              <w:t>20 males, not in females</w:t>
            </w:r>
          </w:p>
          <w:p w14:paraId="53CFF9F7" w14:textId="77777777" w:rsidR="005E5C3E" w:rsidRPr="002766E6" w:rsidRDefault="005E5C3E" w:rsidP="002E6CAE">
            <w:pPr>
              <w:pStyle w:val="ListBullet"/>
              <w:numPr>
                <w:ilvl w:val="0"/>
                <w:numId w:val="7"/>
              </w:numPr>
              <w:spacing w:before="60" w:after="60"/>
              <w:contextualSpacing w:val="0"/>
            </w:pPr>
            <w:r w:rsidRPr="002766E6">
              <w:t>30 µg/m</w:t>
            </w:r>
            <w:r w:rsidRPr="002766E6">
              <w:rPr>
                <w:vertAlign w:val="superscript"/>
              </w:rPr>
              <w:t>3</w:t>
            </w:r>
            <w:r w:rsidRPr="002766E6">
              <w:t xml:space="preserve"> </w:t>
            </w:r>
            <w:proofErr w:type="spellStart"/>
            <w:r w:rsidRPr="002766E6">
              <w:t>CdO</w:t>
            </w:r>
            <w:proofErr w:type="spellEnd"/>
            <w:r w:rsidRPr="002766E6">
              <w:rPr>
                <w:vertAlign w:val="subscript"/>
              </w:rPr>
              <w:t xml:space="preserve"> </w:t>
            </w:r>
            <w:r w:rsidRPr="002766E6">
              <w:t xml:space="preserve">for 18 </w:t>
            </w:r>
            <w:proofErr w:type="spellStart"/>
            <w:r w:rsidRPr="002766E6">
              <w:t>mo</w:t>
            </w:r>
            <w:proofErr w:type="spellEnd"/>
            <w:r w:rsidRPr="002766E6">
              <w:t xml:space="preserve"> resulted in lung nodules in 2</w:t>
            </w:r>
            <w:r w:rsidR="00987256" w:rsidRPr="002766E6">
              <w:t>/</w:t>
            </w:r>
            <w:r w:rsidRPr="002766E6">
              <w:t>20 males (no further information)</w:t>
            </w:r>
          </w:p>
          <w:p w14:paraId="6CB557F6" w14:textId="77777777" w:rsidR="00927523" w:rsidRPr="002766E6" w:rsidRDefault="005E5C3E" w:rsidP="002E6CAE">
            <w:pPr>
              <w:pStyle w:val="ListBullet"/>
              <w:numPr>
                <w:ilvl w:val="0"/>
                <w:numId w:val="7"/>
              </w:numPr>
              <w:spacing w:before="60" w:after="60"/>
              <w:contextualSpacing w:val="0"/>
            </w:pPr>
            <w:r w:rsidRPr="002766E6">
              <w:t>90 µg/m</w:t>
            </w:r>
            <w:r w:rsidRPr="002766E6">
              <w:rPr>
                <w:vertAlign w:val="superscript"/>
              </w:rPr>
              <w:t>3</w:t>
            </w:r>
            <w:r w:rsidRPr="002766E6">
              <w:t xml:space="preserve"> </w:t>
            </w:r>
            <w:proofErr w:type="spellStart"/>
            <w:r w:rsidRPr="002766E6">
              <w:t>CdS</w:t>
            </w:r>
            <w:proofErr w:type="spellEnd"/>
            <w:r w:rsidRPr="002766E6">
              <w:rPr>
                <w:vertAlign w:val="subscript"/>
              </w:rPr>
              <w:t xml:space="preserve"> </w:t>
            </w:r>
            <w:r w:rsidRPr="002766E6">
              <w:t xml:space="preserve">for 18 </w:t>
            </w:r>
            <w:proofErr w:type="spellStart"/>
            <w:r w:rsidRPr="002766E6">
              <w:t>mo</w:t>
            </w:r>
            <w:proofErr w:type="spellEnd"/>
            <w:r w:rsidRPr="002766E6">
              <w:t xml:space="preserve"> resulted in lung nodules in 17</w:t>
            </w:r>
            <w:r w:rsidR="00987256" w:rsidRPr="002766E6">
              <w:t>/</w:t>
            </w:r>
            <w:r w:rsidRPr="002766E6">
              <w:t>20 females (no further information)</w:t>
            </w:r>
            <w:r w:rsidR="003C6CCD" w:rsidRPr="002766E6">
              <w:t>.</w:t>
            </w:r>
          </w:p>
          <w:p w14:paraId="03FC7367" w14:textId="77777777" w:rsidR="00680C6A" w:rsidRPr="002766E6" w:rsidRDefault="00680C6A" w:rsidP="00133602">
            <w:pPr>
              <w:pStyle w:val="ListBullet"/>
              <w:numPr>
                <w:ilvl w:val="0"/>
                <w:numId w:val="0"/>
              </w:numPr>
              <w:ind w:left="1440"/>
            </w:pPr>
          </w:p>
        </w:tc>
      </w:tr>
      <w:tr w:rsidR="00C978F0" w:rsidRPr="002766E6" w14:paraId="599EDC3E" w14:textId="77777777" w:rsidTr="00DE26E8">
        <w:trPr>
          <w:gridAfter w:val="1"/>
          <w:wAfter w:w="8" w:type="pct"/>
          <w:cantSplit/>
        </w:trPr>
        <w:tc>
          <w:tcPr>
            <w:tcW w:w="4992" w:type="pct"/>
            <w:shd w:val="clear" w:color="auto" w:fill="F2F2F2" w:themeFill="background1" w:themeFillShade="F2"/>
          </w:tcPr>
          <w:p w14:paraId="720C36CA" w14:textId="1394A2C6" w:rsidR="00C978F0" w:rsidRPr="002766E6" w:rsidRDefault="00DA352E" w:rsidP="0051509C">
            <w:pPr>
              <w:pStyle w:val="Tablerowheadingitalic"/>
              <w:tabs>
                <w:tab w:val="clear" w:pos="2268"/>
                <w:tab w:val="clear" w:pos="5670"/>
                <w:tab w:val="left" w:pos="1418"/>
                <w:tab w:val="left" w:pos="2552"/>
              </w:tabs>
            </w:pPr>
            <w:r w:rsidRPr="002766E6">
              <w:lastRenderedPageBreak/>
              <w:t>DFG</w:t>
            </w:r>
            <w:r w:rsidR="00916EC0" w:rsidRPr="002766E6">
              <w:t xml:space="preserve"> </w:t>
            </w:r>
            <w:r w:rsidR="00916EC0" w:rsidRPr="002766E6">
              <w:tab/>
            </w:r>
            <w:sdt>
              <w:sdtPr>
                <w:id w:val="272751712"/>
                <w:placeholder>
                  <w:docPart w:val="6918C77959FE4E2CB3B6BD78ABC69E19"/>
                </w:placeholder>
                <w:text/>
              </w:sdtPr>
              <w:sdtContent>
                <w:r w:rsidR="00A168A6" w:rsidRPr="002766E6">
                  <w:t>2006</w:t>
                </w:r>
              </w:sdtContent>
            </w:sdt>
            <w:r w:rsidR="00916EC0" w:rsidRPr="002766E6">
              <w:tab/>
            </w:r>
            <w:r w:rsidR="0051509C" w:rsidRPr="002766E6">
              <w:tab/>
            </w:r>
            <w:sdt>
              <w:sdtPr>
                <w:alias w:val="DFG WES equivalent"/>
                <w:tag w:val="DFG WES equivalent"/>
                <w:id w:val="-736175395"/>
                <w:placeholder>
                  <w:docPart w:val="1ED9AEC91FDC4528B51A567B2B19EB9F"/>
                </w:placeholder>
              </w:sdtPr>
              <w:sdtContent>
                <w:r w:rsidR="005B71BD" w:rsidRPr="002766E6">
                  <w:t>NA</w:t>
                </w:r>
              </w:sdtContent>
            </w:sdt>
          </w:p>
        </w:tc>
      </w:tr>
      <w:tr w:rsidR="00C978F0" w:rsidRPr="002766E6" w14:paraId="12AFA730" w14:textId="77777777" w:rsidTr="00DE26E8">
        <w:trPr>
          <w:gridAfter w:val="1"/>
          <w:wAfter w:w="8" w:type="pct"/>
          <w:cantSplit/>
        </w:trPr>
        <w:tc>
          <w:tcPr>
            <w:tcW w:w="4992" w:type="pct"/>
          </w:tcPr>
          <w:p w14:paraId="3E740FEA" w14:textId="77777777" w:rsidR="00C978F0" w:rsidRPr="002766E6" w:rsidRDefault="005B71BD" w:rsidP="003365A5">
            <w:pPr>
              <w:pStyle w:val="Tabletextprimarysource"/>
            </w:pPr>
            <w:r w:rsidRPr="002766E6">
              <w:t>No MAK recommended due to carcinogenic properties</w:t>
            </w:r>
            <w:r w:rsidR="00236DFC" w:rsidRPr="002766E6">
              <w:t>.</w:t>
            </w:r>
          </w:p>
          <w:p w14:paraId="0593523D" w14:textId="77777777" w:rsidR="00273E1C" w:rsidRPr="002766E6" w:rsidRDefault="00273E1C" w:rsidP="003365A5">
            <w:pPr>
              <w:pStyle w:val="Tabletextprimarysource"/>
            </w:pPr>
            <w:r w:rsidRPr="002766E6">
              <w:t>Summary of additional data:</w:t>
            </w:r>
          </w:p>
          <w:p w14:paraId="7FC6938C" w14:textId="77777777" w:rsidR="00273E1C" w:rsidRPr="002766E6" w:rsidRDefault="00B977BD" w:rsidP="002E6CAE">
            <w:pPr>
              <w:pStyle w:val="ListBullet"/>
              <w:spacing w:before="60" w:after="60"/>
              <w:ind w:left="714" w:hanging="357"/>
              <w:contextualSpacing w:val="0"/>
            </w:pPr>
            <w:r w:rsidRPr="002766E6">
              <w:t>E</w:t>
            </w:r>
            <w:r w:rsidR="00273E1C" w:rsidRPr="002766E6">
              <w:t>stimated an 8</w:t>
            </w:r>
            <w:r w:rsidR="00236DFC" w:rsidRPr="002766E6">
              <w:t xml:space="preserve"> </w:t>
            </w:r>
            <w:r w:rsidR="00273E1C" w:rsidRPr="002766E6">
              <w:t>h exposure to 1 mg/m</w:t>
            </w:r>
            <w:r w:rsidR="00273E1C" w:rsidRPr="002766E6">
              <w:rPr>
                <w:vertAlign w:val="superscript"/>
              </w:rPr>
              <w:t>3</w:t>
            </w:r>
            <w:r w:rsidR="00C679D9" w:rsidRPr="002766E6">
              <w:t xml:space="preserve"> </w:t>
            </w:r>
            <w:r w:rsidR="00273E1C" w:rsidRPr="002766E6">
              <w:t>is hazardous to life and 5 mg/m</w:t>
            </w:r>
            <w:r w:rsidR="00273E1C" w:rsidRPr="002766E6">
              <w:rPr>
                <w:vertAlign w:val="superscript"/>
              </w:rPr>
              <w:t>3</w:t>
            </w:r>
            <w:r w:rsidR="00273E1C" w:rsidRPr="002766E6">
              <w:t xml:space="preserve"> is lethal</w:t>
            </w:r>
          </w:p>
          <w:p w14:paraId="00175434" w14:textId="473FE65F" w:rsidR="00B977BD" w:rsidRPr="002766E6" w:rsidRDefault="00B977BD" w:rsidP="002E6CAE">
            <w:pPr>
              <w:pStyle w:val="ListBullet"/>
              <w:spacing w:before="60" w:after="60"/>
              <w:ind w:left="714" w:hanging="357"/>
              <w:contextualSpacing w:val="0"/>
            </w:pPr>
            <w:r w:rsidRPr="002766E6">
              <w:t>Epidemiological investigations in workers suggest exposure to cadmium and its inorganic compounds correlate</w:t>
            </w:r>
            <w:r w:rsidR="0071279E" w:rsidRPr="002766E6">
              <w:t>s</w:t>
            </w:r>
            <w:r w:rsidRPr="002766E6">
              <w:t xml:space="preserve"> with occurrence of lung cancer in humans</w:t>
            </w:r>
          </w:p>
          <w:p w14:paraId="1A060990" w14:textId="77777777" w:rsidR="00B977BD" w:rsidRPr="002766E6" w:rsidRDefault="004633BA" w:rsidP="002E6CAE">
            <w:pPr>
              <w:pStyle w:val="ListBullet"/>
              <w:spacing w:before="60" w:after="60"/>
              <w:ind w:left="714" w:hanging="357"/>
              <w:contextualSpacing w:val="0"/>
            </w:pPr>
            <w:r w:rsidRPr="002766E6">
              <w:t>B</w:t>
            </w:r>
            <w:r w:rsidR="00B977BD" w:rsidRPr="002766E6">
              <w:t>ased on the epidemiological evidence, an increased relative risk of renal cancer is likely</w:t>
            </w:r>
          </w:p>
          <w:p w14:paraId="74A99567" w14:textId="77777777" w:rsidR="003C6CCD" w:rsidRPr="002766E6" w:rsidRDefault="003C6CCD" w:rsidP="002E6CAE">
            <w:pPr>
              <w:pStyle w:val="ListBullet"/>
              <w:spacing w:before="60" w:after="60"/>
              <w:ind w:left="714" w:hanging="357"/>
              <w:contextualSpacing w:val="0"/>
            </w:pPr>
            <w:r w:rsidRPr="002766E6">
              <w:t>Carcinogenic effects found in rats after inhalation and oral, intratracheal, intraperitoneal, subcutaneous and intramuscular exposure</w:t>
            </w:r>
          </w:p>
          <w:p w14:paraId="28D591D7" w14:textId="77777777" w:rsidR="00B977BD" w:rsidRPr="002766E6" w:rsidRDefault="00B977BD" w:rsidP="002E6CAE">
            <w:pPr>
              <w:pStyle w:val="ListBullet"/>
              <w:spacing w:before="60" w:after="60"/>
              <w:ind w:left="714" w:hanging="357"/>
              <w:contextualSpacing w:val="0"/>
            </w:pPr>
            <w:r w:rsidRPr="002766E6">
              <w:t>LC</w:t>
            </w:r>
            <w:r w:rsidRPr="002766E6">
              <w:rPr>
                <w:vertAlign w:val="subscript"/>
              </w:rPr>
              <w:t>50</w:t>
            </w:r>
            <w:r w:rsidRPr="002766E6">
              <w:t>: 30 mg/m</w:t>
            </w:r>
            <w:r w:rsidRPr="002766E6">
              <w:rPr>
                <w:vertAlign w:val="superscript"/>
              </w:rPr>
              <w:t>3</w:t>
            </w:r>
            <w:r w:rsidRPr="002766E6">
              <w:t xml:space="preserve"> (</w:t>
            </w:r>
            <w:r w:rsidR="003E481C" w:rsidRPr="002766E6">
              <w:t xml:space="preserve">rats, </w:t>
            </w:r>
            <w:proofErr w:type="spellStart"/>
            <w:r w:rsidRPr="002766E6">
              <w:t>CdO</w:t>
            </w:r>
            <w:proofErr w:type="spellEnd"/>
            <w:r w:rsidR="003E481C" w:rsidRPr="002766E6">
              <w:t>,</w:t>
            </w:r>
            <w:r w:rsidRPr="002766E6">
              <w:t xml:space="preserve"> 15 min); 25 mg/m</w:t>
            </w:r>
            <w:r w:rsidRPr="002766E6">
              <w:rPr>
                <w:vertAlign w:val="superscript"/>
              </w:rPr>
              <w:t>3</w:t>
            </w:r>
            <w:r w:rsidRPr="002766E6">
              <w:t xml:space="preserve"> (</w:t>
            </w:r>
            <w:r w:rsidR="003E481C" w:rsidRPr="002766E6">
              <w:t xml:space="preserve">rats, </w:t>
            </w:r>
            <w:proofErr w:type="spellStart"/>
            <w:r w:rsidRPr="002766E6">
              <w:t>CdO</w:t>
            </w:r>
            <w:proofErr w:type="spellEnd"/>
            <w:r w:rsidR="003E481C" w:rsidRPr="002766E6">
              <w:t>,</w:t>
            </w:r>
            <w:r w:rsidR="005B71BD" w:rsidRPr="002766E6">
              <w:t xml:space="preserve"> 30 min)</w:t>
            </w:r>
          </w:p>
          <w:p w14:paraId="2448AB77" w14:textId="7ED69BE7" w:rsidR="005B71BD" w:rsidRPr="002766E6" w:rsidRDefault="005B71BD" w:rsidP="002E6CAE">
            <w:pPr>
              <w:pStyle w:val="ListBullet"/>
              <w:spacing w:before="60" w:after="60"/>
              <w:ind w:left="714" w:hanging="357"/>
              <w:contextualSpacing w:val="0"/>
            </w:pPr>
            <w:r w:rsidRPr="002766E6">
              <w:t>LC</w:t>
            </w:r>
            <w:r w:rsidRPr="002766E6">
              <w:rPr>
                <w:vertAlign w:val="subscript"/>
              </w:rPr>
              <w:t>50</w:t>
            </w:r>
            <w:r w:rsidR="003E481C" w:rsidRPr="002766E6">
              <w:t xml:space="preserve">: </w:t>
            </w:r>
            <w:r w:rsidR="00104CAD" w:rsidRPr="002766E6">
              <w:rPr>
                <w:rFonts w:cs="Arial"/>
              </w:rPr>
              <w:t>≈</w:t>
            </w:r>
            <w:r w:rsidRPr="002766E6">
              <w:t>940 mg/m</w:t>
            </w:r>
            <w:r w:rsidRPr="002766E6">
              <w:rPr>
                <w:vertAlign w:val="superscript"/>
              </w:rPr>
              <w:t>3</w:t>
            </w:r>
            <w:r w:rsidRPr="002766E6">
              <w:t xml:space="preserve"> </w:t>
            </w:r>
            <w:r w:rsidR="00C679D9" w:rsidRPr="002766E6">
              <w:t>(</w:t>
            </w:r>
            <w:r w:rsidR="003E481C" w:rsidRPr="002766E6">
              <w:t xml:space="preserve">monkeys, </w:t>
            </w:r>
            <w:proofErr w:type="spellStart"/>
            <w:r w:rsidR="003E481C" w:rsidRPr="002766E6">
              <w:t>CdO</w:t>
            </w:r>
            <w:proofErr w:type="spellEnd"/>
            <w:r w:rsidR="003E481C" w:rsidRPr="002766E6">
              <w:t xml:space="preserve">, </w:t>
            </w:r>
            <w:r w:rsidRPr="002766E6">
              <w:t>14 min</w:t>
            </w:r>
            <w:r w:rsidR="00C679D9" w:rsidRPr="002766E6">
              <w:t>)</w:t>
            </w:r>
          </w:p>
          <w:p w14:paraId="12E6BD37" w14:textId="77777777" w:rsidR="005B71BD" w:rsidRPr="002766E6" w:rsidRDefault="005B71BD" w:rsidP="002E6CAE">
            <w:pPr>
              <w:pStyle w:val="ListBullet"/>
              <w:spacing w:before="60" w:after="60"/>
              <w:ind w:left="714" w:hanging="357"/>
              <w:contextualSpacing w:val="0"/>
            </w:pPr>
            <w:r w:rsidRPr="002766E6">
              <w:t>NOAEC of 0.025 mg/m</w:t>
            </w:r>
            <w:r w:rsidRPr="002766E6">
              <w:rPr>
                <w:vertAlign w:val="superscript"/>
              </w:rPr>
              <w:t>3</w:t>
            </w:r>
            <w:r w:rsidRPr="002766E6">
              <w:t xml:space="preserve"> </w:t>
            </w:r>
            <w:proofErr w:type="spellStart"/>
            <w:r w:rsidR="00D00C3A" w:rsidRPr="002766E6">
              <w:t>CdO</w:t>
            </w:r>
            <w:proofErr w:type="spellEnd"/>
            <w:r w:rsidR="00D00C3A" w:rsidRPr="002766E6">
              <w:t xml:space="preserve"> </w:t>
            </w:r>
            <w:r w:rsidRPr="002766E6">
              <w:t>in rats for</w:t>
            </w:r>
            <w:r w:rsidR="00D00C3A" w:rsidRPr="002766E6">
              <w:t xml:space="preserve"> lung effects (13</w:t>
            </w:r>
            <w:r w:rsidR="00236DFC" w:rsidRPr="002766E6">
              <w:t xml:space="preserve"> </w:t>
            </w:r>
            <w:proofErr w:type="spellStart"/>
            <w:r w:rsidR="00D00C3A" w:rsidRPr="002766E6">
              <w:t>wk</w:t>
            </w:r>
            <w:proofErr w:type="spellEnd"/>
            <w:r w:rsidR="00D00C3A" w:rsidRPr="002766E6">
              <w:t xml:space="preserve"> study)</w:t>
            </w:r>
          </w:p>
          <w:p w14:paraId="38F5974F" w14:textId="77777777" w:rsidR="00D00C3A" w:rsidRPr="002766E6" w:rsidRDefault="00D00C3A" w:rsidP="002E6CAE">
            <w:pPr>
              <w:pStyle w:val="ListBullet"/>
              <w:spacing w:before="60" w:after="60"/>
              <w:ind w:left="714" w:hanging="357"/>
              <w:contextualSpacing w:val="0"/>
            </w:pPr>
            <w:r w:rsidRPr="002766E6">
              <w:t>NOAEC of 0.01 mg/m</w:t>
            </w:r>
            <w:r w:rsidRPr="002766E6">
              <w:rPr>
                <w:vertAlign w:val="superscript"/>
              </w:rPr>
              <w:t>3</w:t>
            </w:r>
            <w:r w:rsidRPr="002766E6">
              <w:t xml:space="preserve"> </w:t>
            </w:r>
            <w:proofErr w:type="spellStart"/>
            <w:r w:rsidRPr="002766E6">
              <w:t>CdO</w:t>
            </w:r>
            <w:proofErr w:type="spellEnd"/>
            <w:r w:rsidRPr="002766E6">
              <w:t xml:space="preserve"> in hamsters for lung effects (16</w:t>
            </w:r>
            <w:r w:rsidR="00236DFC" w:rsidRPr="002766E6">
              <w:t xml:space="preserve"> </w:t>
            </w:r>
            <w:proofErr w:type="spellStart"/>
            <w:r w:rsidRPr="002766E6">
              <w:t>mo</w:t>
            </w:r>
            <w:proofErr w:type="spellEnd"/>
            <w:r w:rsidRPr="002766E6">
              <w:t xml:space="preserve"> study)</w:t>
            </w:r>
          </w:p>
          <w:p w14:paraId="40BA919C" w14:textId="77777777" w:rsidR="00B93FB6" w:rsidRPr="002766E6" w:rsidRDefault="00241B63" w:rsidP="002E6CAE">
            <w:pPr>
              <w:pStyle w:val="ListBullet"/>
              <w:spacing w:before="60" w:after="60"/>
              <w:ind w:left="714" w:hanging="357"/>
              <w:contextualSpacing w:val="0"/>
            </w:pPr>
            <w:r w:rsidRPr="002766E6">
              <w:t>In general, did not induce mutations in bacterial assays</w:t>
            </w:r>
          </w:p>
          <w:p w14:paraId="5070D454" w14:textId="77777777" w:rsidR="00241B63" w:rsidRPr="002766E6" w:rsidRDefault="00241B63" w:rsidP="002E6CAE">
            <w:pPr>
              <w:pStyle w:val="ListBullet"/>
              <w:spacing w:before="60" w:after="60"/>
              <w:ind w:left="714" w:hanging="357"/>
              <w:contextualSpacing w:val="0"/>
            </w:pPr>
            <w:r w:rsidRPr="002766E6">
              <w:t>Mutations induced in yeast assays</w:t>
            </w:r>
          </w:p>
          <w:p w14:paraId="138E7F5F" w14:textId="77777777" w:rsidR="00241B63" w:rsidRPr="002766E6" w:rsidRDefault="00241B63" w:rsidP="002E6CAE">
            <w:pPr>
              <w:pStyle w:val="ListBullet"/>
              <w:spacing w:before="60" w:after="60"/>
              <w:ind w:left="714" w:hanging="357"/>
              <w:contextualSpacing w:val="0"/>
            </w:pPr>
            <w:r w:rsidRPr="002766E6">
              <w:t>Formation of DNA strand breaks, gene mutations and chromosome aberrations observed in mammalian cells; inhibited of damage in DNA caused by other compounds</w:t>
            </w:r>
          </w:p>
          <w:p w14:paraId="5CB925B8" w14:textId="77777777" w:rsidR="00241B63" w:rsidRPr="002766E6" w:rsidRDefault="003E481C" w:rsidP="002E6CAE">
            <w:pPr>
              <w:pStyle w:val="ListBullet"/>
              <w:spacing w:before="60" w:after="60"/>
              <w:ind w:left="714" w:hanging="357"/>
              <w:contextualSpacing w:val="0"/>
            </w:pPr>
            <w:r w:rsidRPr="002766E6">
              <w:t>Cd</w:t>
            </w:r>
            <w:r w:rsidR="00241B63" w:rsidRPr="002766E6">
              <w:t xml:space="preserve"> ion possibly more genotoxic than historically as</w:t>
            </w:r>
            <w:r w:rsidR="003C6CCD" w:rsidRPr="002766E6">
              <w:t>sumed.</w:t>
            </w:r>
          </w:p>
          <w:p w14:paraId="45E8E540" w14:textId="77777777" w:rsidR="00680C6A" w:rsidRPr="002766E6" w:rsidRDefault="00680C6A" w:rsidP="00133602">
            <w:pPr>
              <w:pStyle w:val="ListBullet"/>
              <w:numPr>
                <w:ilvl w:val="0"/>
                <w:numId w:val="0"/>
              </w:numPr>
              <w:ind w:left="360" w:hanging="360"/>
            </w:pPr>
          </w:p>
        </w:tc>
      </w:tr>
      <w:tr w:rsidR="00C978F0" w:rsidRPr="002766E6" w14:paraId="5942EC7F" w14:textId="77777777" w:rsidTr="00DE26E8">
        <w:trPr>
          <w:gridAfter w:val="1"/>
          <w:wAfter w:w="8" w:type="pct"/>
          <w:cantSplit/>
        </w:trPr>
        <w:tc>
          <w:tcPr>
            <w:tcW w:w="4992" w:type="pct"/>
            <w:shd w:val="clear" w:color="auto" w:fill="F2F2F2" w:themeFill="background1" w:themeFillShade="F2"/>
          </w:tcPr>
          <w:p w14:paraId="77AD953B" w14:textId="5FC3FD96" w:rsidR="00C978F0" w:rsidRPr="002766E6" w:rsidRDefault="00DA352E" w:rsidP="0051509C">
            <w:pPr>
              <w:pStyle w:val="Tablerowheadingitalic"/>
              <w:tabs>
                <w:tab w:val="clear" w:pos="2268"/>
                <w:tab w:val="clear" w:pos="5670"/>
                <w:tab w:val="left" w:pos="1418"/>
                <w:tab w:val="left" w:pos="2552"/>
              </w:tabs>
            </w:pPr>
            <w:r w:rsidRPr="002766E6">
              <w:t>SCOEL</w:t>
            </w:r>
            <w:r w:rsidR="00916EC0" w:rsidRPr="002766E6">
              <w:t xml:space="preserve"> </w:t>
            </w:r>
            <w:r w:rsidR="00916EC0" w:rsidRPr="002766E6">
              <w:tab/>
            </w:r>
            <w:sdt>
              <w:sdtPr>
                <w:id w:val="-768699850"/>
                <w:placeholder>
                  <w:docPart w:val="FDC2A24E7D2549238DA6EE03BD0A6AE0"/>
                </w:placeholder>
                <w:text/>
              </w:sdtPr>
              <w:sdtContent>
                <w:r w:rsidR="003C6CCD" w:rsidRPr="002766E6">
                  <w:t>201</w:t>
                </w:r>
                <w:r w:rsidR="00895F7F" w:rsidRPr="002766E6">
                  <w:t>0</w:t>
                </w:r>
              </w:sdtContent>
            </w:sdt>
            <w:r w:rsidR="00916EC0" w:rsidRPr="002766E6">
              <w:tab/>
            </w:r>
            <w:r w:rsidR="0051509C" w:rsidRPr="002766E6">
              <w:tab/>
            </w:r>
            <w:sdt>
              <w:sdtPr>
                <w:alias w:val="SCOEL WES equivalent"/>
                <w:tag w:val="SCOEL WES equivalent"/>
                <w:id w:val="-1474213062"/>
                <w:placeholder>
                  <w:docPart w:val="9E827C9D0DA949E385F2E9AB4264125E"/>
                </w:placeholder>
              </w:sdtPr>
              <w:sdtContent>
                <w:r w:rsidR="003B18A2" w:rsidRPr="002766E6">
                  <w:t>TWA: 0.0</w:t>
                </w:r>
                <w:r w:rsidR="00163BFF" w:rsidRPr="002766E6">
                  <w:t>0</w:t>
                </w:r>
                <w:r w:rsidR="007D12F2" w:rsidRPr="002766E6">
                  <w:t>4</w:t>
                </w:r>
                <w:r w:rsidR="003B18A2" w:rsidRPr="002766E6">
                  <w:t xml:space="preserve"> mg/m</w:t>
                </w:r>
                <w:r w:rsidR="003B18A2" w:rsidRPr="002766E6">
                  <w:rPr>
                    <w:vertAlign w:val="superscript"/>
                  </w:rPr>
                  <w:t>3</w:t>
                </w:r>
                <w:r w:rsidR="003B18A2" w:rsidRPr="002766E6">
                  <w:t xml:space="preserve"> (</w:t>
                </w:r>
                <w:r w:rsidR="007D12F2" w:rsidRPr="002766E6">
                  <w:t>respirable</w:t>
                </w:r>
                <w:r w:rsidR="003B18A2" w:rsidRPr="002766E6">
                  <w:t xml:space="preserve"> fraction)</w:t>
                </w:r>
              </w:sdtContent>
            </w:sdt>
          </w:p>
        </w:tc>
      </w:tr>
      <w:tr w:rsidR="00C978F0" w:rsidRPr="002766E6" w14:paraId="0CE44F8B" w14:textId="77777777" w:rsidTr="00DE26E8">
        <w:trPr>
          <w:gridAfter w:val="1"/>
          <w:wAfter w:w="8" w:type="pct"/>
          <w:cantSplit/>
        </w:trPr>
        <w:tc>
          <w:tcPr>
            <w:tcW w:w="4992" w:type="pct"/>
          </w:tcPr>
          <w:p w14:paraId="7777ABE9" w14:textId="77777777" w:rsidR="003C6CCD" w:rsidRPr="002766E6" w:rsidRDefault="003B18A2" w:rsidP="003B18A2">
            <w:pPr>
              <w:pStyle w:val="Tabletextprimarysource"/>
              <w:tabs>
                <w:tab w:val="left" w:pos="1703"/>
              </w:tabs>
            </w:pPr>
            <w:r w:rsidRPr="002766E6">
              <w:t>TWA recommended to protect for systemic nephrotoxicity (effects in kidney)</w:t>
            </w:r>
            <w:r w:rsidR="00236DFC" w:rsidRPr="002766E6">
              <w:t>.</w:t>
            </w:r>
          </w:p>
          <w:p w14:paraId="450AF970" w14:textId="77777777" w:rsidR="003C6CCD" w:rsidRPr="002766E6" w:rsidRDefault="003C6CCD" w:rsidP="003365A5">
            <w:pPr>
              <w:pStyle w:val="Tabletextprimarysource"/>
            </w:pPr>
            <w:r w:rsidRPr="002766E6">
              <w:t>Summary of additional</w:t>
            </w:r>
            <w:r w:rsidR="00236DFC" w:rsidRPr="002766E6">
              <w:t xml:space="preserve"> data</w:t>
            </w:r>
            <w:r w:rsidRPr="002766E6">
              <w:t>:</w:t>
            </w:r>
          </w:p>
          <w:p w14:paraId="511017D3" w14:textId="77777777" w:rsidR="00163BFF" w:rsidRPr="002766E6" w:rsidRDefault="00163BFF" w:rsidP="002E6CAE">
            <w:pPr>
              <w:pStyle w:val="ListBullet"/>
              <w:spacing w:before="60" w:after="60"/>
              <w:ind w:left="714" w:hanging="357"/>
              <w:contextualSpacing w:val="0"/>
            </w:pPr>
            <w:r w:rsidRPr="002766E6">
              <w:t xml:space="preserve">Reported a cancer risk estimate of 1 excess in 100,000 for exposure to a lifetime exposure of 0.02 </w:t>
            </w:r>
            <w:r w:rsidRPr="002766E6">
              <w:rPr>
                <w:rFonts w:cs="Arial"/>
              </w:rPr>
              <w:t>µ</w:t>
            </w:r>
            <w:r w:rsidRPr="002766E6">
              <w:t>g/m</w:t>
            </w:r>
            <w:r w:rsidRPr="002766E6">
              <w:rPr>
                <w:vertAlign w:val="superscript"/>
              </w:rPr>
              <w:t>3</w:t>
            </w:r>
            <w:r w:rsidRPr="002766E6">
              <w:t xml:space="preserve"> based on epidemiological data</w:t>
            </w:r>
          </w:p>
          <w:p w14:paraId="716EE732" w14:textId="640F2CA2" w:rsidR="003B18A2" w:rsidRPr="002766E6" w:rsidRDefault="00163BFF" w:rsidP="002E6CAE">
            <w:pPr>
              <w:pStyle w:val="ListBullet"/>
              <w:spacing w:before="60" w:after="60"/>
              <w:ind w:left="714" w:hanging="357"/>
              <w:contextualSpacing w:val="0"/>
            </w:pPr>
            <w:r w:rsidRPr="002766E6">
              <w:t>Reported a</w:t>
            </w:r>
            <w:r w:rsidR="003B18A2" w:rsidRPr="002766E6">
              <w:t xml:space="preserve"> cumulative life-time lowest-effect exposure of 0.1</w:t>
            </w:r>
            <w:r w:rsidR="00B94857" w:rsidRPr="002766E6">
              <w:t>–</w:t>
            </w:r>
            <w:r w:rsidR="003B18A2" w:rsidRPr="002766E6">
              <w:t>0.4 mg/m</w:t>
            </w:r>
            <w:r w:rsidR="003B18A2" w:rsidRPr="002766E6">
              <w:rPr>
                <w:vertAlign w:val="superscript"/>
              </w:rPr>
              <w:t>3</w:t>
            </w:r>
            <w:r w:rsidR="00E77A61" w:rsidRPr="002766E6">
              <w:t xml:space="preserve"> </w:t>
            </w:r>
            <w:r w:rsidR="003B18A2" w:rsidRPr="002766E6">
              <w:t>yr for kidney effects</w:t>
            </w:r>
            <w:r w:rsidRPr="002766E6">
              <w:t xml:space="preserve"> in workers</w:t>
            </w:r>
            <w:r w:rsidR="003B18A2" w:rsidRPr="002766E6">
              <w:t xml:space="preserve">; </w:t>
            </w:r>
            <w:r w:rsidR="00C679D9" w:rsidRPr="002766E6">
              <w:rPr>
                <w:rFonts w:cs="Arial"/>
              </w:rPr>
              <w:t>≡</w:t>
            </w:r>
            <w:r w:rsidR="003B18A2" w:rsidRPr="002766E6">
              <w:t>LOAEC of 0.0025</w:t>
            </w:r>
            <w:r w:rsidR="00B94857" w:rsidRPr="002766E6">
              <w:t>–</w:t>
            </w:r>
            <w:r w:rsidR="003B18A2" w:rsidRPr="002766E6">
              <w:t>0.01 mg/m</w:t>
            </w:r>
            <w:r w:rsidR="003B18A2" w:rsidRPr="002766E6">
              <w:rPr>
                <w:vertAlign w:val="superscript"/>
              </w:rPr>
              <w:t>3</w:t>
            </w:r>
          </w:p>
          <w:p w14:paraId="46A8586F" w14:textId="77777777" w:rsidR="00664278" w:rsidRPr="002766E6" w:rsidRDefault="00664278" w:rsidP="002E6CAE">
            <w:pPr>
              <w:pStyle w:val="ListBullet"/>
              <w:spacing w:before="60" w:after="60"/>
              <w:ind w:left="714" w:hanging="357"/>
              <w:contextualSpacing w:val="0"/>
            </w:pPr>
            <w:r w:rsidRPr="002766E6">
              <w:t>TWA based on kidney effect LOAEC</w:t>
            </w:r>
          </w:p>
          <w:p w14:paraId="43556A1F" w14:textId="77777777" w:rsidR="00953B1C" w:rsidRPr="002766E6" w:rsidRDefault="00953B1C" w:rsidP="002E6CAE">
            <w:pPr>
              <w:pStyle w:val="ListBullet"/>
              <w:spacing w:before="60" w:after="60"/>
              <w:ind w:left="714" w:hanging="357"/>
              <w:contextualSpacing w:val="0"/>
            </w:pPr>
            <w:r w:rsidRPr="002766E6">
              <w:t xml:space="preserve">TWA relates to both fumes and dust and to inhalable fraction as all inhaled cadmium can contribute to the critical effect </w:t>
            </w:r>
          </w:p>
          <w:p w14:paraId="3ED51242" w14:textId="77777777" w:rsidR="00990E62" w:rsidRPr="002766E6" w:rsidRDefault="00926545" w:rsidP="002E6CAE">
            <w:pPr>
              <w:pStyle w:val="ListBullet"/>
              <w:spacing w:before="60" w:after="60"/>
              <w:ind w:left="714" w:hanging="357"/>
              <w:contextualSpacing w:val="0"/>
            </w:pPr>
            <w:r w:rsidRPr="002766E6">
              <w:t>Skin notation not warranted</w:t>
            </w:r>
          </w:p>
          <w:p w14:paraId="0F2A5681" w14:textId="77777777" w:rsidR="00990E62" w:rsidRPr="002766E6" w:rsidRDefault="00990E62" w:rsidP="002E6CAE">
            <w:pPr>
              <w:pStyle w:val="ListBullet"/>
              <w:spacing w:before="60" w:after="60"/>
              <w:ind w:left="714" w:hanging="357"/>
              <w:contextualSpacing w:val="0"/>
            </w:pPr>
            <w:r w:rsidRPr="002766E6">
              <w:t xml:space="preserve">Not considered </w:t>
            </w:r>
            <w:r w:rsidR="00926545" w:rsidRPr="002766E6">
              <w:t>to be sensitiser or reproductive toxicant</w:t>
            </w:r>
            <w:r w:rsidRPr="002766E6">
              <w:t>.</w:t>
            </w:r>
          </w:p>
          <w:p w14:paraId="6645553F" w14:textId="77777777" w:rsidR="00680C6A" w:rsidRPr="002766E6" w:rsidRDefault="00680C6A" w:rsidP="00133602">
            <w:pPr>
              <w:pStyle w:val="ListBullet"/>
              <w:numPr>
                <w:ilvl w:val="0"/>
                <w:numId w:val="0"/>
              </w:numPr>
              <w:ind w:left="1080"/>
            </w:pPr>
          </w:p>
        </w:tc>
      </w:tr>
      <w:tr w:rsidR="00DA352E" w:rsidRPr="002766E6" w14:paraId="1282EBA7" w14:textId="77777777" w:rsidTr="00DE26E8">
        <w:trPr>
          <w:gridAfter w:val="1"/>
          <w:wAfter w:w="8" w:type="pct"/>
          <w:cantSplit/>
        </w:trPr>
        <w:tc>
          <w:tcPr>
            <w:tcW w:w="4992" w:type="pct"/>
            <w:shd w:val="clear" w:color="auto" w:fill="F2F2F2" w:themeFill="background1" w:themeFillShade="F2"/>
          </w:tcPr>
          <w:p w14:paraId="2DCC526D" w14:textId="24232788" w:rsidR="00DA352E" w:rsidRPr="002766E6" w:rsidRDefault="00DA352E" w:rsidP="0051509C">
            <w:pPr>
              <w:pStyle w:val="Tablerowheadingitalic"/>
              <w:tabs>
                <w:tab w:val="clear" w:pos="2268"/>
                <w:tab w:val="clear" w:pos="5670"/>
                <w:tab w:val="left" w:pos="1418"/>
                <w:tab w:val="left" w:pos="2552"/>
              </w:tabs>
            </w:pPr>
            <w:r w:rsidRPr="002766E6">
              <w:t>OARS/AIHA</w:t>
            </w:r>
            <w:r w:rsidR="00916EC0" w:rsidRPr="002766E6">
              <w:t xml:space="preserve"> </w:t>
            </w:r>
            <w:r w:rsidR="00916EC0" w:rsidRPr="002766E6">
              <w:tab/>
            </w:r>
            <w:sdt>
              <w:sdtPr>
                <w:id w:val="-936748013"/>
                <w:placeholder>
                  <w:docPart w:val="47E4EC2DB10B4B8E8A66F7A5C13653CB"/>
                </w:placeholder>
                <w:text/>
              </w:sdtPr>
              <w:sdtContent>
                <w:r w:rsidR="00664278" w:rsidRPr="002766E6">
                  <w:t>NA</w:t>
                </w:r>
              </w:sdtContent>
            </w:sdt>
            <w:r w:rsidR="00916EC0" w:rsidRPr="002766E6">
              <w:tab/>
            </w:r>
            <w:r w:rsidR="0051509C" w:rsidRPr="002766E6">
              <w:tab/>
            </w:r>
            <w:sdt>
              <w:sdtPr>
                <w:alias w:val="OARS/AIHA WES equivalent"/>
                <w:tag w:val="OARS/AIHA WES equivalent"/>
                <w:id w:val="-1320338798"/>
                <w:placeholder>
                  <w:docPart w:val="5E4DD00C3A334F93BF5CC79754EBC5EA"/>
                </w:placeholder>
              </w:sdtPr>
              <w:sdtContent>
                <w:proofErr w:type="spellStart"/>
                <w:r w:rsidR="00664278" w:rsidRPr="002766E6">
                  <w:t>NA</w:t>
                </w:r>
                <w:proofErr w:type="spellEnd"/>
              </w:sdtContent>
            </w:sdt>
          </w:p>
        </w:tc>
      </w:tr>
      <w:tr w:rsidR="00DA352E" w:rsidRPr="002766E6" w14:paraId="18C5F9EF" w14:textId="77777777" w:rsidTr="00DE26E8">
        <w:trPr>
          <w:gridAfter w:val="1"/>
          <w:wAfter w:w="8" w:type="pct"/>
          <w:cantSplit/>
        </w:trPr>
        <w:tc>
          <w:tcPr>
            <w:tcW w:w="4992" w:type="pct"/>
          </w:tcPr>
          <w:p w14:paraId="43972728" w14:textId="77777777" w:rsidR="00DA352E" w:rsidRPr="002766E6" w:rsidRDefault="00664278" w:rsidP="003365A5">
            <w:pPr>
              <w:pStyle w:val="Tabletextprimarysource"/>
            </w:pPr>
            <w:r w:rsidRPr="002766E6">
              <w:t>No report</w:t>
            </w:r>
            <w:r w:rsidR="00133602" w:rsidRPr="002766E6">
              <w:t>.</w:t>
            </w:r>
          </w:p>
        </w:tc>
      </w:tr>
      <w:tr w:rsidR="00DA352E" w:rsidRPr="002766E6" w14:paraId="1203373E" w14:textId="77777777" w:rsidTr="00DE26E8">
        <w:trPr>
          <w:gridAfter w:val="1"/>
          <w:wAfter w:w="8" w:type="pct"/>
          <w:cantSplit/>
        </w:trPr>
        <w:tc>
          <w:tcPr>
            <w:tcW w:w="4992" w:type="pct"/>
            <w:shd w:val="clear" w:color="auto" w:fill="F2F2F2" w:themeFill="background1" w:themeFillShade="F2"/>
          </w:tcPr>
          <w:p w14:paraId="7E11F57A" w14:textId="6353AD90" w:rsidR="00DA352E" w:rsidRPr="002766E6" w:rsidRDefault="00DA352E" w:rsidP="0051509C">
            <w:pPr>
              <w:pStyle w:val="Tablerowheadingitalic"/>
              <w:tabs>
                <w:tab w:val="clear" w:pos="2268"/>
                <w:tab w:val="clear" w:pos="5670"/>
                <w:tab w:val="left" w:pos="1418"/>
                <w:tab w:val="left" w:pos="2552"/>
              </w:tabs>
            </w:pPr>
            <w:r w:rsidRPr="002766E6">
              <w:lastRenderedPageBreak/>
              <w:t>HCOTN</w:t>
            </w:r>
            <w:r w:rsidR="00916EC0" w:rsidRPr="002766E6">
              <w:t xml:space="preserve"> </w:t>
            </w:r>
            <w:r w:rsidR="00916EC0" w:rsidRPr="002766E6">
              <w:tab/>
            </w:r>
            <w:sdt>
              <w:sdtPr>
                <w:id w:val="1543090908"/>
                <w:placeholder>
                  <w:docPart w:val="EA1708404F1C4A3BB080A0D8EEB67D1D"/>
                </w:placeholder>
                <w:text/>
              </w:sdtPr>
              <w:sdtContent>
                <w:r w:rsidR="00664278" w:rsidRPr="002766E6">
                  <w:t>2</w:t>
                </w:r>
                <w:r w:rsidR="00F8756E" w:rsidRPr="002766E6">
                  <w:t>01</w:t>
                </w:r>
                <w:r w:rsidR="003640EF" w:rsidRPr="002766E6">
                  <w:t>9</w:t>
                </w:r>
              </w:sdtContent>
            </w:sdt>
            <w:r w:rsidR="00916EC0" w:rsidRPr="002766E6">
              <w:tab/>
            </w:r>
            <w:r w:rsidR="0051509C" w:rsidRPr="002766E6">
              <w:tab/>
            </w:r>
            <w:sdt>
              <w:sdtPr>
                <w:alias w:val="HCOTN WES equivalent"/>
                <w:tag w:val="HCOTN WES equivalent"/>
                <w:id w:val="1471562734"/>
                <w:placeholder>
                  <w:docPart w:val="F3D4204BA37A4A21A656C76DA4274412"/>
                </w:placeholder>
              </w:sdtPr>
              <w:sdtContent>
                <w:sdt>
                  <w:sdtPr>
                    <w:alias w:val="SCOEL WES equivalent"/>
                    <w:tag w:val="SCOEL WES equivalent"/>
                    <w:id w:val="750475258"/>
                    <w:placeholder>
                      <w:docPart w:val="23B5D0D236B94025B727487DFE3043D9"/>
                    </w:placeholder>
                  </w:sdtPr>
                  <w:sdtContent>
                    <w:r w:rsidR="00990E62" w:rsidRPr="002766E6">
                      <w:t xml:space="preserve">TWA: </w:t>
                    </w:r>
                    <w:r w:rsidR="00F8756E" w:rsidRPr="002766E6">
                      <w:t>4</w:t>
                    </w:r>
                    <w:r w:rsidR="00990E62" w:rsidRPr="002766E6">
                      <w:t xml:space="preserve"> </w:t>
                    </w:r>
                    <w:r w:rsidR="00990E62" w:rsidRPr="002766E6">
                      <w:rPr>
                        <w:rFonts w:cs="Arial"/>
                      </w:rPr>
                      <w:t>µ</w:t>
                    </w:r>
                    <w:r w:rsidR="00990E62" w:rsidRPr="002766E6">
                      <w:t>g/m</w:t>
                    </w:r>
                    <w:r w:rsidR="00990E62" w:rsidRPr="002766E6">
                      <w:rPr>
                        <w:vertAlign w:val="superscript"/>
                      </w:rPr>
                      <w:t>3</w:t>
                    </w:r>
                    <w:r w:rsidR="00990E62" w:rsidRPr="002766E6">
                      <w:t xml:space="preserve"> </w:t>
                    </w:r>
                    <w:r w:rsidR="00F8756E" w:rsidRPr="002766E6">
                      <w:t>(respirable fraction) in combination with a BLV</w:t>
                    </w:r>
                  </w:sdtContent>
                </w:sdt>
              </w:sdtContent>
            </w:sdt>
          </w:p>
        </w:tc>
      </w:tr>
      <w:tr w:rsidR="00DA352E" w:rsidRPr="002766E6" w14:paraId="644577B1" w14:textId="77777777" w:rsidTr="00DE26E8">
        <w:trPr>
          <w:gridAfter w:val="1"/>
          <w:wAfter w:w="8" w:type="pct"/>
          <w:cantSplit/>
        </w:trPr>
        <w:tc>
          <w:tcPr>
            <w:tcW w:w="4992" w:type="pct"/>
          </w:tcPr>
          <w:p w14:paraId="206B0AFC" w14:textId="77777777" w:rsidR="00DA352E" w:rsidRPr="002766E6" w:rsidRDefault="00926545" w:rsidP="003365A5">
            <w:pPr>
              <w:pStyle w:val="Tabletextprimarysource"/>
            </w:pPr>
            <w:r w:rsidRPr="002766E6">
              <w:t xml:space="preserve">TWA </w:t>
            </w:r>
            <w:r w:rsidR="00DD58B2" w:rsidRPr="002766E6">
              <w:t>r</w:t>
            </w:r>
            <w:r w:rsidR="00F8756E" w:rsidRPr="002766E6">
              <w:t>ecommended to protect for</w:t>
            </w:r>
            <w:r w:rsidR="00DD58B2" w:rsidRPr="002766E6">
              <w:t xml:space="preserve"> effects</w:t>
            </w:r>
            <w:r w:rsidR="00F8756E" w:rsidRPr="002766E6">
              <w:t xml:space="preserve"> in the kidneys and carcinogenic effects</w:t>
            </w:r>
            <w:r w:rsidR="00DD58B2" w:rsidRPr="002766E6">
              <w:t xml:space="preserve"> in exposed workers.</w:t>
            </w:r>
          </w:p>
          <w:p w14:paraId="459127A2" w14:textId="77777777" w:rsidR="00DD58B2" w:rsidRPr="002766E6" w:rsidRDefault="00DD58B2" w:rsidP="003365A5">
            <w:pPr>
              <w:pStyle w:val="Tabletextprimarysource"/>
            </w:pPr>
            <w:r w:rsidRPr="002766E6">
              <w:t>Summary of additional data:</w:t>
            </w:r>
          </w:p>
          <w:p w14:paraId="6CAA53A1" w14:textId="21A43332" w:rsidR="00DD58B2" w:rsidRPr="002766E6" w:rsidRDefault="009D129A" w:rsidP="002E6CAE">
            <w:pPr>
              <w:pStyle w:val="ListBullet"/>
              <w:spacing w:before="60" w:after="60"/>
              <w:ind w:left="714" w:hanging="357"/>
              <w:contextualSpacing w:val="0"/>
            </w:pPr>
            <w:r w:rsidRPr="002766E6">
              <w:t xml:space="preserve">Reported an equivalent LOAEL of 12.5 </w:t>
            </w:r>
            <w:r w:rsidRPr="002766E6">
              <w:rPr>
                <w:rFonts w:cs="Arial"/>
              </w:rPr>
              <w:t>µ</w:t>
            </w:r>
            <w:r w:rsidRPr="002766E6">
              <w:t>g/m</w:t>
            </w:r>
            <w:r w:rsidRPr="002766E6">
              <w:rPr>
                <w:vertAlign w:val="superscript"/>
              </w:rPr>
              <w:t>3</w:t>
            </w:r>
            <w:r w:rsidRPr="002766E6">
              <w:t xml:space="preserve"> based on cumulative exposure of 500</w:t>
            </w:r>
            <w:r w:rsidR="0044699E" w:rsidRPr="002766E6">
              <w:t> </w:t>
            </w:r>
            <w:r w:rsidRPr="002766E6">
              <w:rPr>
                <w:rFonts w:cs="Arial"/>
              </w:rPr>
              <w:t>µ</w:t>
            </w:r>
            <w:r w:rsidRPr="002766E6">
              <w:t>g/</w:t>
            </w:r>
            <w:r w:rsidR="002766E6" w:rsidRPr="002766E6">
              <w:t>m</w:t>
            </w:r>
            <w:r w:rsidR="002766E6" w:rsidRPr="002766E6">
              <w:rPr>
                <w:vertAlign w:val="superscript"/>
              </w:rPr>
              <w:t>3</w:t>
            </w:r>
            <w:r w:rsidR="002766E6">
              <w:t> </w:t>
            </w:r>
            <w:r w:rsidR="0044699E" w:rsidRPr="002766E6">
              <w:t>yr</w:t>
            </w:r>
            <w:r w:rsidRPr="002766E6">
              <w:t xml:space="preserve"> (</w:t>
            </w:r>
            <w:proofErr w:type="spellStart"/>
            <w:r w:rsidRPr="002766E6">
              <w:t>CdO</w:t>
            </w:r>
            <w:proofErr w:type="spellEnd"/>
            <w:r w:rsidRPr="002766E6">
              <w:t>) leading to changes in residual lung volume</w:t>
            </w:r>
          </w:p>
          <w:p w14:paraId="5D574943" w14:textId="77777777" w:rsidR="00953B1C" w:rsidRPr="002766E6" w:rsidRDefault="009D129A" w:rsidP="002E6CAE">
            <w:pPr>
              <w:pStyle w:val="ListBullet"/>
              <w:spacing w:before="60" w:after="60"/>
              <w:ind w:left="714" w:hanging="357"/>
              <w:contextualSpacing w:val="0"/>
            </w:pPr>
            <w:r w:rsidRPr="002766E6">
              <w:t xml:space="preserve">Applying an </w:t>
            </w:r>
            <w:r w:rsidR="00133602" w:rsidRPr="002766E6">
              <w:t>UF</w:t>
            </w:r>
            <w:r w:rsidRPr="002766E6">
              <w:t xml:space="preserve"> of 3 to the LOAEL derives the recommended TWA of </w:t>
            </w:r>
            <w:r w:rsidR="00953B1C" w:rsidRPr="002766E6">
              <w:t>4</w:t>
            </w:r>
            <w:r w:rsidR="0044699E" w:rsidRPr="002766E6">
              <w:t> </w:t>
            </w:r>
            <w:proofErr w:type="spellStart"/>
            <w:r w:rsidR="00953B1C" w:rsidRPr="002766E6">
              <w:t>μg</w:t>
            </w:r>
            <w:proofErr w:type="spellEnd"/>
            <w:r w:rsidR="00953B1C" w:rsidRPr="002766E6">
              <w:t>/m</w:t>
            </w:r>
            <w:r w:rsidR="00953B1C" w:rsidRPr="002766E6">
              <w:rPr>
                <w:vertAlign w:val="superscript"/>
              </w:rPr>
              <w:t>3</w:t>
            </w:r>
          </w:p>
          <w:p w14:paraId="78A28041" w14:textId="6640E731" w:rsidR="009D129A" w:rsidRPr="002766E6" w:rsidRDefault="00C679D9" w:rsidP="002E6CAE">
            <w:pPr>
              <w:pStyle w:val="ListBullet"/>
              <w:spacing w:before="60" w:after="60"/>
              <w:ind w:left="714" w:hanging="357"/>
              <w:contextualSpacing w:val="0"/>
            </w:pPr>
            <w:r w:rsidRPr="002766E6">
              <w:t>R</w:t>
            </w:r>
            <w:r w:rsidR="00953B1C" w:rsidRPr="002766E6">
              <w:t xml:space="preserve">ecommended </w:t>
            </w:r>
            <w:r w:rsidR="009D129A" w:rsidRPr="002766E6">
              <w:t>a health-based</w:t>
            </w:r>
            <w:r w:rsidR="00953B1C" w:rsidRPr="002766E6">
              <w:t xml:space="preserve"> BLV in urine of 2 </w:t>
            </w:r>
            <w:proofErr w:type="spellStart"/>
            <w:r w:rsidR="00953B1C" w:rsidRPr="002766E6">
              <w:t>μg</w:t>
            </w:r>
            <w:proofErr w:type="spellEnd"/>
            <w:r w:rsidR="00953B1C" w:rsidRPr="002766E6">
              <w:t xml:space="preserve">/g </w:t>
            </w:r>
            <w:r w:rsidR="009D129A" w:rsidRPr="002766E6">
              <w:t xml:space="preserve">creatinine </w:t>
            </w:r>
            <w:r w:rsidR="000F4315">
              <w:t xml:space="preserve">(as cadmium) </w:t>
            </w:r>
            <w:r w:rsidR="009D129A" w:rsidRPr="002766E6">
              <w:t>to protect workers agains</w:t>
            </w:r>
            <w:r w:rsidR="00953B1C" w:rsidRPr="002766E6">
              <w:t xml:space="preserve">t systemic toxicity, used in </w:t>
            </w:r>
            <w:r w:rsidR="009D129A" w:rsidRPr="002766E6">
              <w:t xml:space="preserve">combination with a health-based </w:t>
            </w:r>
            <w:r w:rsidR="00953B1C" w:rsidRPr="002766E6">
              <w:t>TWA</w:t>
            </w:r>
          </w:p>
          <w:p w14:paraId="0D1F338E" w14:textId="49B1AD79" w:rsidR="00BF3E96" w:rsidRPr="002766E6" w:rsidRDefault="00C679D9" w:rsidP="002E6CAE">
            <w:pPr>
              <w:pStyle w:val="ListBullet"/>
              <w:spacing w:before="60" w:after="60"/>
              <w:ind w:left="714" w:hanging="357"/>
              <w:contextualSpacing w:val="0"/>
            </w:pPr>
            <w:r w:rsidRPr="002766E6">
              <w:t>Accounts for</w:t>
            </w:r>
            <w:r w:rsidR="00953B1C" w:rsidRPr="002766E6">
              <w:t xml:space="preserve"> non-occupational exposures as </w:t>
            </w:r>
            <w:r w:rsidR="000F4315">
              <w:t xml:space="preserve">it </w:t>
            </w:r>
            <w:r w:rsidR="00953B1C" w:rsidRPr="002766E6">
              <w:t>accumulates in the body.</w:t>
            </w:r>
          </w:p>
          <w:p w14:paraId="01097E78" w14:textId="77777777" w:rsidR="00680C6A" w:rsidRPr="002766E6" w:rsidRDefault="00680C6A" w:rsidP="00133602">
            <w:pPr>
              <w:pStyle w:val="ListBullet"/>
              <w:numPr>
                <w:ilvl w:val="0"/>
                <w:numId w:val="0"/>
              </w:numPr>
              <w:ind w:left="1080"/>
            </w:pPr>
          </w:p>
        </w:tc>
      </w:tr>
    </w:tbl>
    <w:p w14:paraId="580DA0AF" w14:textId="77777777" w:rsidR="00A20751" w:rsidRPr="002766E6" w:rsidRDefault="00A20751" w:rsidP="003365A5">
      <w:pPr>
        <w:pStyle w:val="Heading3"/>
      </w:pPr>
      <w:bookmarkStart w:id="0" w:name="SecondSource"/>
      <w:r w:rsidRPr="002766E6">
        <w:t xml:space="preserve">Secondary </w:t>
      </w:r>
      <w:r w:rsidR="0088798F" w:rsidRPr="002766E6">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96"/>
        <w:gridCol w:w="423"/>
        <w:gridCol w:w="661"/>
        <w:gridCol w:w="6446"/>
      </w:tblGrid>
      <w:tr w:rsidR="004966BF" w:rsidRPr="002766E6" w14:paraId="5A0B13DD" w14:textId="77777777" w:rsidTr="00BE5A25">
        <w:trPr>
          <w:cantSplit/>
          <w:trHeight w:val="393"/>
          <w:tblHeader/>
        </w:trPr>
        <w:tc>
          <w:tcPr>
            <w:tcW w:w="1496" w:type="dxa"/>
            <w:shd w:val="clear" w:color="auto" w:fill="BFBFBF" w:themeFill="background1" w:themeFillShade="BF"/>
            <w:vAlign w:val="center"/>
          </w:tcPr>
          <w:p w14:paraId="1DDA47A5" w14:textId="77777777" w:rsidR="004966BF" w:rsidRPr="002766E6" w:rsidRDefault="004966BF" w:rsidP="00263255">
            <w:pPr>
              <w:pStyle w:val="Tableheader"/>
            </w:pPr>
            <w:r w:rsidRPr="002766E6">
              <w:t>Source</w:t>
            </w:r>
          </w:p>
        </w:tc>
        <w:tc>
          <w:tcPr>
            <w:tcW w:w="423" w:type="dxa"/>
            <w:shd w:val="clear" w:color="auto" w:fill="BFBFBF" w:themeFill="background1" w:themeFillShade="BF"/>
            <w:vAlign w:val="center"/>
          </w:tcPr>
          <w:p w14:paraId="59FB5843" w14:textId="77777777" w:rsidR="004966BF" w:rsidRPr="002766E6" w:rsidRDefault="004966BF" w:rsidP="00263255">
            <w:pPr>
              <w:pStyle w:val="Tableheader"/>
            </w:pPr>
          </w:p>
        </w:tc>
        <w:tc>
          <w:tcPr>
            <w:tcW w:w="661" w:type="dxa"/>
            <w:shd w:val="clear" w:color="auto" w:fill="BFBFBF" w:themeFill="background1" w:themeFillShade="BF"/>
            <w:vAlign w:val="center"/>
          </w:tcPr>
          <w:p w14:paraId="1A75DB95" w14:textId="77777777" w:rsidR="004966BF" w:rsidRPr="002766E6" w:rsidRDefault="004966BF" w:rsidP="00263255">
            <w:pPr>
              <w:pStyle w:val="Tableheader"/>
            </w:pPr>
            <w:r w:rsidRPr="002766E6">
              <w:t>Year</w:t>
            </w:r>
          </w:p>
        </w:tc>
        <w:tc>
          <w:tcPr>
            <w:tcW w:w="6446" w:type="dxa"/>
            <w:shd w:val="clear" w:color="auto" w:fill="BFBFBF" w:themeFill="background1" w:themeFillShade="BF"/>
            <w:vAlign w:val="center"/>
          </w:tcPr>
          <w:p w14:paraId="3675A36B" w14:textId="77777777" w:rsidR="004966BF" w:rsidRPr="002766E6" w:rsidRDefault="004966BF" w:rsidP="00263255">
            <w:pPr>
              <w:pStyle w:val="Tableheader"/>
            </w:pPr>
            <w:r w:rsidRPr="002766E6">
              <w:t>Additional information</w:t>
            </w:r>
          </w:p>
        </w:tc>
      </w:tr>
      <w:tr w:rsidR="004966BF" w:rsidRPr="002766E6" w14:paraId="6259EEEA" w14:textId="77777777" w:rsidTr="00BE5A25">
        <w:trPr>
          <w:cantSplit/>
        </w:trPr>
        <w:tc>
          <w:tcPr>
            <w:tcW w:w="1496" w:type="dxa"/>
          </w:tcPr>
          <w:p w14:paraId="7605F6E0" w14:textId="77777777" w:rsidR="004966BF" w:rsidRPr="002766E6" w:rsidRDefault="004966BF" w:rsidP="00224EE2">
            <w:pPr>
              <w:pStyle w:val="Tablefont"/>
            </w:pPr>
            <w:r w:rsidRPr="002766E6">
              <w:t>NICNAS</w:t>
            </w:r>
          </w:p>
        </w:tc>
        <w:tc>
          <w:tcPr>
            <w:tcW w:w="423" w:type="dxa"/>
          </w:tcPr>
          <w:p w14:paraId="5DDCD74D" w14:textId="77777777" w:rsidR="004966BF" w:rsidRPr="002766E6" w:rsidRDefault="00000000"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Content>
                <w:r w:rsidR="005C65F7" w:rsidRPr="002766E6">
                  <w:rPr>
                    <w:rStyle w:val="checkbox"/>
                  </w:rPr>
                  <w:t></w:t>
                </w:r>
              </w:sdtContent>
            </w:sdt>
          </w:p>
        </w:tc>
        <w:tc>
          <w:tcPr>
            <w:tcW w:w="661" w:type="dxa"/>
          </w:tcPr>
          <w:p w14:paraId="7C3C7C69" w14:textId="77777777" w:rsidR="004966BF" w:rsidRPr="002766E6" w:rsidRDefault="005C65F7" w:rsidP="00717D45">
            <w:pPr>
              <w:pStyle w:val="Tablefont"/>
              <w:rPr>
                <w:rStyle w:val="checkbox"/>
                <w:rFonts w:ascii="Arial" w:hAnsi="Arial" w:cs="Arial"/>
              </w:rPr>
            </w:pPr>
            <w:r w:rsidRPr="002766E6">
              <w:rPr>
                <w:rStyle w:val="checkbox"/>
                <w:rFonts w:ascii="Arial" w:hAnsi="Arial" w:cs="Arial"/>
              </w:rPr>
              <w:t>2016</w:t>
            </w:r>
          </w:p>
        </w:tc>
        <w:tc>
          <w:tcPr>
            <w:tcW w:w="6446" w:type="dxa"/>
          </w:tcPr>
          <w:p w14:paraId="377DC760" w14:textId="70415E02" w:rsidR="004966BF" w:rsidRPr="002766E6" w:rsidRDefault="005C65F7" w:rsidP="002E6CAE">
            <w:pPr>
              <w:pStyle w:val="ListBullet"/>
              <w:spacing w:before="60" w:after="60"/>
              <w:ind w:left="714" w:hanging="357"/>
              <w:contextualSpacing w:val="0"/>
              <w:rPr>
                <w:rStyle w:val="checkbox"/>
                <w:rFonts w:ascii="Arial" w:hAnsi="Arial" w:cs="Arial"/>
              </w:rPr>
            </w:pPr>
            <w:r w:rsidRPr="002766E6">
              <w:rPr>
                <w:rStyle w:val="checkbox"/>
                <w:rFonts w:ascii="Arial" w:hAnsi="Arial" w:cs="Arial"/>
              </w:rPr>
              <w:t xml:space="preserve">LOAEC of 0.0031 mg/L, based on lung effects (increased residual levels of the chemical), derived from study on workers exposed to </w:t>
            </w:r>
            <w:proofErr w:type="spellStart"/>
            <w:r w:rsidR="00BE5A25" w:rsidRPr="002766E6">
              <w:rPr>
                <w:rStyle w:val="checkbox"/>
                <w:rFonts w:ascii="Arial" w:hAnsi="Arial" w:cs="Arial"/>
              </w:rPr>
              <w:t>CdO</w:t>
            </w:r>
            <w:proofErr w:type="spellEnd"/>
            <w:r w:rsidRPr="002766E6">
              <w:rPr>
                <w:rStyle w:val="checkbox"/>
                <w:rFonts w:ascii="Arial" w:hAnsi="Arial" w:cs="Arial"/>
              </w:rPr>
              <w:t xml:space="preserve"> fumes &lt;0.5 mg/m³ over several </w:t>
            </w:r>
            <w:r w:rsidR="00236DFC" w:rsidRPr="002766E6">
              <w:rPr>
                <w:rStyle w:val="checkbox"/>
                <w:rFonts w:ascii="Arial" w:hAnsi="Arial" w:cs="Arial"/>
              </w:rPr>
              <w:t>yr</w:t>
            </w:r>
          </w:p>
          <w:p w14:paraId="6F5671D5" w14:textId="77777777" w:rsidR="00BE5A25" w:rsidRPr="002766E6" w:rsidRDefault="003E481C" w:rsidP="002E6CAE">
            <w:pPr>
              <w:pStyle w:val="ListBullet"/>
              <w:spacing w:before="60" w:after="60"/>
              <w:ind w:left="714" w:hanging="357"/>
              <w:contextualSpacing w:val="0"/>
              <w:rPr>
                <w:rStyle w:val="checkbox"/>
                <w:rFonts w:ascii="Arial" w:hAnsi="Arial" w:cs="Arial"/>
              </w:rPr>
            </w:pPr>
            <w:r w:rsidRPr="002766E6">
              <w:rPr>
                <w:rStyle w:val="checkbox"/>
                <w:rFonts w:ascii="Arial" w:hAnsi="Arial" w:cs="Arial"/>
              </w:rPr>
              <w:t>R</w:t>
            </w:r>
            <w:r w:rsidR="00BE5A25" w:rsidRPr="002766E6">
              <w:rPr>
                <w:rStyle w:val="checkbox"/>
                <w:rFonts w:ascii="Arial" w:hAnsi="Arial" w:cs="Arial"/>
              </w:rPr>
              <w:t>eproductive LOA</w:t>
            </w:r>
            <w:r w:rsidRPr="002766E6">
              <w:rPr>
                <w:rStyle w:val="checkbox"/>
                <w:rFonts w:ascii="Arial" w:hAnsi="Arial" w:cs="Arial"/>
              </w:rPr>
              <w:t>EL of 1 mg/m³ reported based on</w:t>
            </w:r>
            <w:r w:rsidR="00BE5A25" w:rsidRPr="002766E6">
              <w:rPr>
                <w:rStyle w:val="checkbox"/>
                <w:rFonts w:ascii="Arial" w:hAnsi="Arial" w:cs="Arial"/>
              </w:rPr>
              <w:t xml:space="preserve"> 13</w:t>
            </w:r>
            <w:r w:rsidR="00236DFC" w:rsidRPr="002766E6">
              <w:rPr>
                <w:rStyle w:val="checkbox"/>
                <w:rFonts w:ascii="Arial" w:hAnsi="Arial" w:cs="Arial"/>
              </w:rPr>
              <w:t xml:space="preserve"> </w:t>
            </w:r>
            <w:proofErr w:type="spellStart"/>
            <w:r w:rsidR="00BE5A25" w:rsidRPr="002766E6">
              <w:rPr>
                <w:rStyle w:val="checkbox"/>
                <w:rFonts w:ascii="Arial" w:hAnsi="Arial" w:cs="Arial"/>
              </w:rPr>
              <w:t>wk</w:t>
            </w:r>
            <w:proofErr w:type="spellEnd"/>
            <w:r w:rsidR="00BE5A25" w:rsidRPr="002766E6">
              <w:rPr>
                <w:rStyle w:val="checkbox"/>
                <w:rFonts w:ascii="Arial" w:hAnsi="Arial" w:cs="Arial"/>
              </w:rPr>
              <w:t xml:space="preserve"> inhalation study in rats; </w:t>
            </w:r>
            <w:r w:rsidRPr="002766E6">
              <w:rPr>
                <w:rStyle w:val="checkbox"/>
                <w:rFonts w:ascii="Arial" w:hAnsi="Arial" w:cs="Arial"/>
              </w:rPr>
              <w:t xml:space="preserve">with </w:t>
            </w:r>
            <w:r w:rsidR="00BE5A25" w:rsidRPr="002766E6">
              <w:rPr>
                <w:rStyle w:val="checkbox"/>
                <w:rFonts w:ascii="Arial" w:hAnsi="Arial" w:cs="Arial"/>
              </w:rPr>
              <w:t>decreased spermatid counts and increased oestrous cycle lengths</w:t>
            </w:r>
            <w:r w:rsidR="00236DFC" w:rsidRPr="002766E6">
              <w:rPr>
                <w:rStyle w:val="checkbox"/>
                <w:rFonts w:ascii="Arial" w:hAnsi="Arial" w:cs="Arial"/>
              </w:rPr>
              <w:t>.</w:t>
            </w:r>
          </w:p>
        </w:tc>
      </w:tr>
      <w:tr w:rsidR="004966BF" w:rsidRPr="002766E6" w14:paraId="59347AC1" w14:textId="77777777" w:rsidTr="00BE5A25">
        <w:trPr>
          <w:cantSplit/>
        </w:trPr>
        <w:tc>
          <w:tcPr>
            <w:tcW w:w="1496" w:type="dxa"/>
          </w:tcPr>
          <w:p w14:paraId="2F2F6EA3" w14:textId="77777777" w:rsidR="004966BF" w:rsidRPr="002766E6" w:rsidRDefault="004966BF" w:rsidP="00224EE2">
            <w:pPr>
              <w:pStyle w:val="Tablefont"/>
            </w:pPr>
            <w:r w:rsidRPr="002766E6">
              <w:t>IARC</w:t>
            </w:r>
          </w:p>
        </w:tc>
        <w:tc>
          <w:tcPr>
            <w:tcW w:w="423" w:type="dxa"/>
          </w:tcPr>
          <w:p w14:paraId="49B41EB5" w14:textId="77777777" w:rsidR="004966BF" w:rsidRPr="002766E6" w:rsidRDefault="00000000" w:rsidP="00AB43C4">
            <w:pPr>
              <w:spacing w:before="40"/>
              <w:jc w:val="center"/>
              <w:rPr>
                <w:rStyle w:val="checkbox"/>
              </w:rPr>
            </w:pPr>
            <w:sdt>
              <w:sdtPr>
                <w:rPr>
                  <w:rStyle w:val="checkbox"/>
                </w:rPr>
                <w:id w:val="1592279139"/>
                <w:placeholder>
                  <w:docPart w:val="20BC8D26515A4C11AC6304FB75A7CBAD"/>
                </w:placeholder>
                <w:dropDownList>
                  <w:listItem w:displayText="" w:value=""/>
                  <w:listItem w:displayText="" w:value=""/>
                  <w:listItem w:displayText="" w:value=""/>
                </w:dropDownList>
              </w:sdtPr>
              <w:sdtContent>
                <w:r w:rsidR="005C65F7" w:rsidRPr="002766E6">
                  <w:rPr>
                    <w:rStyle w:val="checkbox"/>
                  </w:rPr>
                  <w:t></w:t>
                </w:r>
              </w:sdtContent>
            </w:sdt>
          </w:p>
        </w:tc>
        <w:tc>
          <w:tcPr>
            <w:tcW w:w="661" w:type="dxa"/>
          </w:tcPr>
          <w:p w14:paraId="1E0AE823" w14:textId="77777777" w:rsidR="004966BF" w:rsidRPr="002766E6" w:rsidRDefault="005C65F7" w:rsidP="00717D45">
            <w:pPr>
              <w:pStyle w:val="Tablefont"/>
              <w:rPr>
                <w:rStyle w:val="checkbox"/>
                <w:rFonts w:ascii="Arial" w:hAnsi="Arial" w:cs="Arial"/>
              </w:rPr>
            </w:pPr>
            <w:r w:rsidRPr="002766E6">
              <w:rPr>
                <w:rStyle w:val="checkbox"/>
                <w:rFonts w:ascii="Arial" w:hAnsi="Arial" w:cs="Arial"/>
              </w:rPr>
              <w:t>1993</w:t>
            </w:r>
          </w:p>
        </w:tc>
        <w:tc>
          <w:tcPr>
            <w:tcW w:w="6446" w:type="dxa"/>
          </w:tcPr>
          <w:p w14:paraId="23784D26" w14:textId="77777777" w:rsidR="004966BF" w:rsidRPr="002766E6" w:rsidRDefault="005C65F7" w:rsidP="002E6CAE">
            <w:pPr>
              <w:pStyle w:val="ListBullet"/>
              <w:spacing w:before="60" w:after="60"/>
              <w:ind w:left="714" w:hanging="357"/>
              <w:contextualSpacing w:val="0"/>
              <w:rPr>
                <w:rStyle w:val="checkbox"/>
                <w:rFonts w:ascii="Arial" w:hAnsi="Arial" w:cs="Arial"/>
              </w:rPr>
            </w:pPr>
            <w:r w:rsidRPr="002766E6">
              <w:rPr>
                <w:rStyle w:val="checkbox"/>
                <w:rFonts w:ascii="Arial" w:hAnsi="Arial" w:cs="Arial"/>
              </w:rPr>
              <w:t>Based on sufficient evidence in humans and animals for lung c</w:t>
            </w:r>
            <w:r w:rsidR="003E481C" w:rsidRPr="002766E6">
              <w:rPr>
                <w:rStyle w:val="checkbox"/>
                <w:rFonts w:ascii="Arial" w:hAnsi="Arial" w:cs="Arial"/>
              </w:rPr>
              <w:t>ancer;</w:t>
            </w:r>
            <w:r w:rsidRPr="002766E6">
              <w:rPr>
                <w:rStyle w:val="checkbox"/>
                <w:rFonts w:ascii="Arial" w:hAnsi="Arial" w:cs="Arial"/>
              </w:rPr>
              <w:t xml:space="preserve"> classified as carcinogenic to humans (Group 1)</w:t>
            </w:r>
            <w:r w:rsidR="00236DFC" w:rsidRPr="002766E6">
              <w:rPr>
                <w:rStyle w:val="checkbox"/>
                <w:rFonts w:ascii="Arial" w:hAnsi="Arial" w:cs="Arial"/>
              </w:rPr>
              <w:t>.</w:t>
            </w:r>
          </w:p>
        </w:tc>
      </w:tr>
    </w:tbl>
    <w:bookmarkEnd w:id="0"/>
    <w:p w14:paraId="4D5610AF" w14:textId="77777777" w:rsidR="007E2A4B" w:rsidRPr="002766E6" w:rsidRDefault="007E2A4B" w:rsidP="007E2A4B">
      <w:pPr>
        <w:pStyle w:val="Heading3"/>
      </w:pPr>
      <w:r w:rsidRPr="002766E6">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rsidRPr="002766E6" w14:paraId="09C3EFB3" w14:textId="77777777" w:rsidTr="00BE5A25">
        <w:trPr>
          <w:trHeight w:val="454"/>
          <w:tblHeader/>
        </w:trPr>
        <w:tc>
          <w:tcPr>
            <w:tcW w:w="6603" w:type="dxa"/>
            <w:vAlign w:val="center"/>
          </w:tcPr>
          <w:p w14:paraId="79CAE9DB" w14:textId="77777777" w:rsidR="002E0D61" w:rsidRPr="002766E6" w:rsidRDefault="00B1422A" w:rsidP="00C3091E">
            <w:pPr>
              <w:pStyle w:val="Tablefont"/>
              <w:keepNext/>
              <w:keepLines/>
              <w:spacing w:before="40" w:after="40"/>
            </w:pPr>
            <w:bookmarkStart w:id="1" w:name="GCQuest"/>
            <w:r w:rsidRPr="002766E6">
              <w:t>Is the chemical mutagenic</w:t>
            </w:r>
            <w:r w:rsidR="002E0D61" w:rsidRPr="002766E6">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Content>
            <w:tc>
              <w:tcPr>
                <w:tcW w:w="2423" w:type="dxa"/>
                <w:vAlign w:val="center"/>
              </w:tcPr>
              <w:p w14:paraId="787A600E" w14:textId="77777777" w:rsidR="002E0D61" w:rsidRPr="002766E6" w:rsidRDefault="00BE5A25" w:rsidP="00C3091E">
                <w:pPr>
                  <w:pStyle w:val="Tablefont"/>
                  <w:keepNext/>
                  <w:keepLines/>
                  <w:spacing w:before="40" w:after="40"/>
                </w:pPr>
                <w:r w:rsidRPr="002766E6">
                  <w:t>No</w:t>
                </w:r>
              </w:p>
            </w:tc>
          </w:sdtContent>
        </w:sdt>
      </w:tr>
      <w:tr w:rsidR="008A36CF" w:rsidRPr="002766E6" w14:paraId="59DF39FB" w14:textId="77777777" w:rsidTr="00BE5A25">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Content>
            <w:tc>
              <w:tcPr>
                <w:tcW w:w="6603" w:type="dxa"/>
                <w:vAlign w:val="center"/>
              </w:tcPr>
              <w:p w14:paraId="3CCF6E2F" w14:textId="77777777" w:rsidR="008A36CF" w:rsidRPr="002766E6" w:rsidRDefault="00BE5A25" w:rsidP="008A36CF">
                <w:pPr>
                  <w:pStyle w:val="Tablefont"/>
                  <w:keepNext/>
                  <w:keepLines/>
                  <w:spacing w:before="40" w:after="40"/>
                  <w:rPr>
                    <w:b/>
                  </w:rPr>
                </w:pPr>
                <w:r w:rsidRPr="002766E6">
                  <w:rPr>
                    <w:b/>
                  </w:rPr>
                  <w:t>The chemical is not a non-threshold based genotoxic carcinogen.</w:t>
                </w:r>
              </w:p>
            </w:tc>
          </w:sdtContent>
        </w:sdt>
        <w:tc>
          <w:tcPr>
            <w:tcW w:w="2423" w:type="dxa"/>
            <w:vAlign w:val="center"/>
          </w:tcPr>
          <w:p w14:paraId="7CC2D7D6" w14:textId="77777777" w:rsidR="008A36CF" w:rsidRPr="002766E6" w:rsidRDefault="008A36CF" w:rsidP="008A36CF">
            <w:pPr>
              <w:pStyle w:val="Tablefont"/>
              <w:keepNext/>
              <w:keepLines/>
              <w:spacing w:before="40" w:after="40"/>
            </w:pPr>
          </w:p>
        </w:tc>
      </w:tr>
    </w:tbl>
    <w:bookmarkEnd w:id="1"/>
    <w:p w14:paraId="63C03B28" w14:textId="77777777" w:rsidR="00687890" w:rsidRPr="002766E6" w:rsidRDefault="00B479A9" w:rsidP="00474E33">
      <w:pPr>
        <w:pStyle w:val="Heading2"/>
      </w:pPr>
      <w:r w:rsidRPr="002766E6">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2766E6" w14:paraId="167C10AE" w14:textId="77777777" w:rsidTr="00812887">
        <w:trPr>
          <w:cantSplit/>
          <w:tblHeader/>
        </w:trPr>
        <w:tc>
          <w:tcPr>
            <w:tcW w:w="3227" w:type="dxa"/>
            <w:shd w:val="clear" w:color="auto" w:fill="BFBFBF" w:themeFill="background1" w:themeFillShade="BF"/>
            <w:vAlign w:val="center"/>
          </w:tcPr>
          <w:p w14:paraId="60AA59BA" w14:textId="77777777" w:rsidR="00687890" w:rsidRPr="002766E6" w:rsidRDefault="00687890" w:rsidP="00263255">
            <w:pPr>
              <w:pStyle w:val="Tableheader"/>
            </w:pPr>
            <w:bookmarkStart w:id="2" w:name="Notations"/>
            <w:r w:rsidRPr="002766E6">
              <w:t>Source</w:t>
            </w:r>
          </w:p>
        </w:tc>
        <w:tc>
          <w:tcPr>
            <w:tcW w:w="6015" w:type="dxa"/>
            <w:shd w:val="clear" w:color="auto" w:fill="BFBFBF" w:themeFill="background1" w:themeFillShade="BF"/>
            <w:vAlign w:val="center"/>
          </w:tcPr>
          <w:p w14:paraId="02411981" w14:textId="77777777" w:rsidR="00687890" w:rsidRPr="002766E6" w:rsidRDefault="00687890" w:rsidP="00F4402E">
            <w:pPr>
              <w:pStyle w:val="Tableheader"/>
              <w:tabs>
                <w:tab w:val="right" w:pos="5272"/>
              </w:tabs>
            </w:pPr>
            <w:r w:rsidRPr="002766E6">
              <w:t>Notations</w:t>
            </w:r>
            <w:r w:rsidR="003A2B94" w:rsidRPr="002766E6">
              <w:tab/>
            </w:r>
          </w:p>
        </w:tc>
      </w:tr>
      <w:tr w:rsidR="00687890" w:rsidRPr="002766E6" w14:paraId="564C4C54" w14:textId="77777777" w:rsidTr="00812887">
        <w:trPr>
          <w:cantSplit/>
        </w:trPr>
        <w:tc>
          <w:tcPr>
            <w:tcW w:w="3227" w:type="dxa"/>
          </w:tcPr>
          <w:p w14:paraId="30989A23" w14:textId="77777777" w:rsidR="004079B4" w:rsidRPr="002766E6" w:rsidRDefault="00084513" w:rsidP="00F4402E">
            <w:pPr>
              <w:pStyle w:val="Tablefont"/>
            </w:pPr>
            <w:r w:rsidRPr="002766E6">
              <w:t>SWA</w:t>
            </w:r>
          </w:p>
        </w:tc>
        <w:tc>
          <w:tcPr>
            <w:tcW w:w="6015" w:type="dxa"/>
          </w:tcPr>
          <w:p w14:paraId="695E00A9" w14:textId="77777777" w:rsidR="00687890" w:rsidRPr="002766E6" w:rsidRDefault="008825F3" w:rsidP="00DD2F9B">
            <w:pPr>
              <w:pStyle w:val="Tablefont"/>
            </w:pPr>
            <w:proofErr w:type="spellStart"/>
            <w:r w:rsidRPr="002766E6">
              <w:t>Carc</w:t>
            </w:r>
            <w:proofErr w:type="spellEnd"/>
            <w:r w:rsidRPr="002766E6">
              <w:t>. 2</w:t>
            </w:r>
          </w:p>
        </w:tc>
      </w:tr>
      <w:tr w:rsidR="007925F0" w:rsidRPr="002766E6" w14:paraId="7A2B01EB" w14:textId="77777777" w:rsidTr="00812887">
        <w:trPr>
          <w:cantSplit/>
        </w:trPr>
        <w:tc>
          <w:tcPr>
            <w:tcW w:w="3227" w:type="dxa"/>
          </w:tcPr>
          <w:p w14:paraId="481912CC" w14:textId="77777777" w:rsidR="004079B4" w:rsidRPr="002766E6" w:rsidRDefault="007925F0" w:rsidP="00F4402E">
            <w:pPr>
              <w:pStyle w:val="Tablefont"/>
            </w:pPr>
            <w:r w:rsidRPr="002766E6">
              <w:t>HCIS</w:t>
            </w:r>
          </w:p>
        </w:tc>
        <w:tc>
          <w:tcPr>
            <w:tcW w:w="6015" w:type="dxa"/>
          </w:tcPr>
          <w:p w14:paraId="04F3059D" w14:textId="77777777" w:rsidR="007925F0" w:rsidRPr="002766E6" w:rsidRDefault="00BE5A25" w:rsidP="00DD2F9B">
            <w:pPr>
              <w:pStyle w:val="Tablefont"/>
            </w:pPr>
            <w:r w:rsidRPr="002766E6">
              <w:t>Carcinogenicity – category 1B</w:t>
            </w:r>
          </w:p>
        </w:tc>
      </w:tr>
      <w:tr w:rsidR="00AF483F" w:rsidRPr="002766E6" w14:paraId="54D972F2" w14:textId="77777777" w:rsidTr="00812887">
        <w:trPr>
          <w:cantSplit/>
        </w:trPr>
        <w:tc>
          <w:tcPr>
            <w:tcW w:w="3227" w:type="dxa"/>
          </w:tcPr>
          <w:p w14:paraId="5EF582D0" w14:textId="77777777" w:rsidR="00AF483F" w:rsidRPr="002766E6" w:rsidRDefault="00AF483F" w:rsidP="00F4402E">
            <w:pPr>
              <w:pStyle w:val="Tablefont"/>
            </w:pPr>
            <w:r w:rsidRPr="002766E6">
              <w:t>NICNAS</w:t>
            </w:r>
          </w:p>
        </w:tc>
        <w:tc>
          <w:tcPr>
            <w:tcW w:w="6015" w:type="dxa"/>
          </w:tcPr>
          <w:p w14:paraId="0BA85BE1" w14:textId="77777777" w:rsidR="00AF483F" w:rsidRPr="002766E6" w:rsidRDefault="0071279E" w:rsidP="00DD2F9B">
            <w:pPr>
              <w:pStyle w:val="Tablefont"/>
            </w:pPr>
            <w:proofErr w:type="spellStart"/>
            <w:r w:rsidRPr="002766E6">
              <w:t>Carc</w:t>
            </w:r>
            <w:proofErr w:type="spellEnd"/>
            <w:r w:rsidRPr="002766E6">
              <w:t xml:space="preserve">. Cat. 2 </w:t>
            </w:r>
          </w:p>
        </w:tc>
      </w:tr>
      <w:tr w:rsidR="00687890" w:rsidRPr="002766E6" w14:paraId="75523301" w14:textId="77777777" w:rsidTr="00812887">
        <w:trPr>
          <w:cantSplit/>
        </w:trPr>
        <w:tc>
          <w:tcPr>
            <w:tcW w:w="3227" w:type="dxa"/>
          </w:tcPr>
          <w:p w14:paraId="351B8E33" w14:textId="77777777" w:rsidR="004079B4" w:rsidRPr="002766E6" w:rsidRDefault="00687890" w:rsidP="00F4402E">
            <w:pPr>
              <w:pStyle w:val="Tablefont"/>
            </w:pPr>
            <w:r w:rsidRPr="002766E6">
              <w:t>EU Annex</w:t>
            </w:r>
          </w:p>
        </w:tc>
        <w:tc>
          <w:tcPr>
            <w:tcW w:w="6015" w:type="dxa"/>
          </w:tcPr>
          <w:p w14:paraId="7D2AFDA9" w14:textId="77777777" w:rsidR="00687890" w:rsidRPr="002766E6" w:rsidRDefault="00494CEB" w:rsidP="00DD2F9B">
            <w:pPr>
              <w:pStyle w:val="Tablefont"/>
            </w:pPr>
            <w:r w:rsidRPr="002766E6">
              <w:t>Carcinogenicity – category 1B</w:t>
            </w:r>
          </w:p>
        </w:tc>
      </w:tr>
      <w:tr w:rsidR="00E41A26" w:rsidRPr="002766E6" w14:paraId="465C2278" w14:textId="77777777" w:rsidTr="00812887">
        <w:trPr>
          <w:cantSplit/>
        </w:trPr>
        <w:tc>
          <w:tcPr>
            <w:tcW w:w="3227" w:type="dxa"/>
          </w:tcPr>
          <w:p w14:paraId="6D7B9BE1" w14:textId="77777777" w:rsidR="00E41A26" w:rsidRPr="002766E6" w:rsidRDefault="00E41A26" w:rsidP="00F4402E">
            <w:pPr>
              <w:pStyle w:val="Tablefont"/>
            </w:pPr>
            <w:r w:rsidRPr="002766E6">
              <w:t>ECHA</w:t>
            </w:r>
          </w:p>
        </w:tc>
        <w:tc>
          <w:tcPr>
            <w:tcW w:w="6015" w:type="dxa"/>
          </w:tcPr>
          <w:p w14:paraId="3A1803F2" w14:textId="77777777" w:rsidR="00E41A26" w:rsidRPr="002766E6" w:rsidRDefault="002F7940" w:rsidP="00DD2F9B">
            <w:pPr>
              <w:pStyle w:val="Tablefont"/>
            </w:pPr>
            <w:r w:rsidRPr="002766E6">
              <w:t>Carcinogenicity – category 1B</w:t>
            </w:r>
          </w:p>
        </w:tc>
      </w:tr>
      <w:tr w:rsidR="002E0D61" w:rsidRPr="002766E6" w14:paraId="218799E6" w14:textId="77777777" w:rsidTr="00812887">
        <w:trPr>
          <w:cantSplit/>
        </w:trPr>
        <w:tc>
          <w:tcPr>
            <w:tcW w:w="3227" w:type="dxa"/>
          </w:tcPr>
          <w:p w14:paraId="57A34157" w14:textId="77777777" w:rsidR="004079B4" w:rsidRPr="002766E6" w:rsidRDefault="002E0D61" w:rsidP="00F4402E">
            <w:pPr>
              <w:pStyle w:val="Tablefont"/>
            </w:pPr>
            <w:r w:rsidRPr="002766E6">
              <w:t>ACGIH</w:t>
            </w:r>
          </w:p>
        </w:tc>
        <w:tc>
          <w:tcPr>
            <w:tcW w:w="6015" w:type="dxa"/>
          </w:tcPr>
          <w:p w14:paraId="2D0E8817" w14:textId="77777777" w:rsidR="002E0D61" w:rsidRPr="002766E6" w:rsidRDefault="004F48B3" w:rsidP="00DD2F9B">
            <w:pPr>
              <w:pStyle w:val="Tablefont"/>
            </w:pPr>
            <w:r w:rsidRPr="002766E6">
              <w:t>Carcinogenicity – A2</w:t>
            </w:r>
          </w:p>
        </w:tc>
      </w:tr>
      <w:tr w:rsidR="002E0D61" w:rsidRPr="002766E6" w14:paraId="5A2ED968" w14:textId="77777777" w:rsidTr="00812887">
        <w:trPr>
          <w:cantSplit/>
        </w:trPr>
        <w:tc>
          <w:tcPr>
            <w:tcW w:w="3227" w:type="dxa"/>
          </w:tcPr>
          <w:p w14:paraId="6A27C13A" w14:textId="77777777" w:rsidR="004079B4" w:rsidRPr="002766E6" w:rsidRDefault="002E0D61" w:rsidP="00F4402E">
            <w:pPr>
              <w:pStyle w:val="Tablefont"/>
            </w:pPr>
            <w:r w:rsidRPr="002766E6">
              <w:t>DFG</w:t>
            </w:r>
          </w:p>
        </w:tc>
        <w:tc>
          <w:tcPr>
            <w:tcW w:w="6015" w:type="dxa"/>
          </w:tcPr>
          <w:p w14:paraId="122CC283" w14:textId="77777777" w:rsidR="002E0D61" w:rsidRPr="002766E6" w:rsidRDefault="00454F49" w:rsidP="00DD2F9B">
            <w:pPr>
              <w:pStyle w:val="Tablefont"/>
            </w:pPr>
            <w:r w:rsidRPr="002766E6">
              <w:t>Carcinogenicity –</w:t>
            </w:r>
            <w:r w:rsidR="00273E1C" w:rsidRPr="002766E6">
              <w:t xml:space="preserve"> </w:t>
            </w:r>
            <w:r w:rsidRPr="002766E6">
              <w:t>1</w:t>
            </w:r>
            <w:r w:rsidR="00273E1C" w:rsidRPr="002766E6">
              <w:t>, H (skin)</w:t>
            </w:r>
          </w:p>
        </w:tc>
      </w:tr>
      <w:tr w:rsidR="002E0D61" w:rsidRPr="002766E6" w14:paraId="6902CAE9" w14:textId="77777777" w:rsidTr="00812887">
        <w:trPr>
          <w:cantSplit/>
        </w:trPr>
        <w:tc>
          <w:tcPr>
            <w:tcW w:w="3227" w:type="dxa"/>
          </w:tcPr>
          <w:p w14:paraId="52573F00" w14:textId="77777777" w:rsidR="004079B4" w:rsidRPr="002766E6" w:rsidRDefault="002E0D61" w:rsidP="00F4402E">
            <w:pPr>
              <w:pStyle w:val="Tablefont"/>
            </w:pPr>
            <w:r w:rsidRPr="002766E6">
              <w:t>SCOEL</w:t>
            </w:r>
          </w:p>
        </w:tc>
        <w:tc>
          <w:tcPr>
            <w:tcW w:w="6015" w:type="dxa"/>
          </w:tcPr>
          <w:p w14:paraId="7818C321" w14:textId="77777777" w:rsidR="002E0D61" w:rsidRPr="002766E6" w:rsidRDefault="00676564" w:rsidP="00DD2F9B">
            <w:pPr>
              <w:pStyle w:val="Tablefont"/>
            </w:pPr>
            <w:r w:rsidRPr="002766E6">
              <w:t>Carcinogenicity – C</w:t>
            </w:r>
          </w:p>
        </w:tc>
      </w:tr>
      <w:tr w:rsidR="002E0D61" w:rsidRPr="002766E6" w14:paraId="58347A00" w14:textId="77777777" w:rsidTr="00812887">
        <w:trPr>
          <w:cantSplit/>
        </w:trPr>
        <w:tc>
          <w:tcPr>
            <w:tcW w:w="3227" w:type="dxa"/>
          </w:tcPr>
          <w:p w14:paraId="2B2F4BA6" w14:textId="77777777" w:rsidR="004079B4" w:rsidRPr="002766E6" w:rsidRDefault="002E0D61" w:rsidP="00F4402E">
            <w:pPr>
              <w:pStyle w:val="Tablefont"/>
            </w:pPr>
            <w:r w:rsidRPr="002766E6">
              <w:t>HCOTN</w:t>
            </w:r>
          </w:p>
        </w:tc>
        <w:tc>
          <w:tcPr>
            <w:tcW w:w="6015" w:type="dxa"/>
          </w:tcPr>
          <w:p w14:paraId="5075F493" w14:textId="77777777" w:rsidR="002E0D61" w:rsidRPr="002766E6" w:rsidRDefault="001F5508" w:rsidP="00DD2F9B">
            <w:pPr>
              <w:pStyle w:val="Tablefont"/>
            </w:pPr>
            <w:r w:rsidRPr="002766E6">
              <w:t>—</w:t>
            </w:r>
          </w:p>
        </w:tc>
      </w:tr>
      <w:tr w:rsidR="00386093" w:rsidRPr="002766E6" w14:paraId="62AF4778" w14:textId="77777777" w:rsidTr="00812887">
        <w:trPr>
          <w:cantSplit/>
        </w:trPr>
        <w:tc>
          <w:tcPr>
            <w:tcW w:w="3227" w:type="dxa"/>
          </w:tcPr>
          <w:p w14:paraId="70394097" w14:textId="77777777" w:rsidR="004079B4" w:rsidRPr="002766E6" w:rsidRDefault="00386093" w:rsidP="00F4402E">
            <w:pPr>
              <w:pStyle w:val="Tablefont"/>
            </w:pPr>
            <w:r w:rsidRPr="002766E6">
              <w:lastRenderedPageBreak/>
              <w:t>IARC</w:t>
            </w:r>
          </w:p>
        </w:tc>
        <w:tc>
          <w:tcPr>
            <w:tcW w:w="6015" w:type="dxa"/>
          </w:tcPr>
          <w:p w14:paraId="5F6FE4F4" w14:textId="77777777" w:rsidR="00386093" w:rsidRPr="002766E6" w:rsidRDefault="003E2566" w:rsidP="00DD2F9B">
            <w:pPr>
              <w:pStyle w:val="Tablefont"/>
            </w:pPr>
            <w:r w:rsidRPr="002766E6">
              <w:t>Carcinogenicity – Group 1</w:t>
            </w:r>
          </w:p>
        </w:tc>
      </w:tr>
      <w:tr w:rsidR="00386093" w:rsidRPr="002766E6" w14:paraId="7B902468" w14:textId="77777777" w:rsidTr="00812887">
        <w:trPr>
          <w:cantSplit/>
        </w:trPr>
        <w:tc>
          <w:tcPr>
            <w:tcW w:w="3227" w:type="dxa"/>
          </w:tcPr>
          <w:p w14:paraId="7955B6D5" w14:textId="77777777" w:rsidR="004079B4" w:rsidRPr="002766E6" w:rsidRDefault="00386093" w:rsidP="00F4402E">
            <w:pPr>
              <w:pStyle w:val="Tablefont"/>
              <w:keepNext/>
            </w:pPr>
            <w:r w:rsidRPr="002766E6">
              <w:t>US NIOSH</w:t>
            </w:r>
          </w:p>
        </w:tc>
        <w:tc>
          <w:tcPr>
            <w:tcW w:w="6015" w:type="dxa"/>
          </w:tcPr>
          <w:p w14:paraId="68540D53" w14:textId="77777777" w:rsidR="00386093" w:rsidRPr="002766E6" w:rsidRDefault="001F5508" w:rsidP="00D87570">
            <w:pPr>
              <w:pStyle w:val="Tablefont"/>
              <w:keepNext/>
            </w:pPr>
            <w:r w:rsidRPr="002766E6">
              <w:t>—</w:t>
            </w:r>
          </w:p>
        </w:tc>
      </w:tr>
    </w:tbl>
    <w:bookmarkEnd w:id="2"/>
    <w:p w14:paraId="63D1A244" w14:textId="77777777" w:rsidR="00485BFD" w:rsidRPr="002766E6" w:rsidRDefault="00485BFD" w:rsidP="00485BFD">
      <w:pPr>
        <w:pStyle w:val="Tablefooter"/>
      </w:pPr>
      <w:r w:rsidRPr="002766E6">
        <w:t>NA = not applicable (a recommendation has not been made by this Agency); —</w:t>
      </w:r>
      <w:r w:rsidR="00D87570" w:rsidRPr="002766E6">
        <w:t xml:space="preserve"> = the Agency has assessed available data for this chemical but has not recommended any notations</w:t>
      </w:r>
    </w:p>
    <w:p w14:paraId="7C4AE789" w14:textId="77777777" w:rsidR="00474E33" w:rsidRPr="002766E6" w:rsidRDefault="00474E33" w:rsidP="00474E33">
      <w:pPr>
        <w:pStyle w:val="Heading3"/>
      </w:pPr>
      <w:r w:rsidRPr="002766E6">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2766E6" w14:paraId="2D1228CA" w14:textId="77777777" w:rsidTr="00EA6243">
        <w:trPr>
          <w:cantSplit/>
          <w:tblHeader/>
        </w:trPr>
        <w:tc>
          <w:tcPr>
            <w:tcW w:w="5000" w:type="pct"/>
            <w:shd w:val="clear" w:color="auto" w:fill="BFBFBF" w:themeFill="background1" w:themeFillShade="BF"/>
            <w:vAlign w:val="center"/>
          </w:tcPr>
          <w:p w14:paraId="60A174FE" w14:textId="77777777" w:rsidR="00932DCE" w:rsidRPr="002766E6" w:rsidRDefault="00932DCE" w:rsidP="00F4402E">
            <w:pPr>
              <w:pStyle w:val="Tableheader"/>
              <w:keepNext/>
              <w:tabs>
                <w:tab w:val="right" w:pos="8800"/>
              </w:tabs>
            </w:pPr>
            <w:bookmarkStart w:id="3" w:name="SkinNot"/>
            <w:r w:rsidRPr="002766E6">
              <w:t>Calculation</w:t>
            </w:r>
            <w:r w:rsidR="00177CA1" w:rsidRPr="002766E6">
              <w:tab/>
            </w:r>
          </w:p>
        </w:tc>
      </w:tr>
      <w:tr w:rsidR="00932DCE" w:rsidRPr="002766E6" w14:paraId="7FFB4BB7" w14:textId="77777777" w:rsidTr="00EA6243">
        <w:trPr>
          <w:cantSplit/>
          <w:tblHeader/>
        </w:trPr>
        <w:tc>
          <w:tcPr>
            <w:tcW w:w="5000" w:type="pct"/>
            <w:vAlign w:val="center"/>
          </w:tcPr>
          <w:p w14:paraId="2CB3922B" w14:textId="77777777" w:rsidR="00932DCE" w:rsidRPr="002766E6" w:rsidRDefault="00236DFC" w:rsidP="00F9496B">
            <w:pPr>
              <w:pStyle w:val="Tablefont"/>
            </w:pPr>
            <w:r w:rsidRPr="002766E6">
              <w:t xml:space="preserve"> Insufficient data to assign a skin notation</w:t>
            </w:r>
            <w:r w:rsidR="00133602" w:rsidRPr="002766E6">
              <w:t>.</w:t>
            </w:r>
          </w:p>
        </w:tc>
      </w:tr>
    </w:tbl>
    <w:bookmarkEnd w:id="3"/>
    <w:p w14:paraId="6694B259" w14:textId="77777777" w:rsidR="00EB3D1B" w:rsidRPr="002766E6" w:rsidRDefault="00EB3D1B" w:rsidP="00EB3D1B">
      <w:pPr>
        <w:pStyle w:val="Heading3"/>
      </w:pPr>
      <w:r w:rsidRPr="002766E6">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rsidRPr="002766E6" w14:paraId="57FA3037" w14:textId="77777777" w:rsidTr="00610F2E">
        <w:trPr>
          <w:trHeight w:val="454"/>
          <w:tblHeader/>
        </w:trPr>
        <w:tc>
          <w:tcPr>
            <w:tcW w:w="4361" w:type="dxa"/>
            <w:vAlign w:val="center"/>
          </w:tcPr>
          <w:p w14:paraId="718AFEBC" w14:textId="77777777" w:rsidR="00EB3D1B" w:rsidRPr="002766E6" w:rsidRDefault="00EB3D1B" w:rsidP="00D87570">
            <w:pPr>
              <w:pStyle w:val="Tablefont"/>
            </w:pPr>
            <w:r w:rsidRPr="002766E6">
              <w:t xml:space="preserve">Is there a </w:t>
            </w:r>
            <w:r w:rsidR="006E5D05" w:rsidRPr="002766E6">
              <w:t>suitable</w:t>
            </w:r>
            <w:r w:rsidRPr="002766E6">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Content>
            <w:tc>
              <w:tcPr>
                <w:tcW w:w="4881" w:type="dxa"/>
                <w:vAlign w:val="center"/>
              </w:tcPr>
              <w:p w14:paraId="7C5B5C8B" w14:textId="7EFD0C3F" w:rsidR="00EB3D1B" w:rsidRPr="002766E6" w:rsidRDefault="001F5508" w:rsidP="00EB3D1B">
                <w:pPr>
                  <w:pStyle w:val="Tablefont"/>
                </w:pPr>
                <w:r w:rsidRPr="002766E6">
                  <w:t>Yes</w:t>
                </w:r>
              </w:p>
            </w:tc>
          </w:sdtContent>
        </w:sdt>
      </w:tr>
    </w:tbl>
    <w:p w14:paraId="3418813A" w14:textId="77777777" w:rsidR="00687890" w:rsidRPr="002766E6" w:rsidRDefault="00B479A9" w:rsidP="00474E33">
      <w:pPr>
        <w:pStyle w:val="Heading2"/>
      </w:pPr>
      <w:r w:rsidRPr="002766E6">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4"/>
        <w:gridCol w:w="5032"/>
      </w:tblGrid>
      <w:tr w:rsidR="001B79E5" w:rsidRPr="002766E6" w14:paraId="2C9E60DC" w14:textId="77777777" w:rsidTr="00EA6243">
        <w:trPr>
          <w:cantSplit/>
          <w:tblHeader/>
        </w:trPr>
        <w:tc>
          <w:tcPr>
            <w:tcW w:w="4077" w:type="dxa"/>
            <w:vAlign w:val="center"/>
          </w:tcPr>
          <w:p w14:paraId="2B226058" w14:textId="77777777" w:rsidR="001B79E5" w:rsidRPr="002766E6" w:rsidRDefault="001B79E5" w:rsidP="00A31D99">
            <w:pPr>
              <w:pStyle w:val="Tablefont"/>
            </w:pPr>
            <w:r w:rsidRPr="002766E6">
              <w:t>Molecular weight:</w:t>
            </w:r>
          </w:p>
        </w:tc>
        <w:sdt>
          <w:sdtPr>
            <w:id w:val="2058126578"/>
            <w:placeholder>
              <w:docPart w:val="0DAD3FB9ACEF4778B961F088737E2361"/>
            </w:placeholder>
          </w:sdtPr>
          <w:sdtContent>
            <w:tc>
              <w:tcPr>
                <w:tcW w:w="5165" w:type="dxa"/>
                <w:vAlign w:val="center"/>
              </w:tcPr>
              <w:p w14:paraId="60D6D460" w14:textId="58B18643" w:rsidR="001B79E5" w:rsidRPr="002766E6" w:rsidRDefault="00657FD7" w:rsidP="001B79E5">
                <w:pPr>
                  <w:pStyle w:val="Tablefont"/>
                </w:pPr>
                <w:r w:rsidRPr="002766E6">
                  <w:t>112.41</w:t>
                </w:r>
                <w:r w:rsidR="0071279E" w:rsidRPr="002766E6">
                  <w:t xml:space="preserve"> (element) </w:t>
                </w:r>
              </w:p>
            </w:tc>
          </w:sdtContent>
        </w:sdt>
      </w:tr>
      <w:tr w:rsidR="00A31D99" w:rsidRPr="002766E6" w14:paraId="498ADE29" w14:textId="77777777" w:rsidTr="00EA6243">
        <w:trPr>
          <w:cantSplit/>
          <w:tblHeader/>
        </w:trPr>
        <w:tc>
          <w:tcPr>
            <w:tcW w:w="4077" w:type="dxa"/>
            <w:vAlign w:val="center"/>
          </w:tcPr>
          <w:p w14:paraId="52F6A6AC" w14:textId="77777777" w:rsidR="00A31D99" w:rsidRPr="002766E6" w:rsidRDefault="00A31D99" w:rsidP="00A31D99">
            <w:pPr>
              <w:pStyle w:val="Tablefont"/>
            </w:pPr>
            <w:r w:rsidRPr="002766E6">
              <w:t>Conversion factors at 25</w:t>
            </w:r>
            <w:r w:rsidRPr="002766E6">
              <w:rPr>
                <w:rFonts w:cs="Arial"/>
              </w:rPr>
              <w:t>°</w:t>
            </w:r>
            <w:r w:rsidRPr="002766E6">
              <w:t xml:space="preserve">C and 101.3 kPa: </w:t>
            </w:r>
          </w:p>
        </w:tc>
        <w:tc>
          <w:tcPr>
            <w:tcW w:w="5165" w:type="dxa"/>
            <w:vAlign w:val="center"/>
          </w:tcPr>
          <w:p w14:paraId="5B64EAA7" w14:textId="27D37CD4" w:rsidR="00A31D99" w:rsidRPr="002766E6" w:rsidRDefault="00A0643F" w:rsidP="00A174CC">
            <w:pPr>
              <w:pStyle w:val="Tablefont"/>
            </w:pPr>
            <w:r w:rsidRPr="002766E6">
              <w:t xml:space="preserve">1 ppm = </w:t>
            </w:r>
            <w:sdt>
              <w:sdtPr>
                <w:id w:val="-371151491"/>
                <w:placeholder>
                  <w:docPart w:val="A7231FB73EFF4B2B92EB3BD21C0CEA01"/>
                </w:placeholder>
                <w:showingPlcHdr/>
              </w:sdtPr>
              <w:sdtContent>
                <w:r w:rsidR="00A174CC" w:rsidRPr="002766E6">
                  <w:rPr>
                    <w:rStyle w:val="PlaceholderText"/>
                  </w:rPr>
                  <w:t>Number</w:t>
                </w:r>
              </w:sdtContent>
            </w:sdt>
            <w:r w:rsidRPr="002766E6">
              <w:t xml:space="preserve"> mg/m</w:t>
            </w:r>
            <w:r w:rsidRPr="002766E6">
              <w:rPr>
                <w:vertAlign w:val="superscript"/>
              </w:rPr>
              <w:t>3</w:t>
            </w:r>
            <w:r w:rsidRPr="002766E6">
              <w:t>; 1 mg/m</w:t>
            </w:r>
            <w:r w:rsidRPr="002766E6">
              <w:rPr>
                <w:vertAlign w:val="superscript"/>
              </w:rPr>
              <w:t>3</w:t>
            </w:r>
            <w:r w:rsidRPr="002766E6">
              <w:t xml:space="preserve"> = </w:t>
            </w:r>
            <w:sdt>
              <w:sdtPr>
                <w:id w:val="-1913150218"/>
                <w:placeholder>
                  <w:docPart w:val="5D98FA8C84704C71B6F1557317AE5303"/>
                </w:placeholder>
              </w:sdtPr>
              <w:sdtContent>
                <w:r w:rsidR="00A174CC" w:rsidRPr="002766E6">
                  <w:rPr>
                    <w:color w:val="808080"/>
                  </w:rPr>
                  <w:t>Number</w:t>
                </w:r>
              </w:sdtContent>
            </w:sdt>
            <w:r w:rsidRPr="002766E6">
              <w:t xml:space="preserve"> ppm</w:t>
            </w:r>
          </w:p>
        </w:tc>
      </w:tr>
      <w:tr w:rsidR="00687890" w:rsidRPr="002766E6" w14:paraId="50B50C74" w14:textId="77777777" w:rsidTr="00EA6243">
        <w:trPr>
          <w:cantSplit/>
          <w:tblHeader/>
        </w:trPr>
        <w:tc>
          <w:tcPr>
            <w:tcW w:w="4077" w:type="dxa"/>
            <w:vAlign w:val="center"/>
          </w:tcPr>
          <w:p w14:paraId="6F79AE66" w14:textId="77777777" w:rsidR="00687890" w:rsidRPr="002766E6" w:rsidRDefault="00687890" w:rsidP="00263255">
            <w:pPr>
              <w:pStyle w:val="Tablefont"/>
            </w:pPr>
            <w:r w:rsidRPr="002766E6">
              <w:t>This chemical is used as a pesticide:</w:t>
            </w:r>
          </w:p>
        </w:tc>
        <w:sdt>
          <w:sdtPr>
            <w:id w:val="1704441067"/>
            <w14:checkbox>
              <w14:checked w14:val="0"/>
              <w14:checkedState w14:val="00FC" w14:font="Wingdings"/>
              <w14:uncheckedState w14:val="2610" w14:font="MS Gothic"/>
            </w14:checkbox>
          </w:sdtPr>
          <w:sdtContent>
            <w:tc>
              <w:tcPr>
                <w:tcW w:w="5165" w:type="dxa"/>
                <w:vAlign w:val="center"/>
              </w:tcPr>
              <w:p w14:paraId="2A24614A" w14:textId="22B58F62" w:rsidR="00687890" w:rsidRPr="002766E6" w:rsidRDefault="00E46BCB" w:rsidP="00717D45">
                <w:pPr>
                  <w:pStyle w:val="Tablefont"/>
                </w:pPr>
                <w:r w:rsidRPr="002766E6">
                  <w:rPr>
                    <w:rFonts w:ascii="MS Gothic" w:eastAsia="MS Gothic" w:hAnsi="MS Gothic" w:cs="MS Gothic"/>
                  </w:rPr>
                  <w:t>☐</w:t>
                </w:r>
              </w:p>
            </w:tc>
          </w:sdtContent>
        </w:sdt>
      </w:tr>
      <w:tr w:rsidR="00687890" w:rsidRPr="002766E6" w14:paraId="188F8E30" w14:textId="77777777" w:rsidTr="00EA6243">
        <w:trPr>
          <w:cantSplit/>
        </w:trPr>
        <w:tc>
          <w:tcPr>
            <w:tcW w:w="4077" w:type="dxa"/>
            <w:vAlign w:val="center"/>
          </w:tcPr>
          <w:p w14:paraId="4CAB9D4D" w14:textId="77777777" w:rsidR="00687890" w:rsidRPr="002766E6" w:rsidRDefault="00687890" w:rsidP="00263255">
            <w:pPr>
              <w:pStyle w:val="Tablefont"/>
            </w:pPr>
            <w:r w:rsidRPr="002766E6">
              <w:t>This chemical is a biological product:</w:t>
            </w:r>
          </w:p>
        </w:tc>
        <w:sdt>
          <w:sdtPr>
            <w:id w:val="-659616774"/>
            <w14:checkbox>
              <w14:checked w14:val="0"/>
              <w14:checkedState w14:val="00FC" w14:font="Wingdings"/>
              <w14:uncheckedState w14:val="2610" w14:font="MS Gothic"/>
            </w14:checkbox>
          </w:sdtPr>
          <w:sdtContent>
            <w:tc>
              <w:tcPr>
                <w:tcW w:w="5165" w:type="dxa"/>
                <w:vAlign w:val="center"/>
              </w:tcPr>
              <w:p w14:paraId="6EBE60AC" w14:textId="279EEBA7" w:rsidR="00687890" w:rsidRPr="002766E6" w:rsidRDefault="00A20751" w:rsidP="00717D45">
                <w:pPr>
                  <w:pStyle w:val="Tablefont"/>
                </w:pPr>
                <w:r w:rsidRPr="002766E6">
                  <w:rPr>
                    <w:rFonts w:ascii="MS Gothic" w:eastAsia="MS Gothic" w:hAnsi="MS Gothic" w:cs="MS Gothic"/>
                  </w:rPr>
                  <w:t>☐</w:t>
                </w:r>
              </w:p>
            </w:tc>
          </w:sdtContent>
        </w:sdt>
      </w:tr>
      <w:tr w:rsidR="00687890" w:rsidRPr="002766E6" w14:paraId="77CA8ABB" w14:textId="77777777" w:rsidTr="00EA6243">
        <w:trPr>
          <w:cantSplit/>
        </w:trPr>
        <w:tc>
          <w:tcPr>
            <w:tcW w:w="4077" w:type="dxa"/>
            <w:vAlign w:val="center"/>
          </w:tcPr>
          <w:p w14:paraId="564E89E6" w14:textId="77777777" w:rsidR="00687890" w:rsidRPr="002766E6" w:rsidRDefault="00687890" w:rsidP="00263255">
            <w:pPr>
              <w:pStyle w:val="Tablefont"/>
            </w:pPr>
            <w:r w:rsidRPr="002766E6">
              <w:t>This chemical is a by-product of a process:</w:t>
            </w:r>
          </w:p>
        </w:tc>
        <w:sdt>
          <w:sdtPr>
            <w:id w:val="-863134491"/>
            <w14:checkbox>
              <w14:checked w14:val="1"/>
              <w14:checkedState w14:val="00FC" w14:font="Wingdings"/>
              <w14:uncheckedState w14:val="2610" w14:font="MS Gothic"/>
            </w14:checkbox>
          </w:sdtPr>
          <w:sdtContent>
            <w:tc>
              <w:tcPr>
                <w:tcW w:w="5165" w:type="dxa"/>
                <w:vAlign w:val="center"/>
              </w:tcPr>
              <w:p w14:paraId="1E0D1AD1" w14:textId="3AFB70AC" w:rsidR="00687890" w:rsidRPr="002766E6" w:rsidRDefault="0071279E" w:rsidP="00717D45">
                <w:pPr>
                  <w:pStyle w:val="Tablefont"/>
                </w:pPr>
                <w:r w:rsidRPr="002766E6">
                  <w:rPr>
                    <w:rFonts w:ascii="MS Gothic" w:eastAsia="MS Gothic" w:hAnsi="MS Gothic" w:cs="MS Gothic"/>
                  </w:rPr>
                  <w:sym w:font="Wingdings" w:char="F0FC"/>
                </w:r>
              </w:p>
            </w:tc>
          </w:sdtContent>
        </w:sdt>
      </w:tr>
      <w:tr w:rsidR="00E06F40" w:rsidRPr="002766E6" w14:paraId="6B37DCEC" w14:textId="77777777" w:rsidTr="00EA6243">
        <w:trPr>
          <w:cantSplit/>
        </w:trPr>
        <w:tc>
          <w:tcPr>
            <w:tcW w:w="4077" w:type="dxa"/>
            <w:vAlign w:val="center"/>
          </w:tcPr>
          <w:p w14:paraId="30391ABA" w14:textId="77777777" w:rsidR="00E06F40" w:rsidRPr="002766E6" w:rsidRDefault="00E06F40" w:rsidP="00084513">
            <w:pPr>
              <w:pStyle w:val="Tablefont"/>
            </w:pPr>
            <w:r w:rsidRPr="002766E6">
              <w:t xml:space="preserve">A biological exposure index has been recommended by </w:t>
            </w:r>
            <w:r w:rsidR="00084513" w:rsidRPr="002766E6">
              <w:t>these agencies</w:t>
            </w:r>
            <w:r w:rsidRPr="002766E6">
              <w:t>:</w:t>
            </w:r>
          </w:p>
        </w:tc>
        <w:tc>
          <w:tcPr>
            <w:tcW w:w="5165" w:type="dxa"/>
            <w:vAlign w:val="center"/>
          </w:tcPr>
          <w:p w14:paraId="19C30F8A" w14:textId="1E5778F3" w:rsidR="00E06F40" w:rsidRPr="002766E6" w:rsidRDefault="00000000" w:rsidP="00B40C60">
            <w:pPr>
              <w:pStyle w:val="Tablefont"/>
              <w:tabs>
                <w:tab w:val="left" w:pos="1310"/>
                <w:tab w:val="left" w:pos="2444"/>
                <w:tab w:val="left" w:pos="3861"/>
              </w:tabs>
            </w:pPr>
            <w:sdt>
              <w:sdtPr>
                <w:id w:val="92759666"/>
                <w14:checkbox>
                  <w14:checked w14:val="1"/>
                  <w14:checkedState w14:val="00FC" w14:font="Wingdings"/>
                  <w14:uncheckedState w14:val="2610" w14:font="MS Gothic"/>
                </w14:checkbox>
              </w:sdtPr>
              <w:sdtContent>
                <w:r w:rsidR="0071279E" w:rsidRPr="002766E6">
                  <w:rPr>
                    <w:rFonts w:ascii="MS Gothic" w:eastAsia="MS Gothic" w:hAnsi="MS Gothic" w:cs="MS Gothic"/>
                  </w:rPr>
                  <w:sym w:font="Wingdings" w:char="F0FC"/>
                </w:r>
              </w:sdtContent>
            </w:sdt>
            <w:r w:rsidR="00E06F40" w:rsidRPr="002766E6">
              <w:t xml:space="preserve"> ACGIH</w:t>
            </w:r>
            <w:r w:rsidR="00E06F40" w:rsidRPr="002766E6">
              <w:tab/>
            </w:r>
            <w:sdt>
              <w:sdtPr>
                <w:id w:val="129367724"/>
                <w14:checkbox>
                  <w14:checked w14:val="1"/>
                  <w14:checkedState w14:val="00FC" w14:font="Wingdings"/>
                  <w14:uncheckedState w14:val="2610" w14:font="MS Gothic"/>
                </w14:checkbox>
              </w:sdtPr>
              <w:sdtContent>
                <w:r w:rsidR="0071279E" w:rsidRPr="002766E6">
                  <w:rPr>
                    <w:rFonts w:ascii="MS Gothic" w:eastAsia="MS Gothic" w:hAnsi="MS Gothic" w:cs="MS Gothic"/>
                  </w:rPr>
                  <w:sym w:font="Wingdings" w:char="F0FC"/>
                </w:r>
              </w:sdtContent>
            </w:sdt>
            <w:r w:rsidR="00E06F40" w:rsidRPr="002766E6">
              <w:t xml:space="preserve"> DFG</w:t>
            </w:r>
            <w:r w:rsidR="00E06F40" w:rsidRPr="002766E6">
              <w:tab/>
            </w:r>
            <w:sdt>
              <w:sdtPr>
                <w:id w:val="-1535876012"/>
                <w14:checkbox>
                  <w14:checked w14:val="1"/>
                  <w14:checkedState w14:val="00FC" w14:font="Wingdings"/>
                  <w14:uncheckedState w14:val="2610" w14:font="MS Gothic"/>
                </w14:checkbox>
              </w:sdtPr>
              <w:sdtContent>
                <w:r w:rsidR="0071279E" w:rsidRPr="002766E6">
                  <w:rPr>
                    <w:rFonts w:ascii="MS Gothic" w:eastAsia="MS Gothic" w:hAnsi="MS Gothic" w:cs="MS Gothic"/>
                  </w:rPr>
                  <w:sym w:font="Wingdings" w:char="F0FC"/>
                </w:r>
              </w:sdtContent>
            </w:sdt>
            <w:r w:rsidR="00E06F40" w:rsidRPr="002766E6">
              <w:t xml:space="preserve"> SCOEL</w:t>
            </w:r>
            <w:r w:rsidR="00E06F40" w:rsidRPr="002766E6">
              <w:tab/>
            </w:r>
          </w:p>
        </w:tc>
      </w:tr>
    </w:tbl>
    <w:p w14:paraId="592347FD" w14:textId="77777777" w:rsidR="007F1005" w:rsidRPr="002766E6" w:rsidRDefault="007F1005" w:rsidP="00EB3D1B">
      <w:pPr>
        <w:pStyle w:val="Heading2"/>
        <w:keepLines/>
      </w:pPr>
      <w:r w:rsidRPr="002766E6">
        <w:t xml:space="preserve">Workplace exposure </w:t>
      </w:r>
      <w:r w:rsidR="00B479A9" w:rsidRPr="002766E6">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2766E6" w14:paraId="6EF771E7" w14:textId="77777777" w:rsidTr="00F053FA">
        <w:trPr>
          <w:tblHeader/>
        </w:trPr>
        <w:tc>
          <w:tcPr>
            <w:tcW w:w="4077" w:type="dxa"/>
            <w:shd w:val="clear" w:color="auto" w:fill="BFBFBF" w:themeFill="background1" w:themeFillShade="BF"/>
            <w:vAlign w:val="center"/>
          </w:tcPr>
          <w:p w14:paraId="398D914C" w14:textId="77777777" w:rsidR="00224EE2" w:rsidRPr="002766E6" w:rsidRDefault="00224EE2" w:rsidP="00EB3D1B">
            <w:pPr>
              <w:pStyle w:val="Tableheader"/>
              <w:keepNext/>
              <w:keepLines/>
            </w:pPr>
            <w:bookmarkStart w:id="4" w:name="History" w:colFirst="0" w:colLast="1"/>
            <w:r w:rsidRPr="002766E6">
              <w:t>Year</w:t>
            </w:r>
          </w:p>
        </w:tc>
        <w:tc>
          <w:tcPr>
            <w:tcW w:w="5165" w:type="dxa"/>
            <w:shd w:val="clear" w:color="auto" w:fill="BFBFBF" w:themeFill="background1" w:themeFillShade="BF"/>
            <w:vAlign w:val="center"/>
          </w:tcPr>
          <w:p w14:paraId="070BE907" w14:textId="77777777" w:rsidR="00224EE2" w:rsidRPr="002766E6" w:rsidRDefault="00224EE2" w:rsidP="00EB3D1B">
            <w:pPr>
              <w:pStyle w:val="Tableheader"/>
              <w:keepNext/>
              <w:keepLines/>
            </w:pPr>
            <w:r w:rsidRPr="002766E6">
              <w:t>Standard</w:t>
            </w:r>
          </w:p>
        </w:tc>
      </w:tr>
      <w:tr w:rsidR="007F1005" w:rsidRPr="002766E6" w14:paraId="7E58BF50" w14:textId="77777777" w:rsidTr="00F053FA">
        <w:trPr>
          <w:tblHeader/>
        </w:trPr>
        <w:sdt>
          <w:sdtPr>
            <w:id w:val="-25557549"/>
            <w:showingPlcHdr/>
            <w:text/>
          </w:sdtPr>
          <w:sdtContent>
            <w:tc>
              <w:tcPr>
                <w:tcW w:w="4077" w:type="dxa"/>
                <w:vAlign w:val="center"/>
              </w:tcPr>
              <w:p w14:paraId="25D9AC3F" w14:textId="77777777" w:rsidR="007F1005" w:rsidRPr="002766E6" w:rsidRDefault="00131092" w:rsidP="00EB3D1B">
                <w:pPr>
                  <w:pStyle w:val="Tablefont"/>
                  <w:keepLines/>
                </w:pPr>
                <w:r w:rsidRPr="002766E6">
                  <w:rPr>
                    <w:rStyle w:val="PlaceholderText"/>
                    <w:rFonts w:cs="Arial"/>
                  </w:rPr>
                  <w:t>Click here to enter year</w:t>
                </w:r>
              </w:p>
            </w:tc>
          </w:sdtContent>
        </w:sdt>
        <w:tc>
          <w:tcPr>
            <w:tcW w:w="5165" w:type="dxa"/>
            <w:vAlign w:val="center"/>
          </w:tcPr>
          <w:p w14:paraId="2AB1B425" w14:textId="77777777" w:rsidR="007F1005" w:rsidRPr="002766E6" w:rsidRDefault="007F1005" w:rsidP="00EB3D1B">
            <w:pPr>
              <w:pStyle w:val="Tablefont"/>
              <w:keepLines/>
            </w:pPr>
          </w:p>
        </w:tc>
      </w:tr>
    </w:tbl>
    <w:bookmarkEnd w:id="4"/>
    <w:p w14:paraId="2DB05208" w14:textId="77777777" w:rsidR="00F87D92" w:rsidRPr="002766E6" w:rsidRDefault="00F87D92" w:rsidP="00EF7F78">
      <w:pPr>
        <w:pStyle w:val="Heading2"/>
        <w:tabs>
          <w:tab w:val="right" w:pos="8505"/>
        </w:tabs>
      </w:pPr>
      <w:r w:rsidRPr="002766E6">
        <w:t>References</w:t>
      </w:r>
      <w:r w:rsidR="00EF7F78" w:rsidRPr="002766E6">
        <w:tab/>
      </w:r>
    </w:p>
    <w:p w14:paraId="6047BB05" w14:textId="77777777" w:rsidR="007F1005" w:rsidRPr="002766E6" w:rsidRDefault="006650FE" w:rsidP="00084859">
      <w:r w:rsidRPr="002766E6">
        <w:t>American Conference of Industrial Hygienists (ACGIH</w:t>
      </w:r>
      <w:r w:rsidRPr="002766E6">
        <w:rPr>
          <w:vertAlign w:val="superscript"/>
        </w:rPr>
        <w:t>®</w:t>
      </w:r>
      <w:r w:rsidRPr="002766E6">
        <w:t>) (201</w:t>
      </w:r>
      <w:r w:rsidR="00F67BBB" w:rsidRPr="002766E6">
        <w:t>8</w:t>
      </w:r>
      <w:r w:rsidRPr="002766E6">
        <w:t>) TLVs</w:t>
      </w:r>
      <w:r w:rsidRPr="002766E6">
        <w:rPr>
          <w:vertAlign w:val="superscript"/>
        </w:rPr>
        <w:t>®</w:t>
      </w:r>
      <w:r w:rsidRPr="002766E6">
        <w:t xml:space="preserve"> and BEIs</w:t>
      </w:r>
      <w:r w:rsidRPr="002766E6">
        <w:rPr>
          <w:vertAlign w:val="superscript"/>
        </w:rPr>
        <w:t>®</w:t>
      </w:r>
      <w:r w:rsidRPr="002766E6">
        <w:t xml:space="preserve"> with 7</w:t>
      </w:r>
      <w:r w:rsidRPr="002766E6">
        <w:rPr>
          <w:vertAlign w:val="superscript"/>
        </w:rPr>
        <w:t>th</w:t>
      </w:r>
      <w:r w:rsidRPr="002766E6">
        <w:t xml:space="preserve"> Edition Documentation, CD-ROM, Single User Version. Copyright 201</w:t>
      </w:r>
      <w:r w:rsidR="00F67BBB" w:rsidRPr="002766E6">
        <w:t>8</w:t>
      </w:r>
      <w:r w:rsidRPr="002766E6">
        <w:t xml:space="preserve">. Reprinted with permission. See the </w:t>
      </w:r>
      <w:hyperlink r:id="rId17" w:history="1">
        <w:r w:rsidRPr="002766E6">
          <w:rPr>
            <w:rStyle w:val="Hyperlink"/>
            <w:i/>
          </w:rPr>
          <w:t>TLVs</w:t>
        </w:r>
        <w:r w:rsidRPr="002766E6">
          <w:rPr>
            <w:rStyle w:val="Hyperlink"/>
            <w:i/>
            <w:vertAlign w:val="superscript"/>
          </w:rPr>
          <w:t>®</w:t>
        </w:r>
        <w:r w:rsidRPr="002766E6">
          <w:rPr>
            <w:rStyle w:val="Hyperlink"/>
            <w:i/>
          </w:rPr>
          <w:t xml:space="preserve"> and BEIs</w:t>
        </w:r>
        <w:r w:rsidRPr="002766E6">
          <w:rPr>
            <w:rStyle w:val="Hyperlink"/>
            <w:i/>
            <w:vertAlign w:val="superscript"/>
          </w:rPr>
          <w:t>®</w:t>
        </w:r>
        <w:r w:rsidRPr="002766E6">
          <w:rPr>
            <w:rStyle w:val="Hyperlink"/>
            <w:i/>
          </w:rPr>
          <w:t xml:space="preserve"> Guidelines section</w:t>
        </w:r>
      </w:hyperlink>
      <w:r w:rsidRPr="002766E6">
        <w:t xml:space="preserve"> on the ACGIH website.</w:t>
      </w:r>
    </w:p>
    <w:p w14:paraId="3ADE9EE9" w14:textId="77777777" w:rsidR="00CA2112" w:rsidRPr="002766E6" w:rsidRDefault="00CA2112" w:rsidP="00084859">
      <w:r w:rsidRPr="002766E6">
        <w:t xml:space="preserve">Deutsche </w:t>
      </w:r>
      <w:proofErr w:type="spellStart"/>
      <w:r w:rsidRPr="002766E6">
        <w:t>Forschungsgemeinschaft</w:t>
      </w:r>
      <w:proofErr w:type="spellEnd"/>
      <w:r w:rsidRPr="002766E6">
        <w:t xml:space="preserve"> (DFG) (</w:t>
      </w:r>
      <w:r w:rsidR="00004C85" w:rsidRPr="002766E6">
        <w:t>2006</w:t>
      </w:r>
      <w:r w:rsidRPr="002766E6">
        <w:t xml:space="preserve">) </w:t>
      </w:r>
      <w:r w:rsidR="00004C85" w:rsidRPr="002766E6">
        <w:t>Cadmium and its inorganic compounds</w:t>
      </w:r>
      <w:r w:rsidRPr="002766E6">
        <w:t xml:space="preserve"> – MAK value documentation.</w:t>
      </w:r>
    </w:p>
    <w:p w14:paraId="0983204C" w14:textId="77777777" w:rsidR="007A262F" w:rsidRPr="002766E6" w:rsidRDefault="004633BA" w:rsidP="00084859">
      <w:r w:rsidRPr="002766E6">
        <w:t xml:space="preserve">European Chemicals Agency </w:t>
      </w:r>
      <w:r w:rsidR="003C3E14" w:rsidRPr="002766E6">
        <w:t>Regulation (EC</w:t>
      </w:r>
      <w:r w:rsidRPr="002766E6">
        <w:t>HA</w:t>
      </w:r>
      <w:r w:rsidR="003C3E14" w:rsidRPr="002766E6">
        <w:t>) No 1907/2006 of the European Parliament and of the Council of 18 December 2006 concerning the Registration, Evaluation, Authorisation and Restriction of Chemicals (REACH)</w:t>
      </w:r>
      <w:r w:rsidRPr="002766E6">
        <w:t>.</w:t>
      </w:r>
    </w:p>
    <w:p w14:paraId="067ABA50" w14:textId="77777777" w:rsidR="00CA2112" w:rsidRPr="002766E6" w:rsidRDefault="00CA2112" w:rsidP="00084859">
      <w:r w:rsidRPr="002766E6">
        <w:t>EU Scientific Committee on Occupational Exposure Limits (SCOEL) (</w:t>
      </w:r>
      <w:r w:rsidR="00960BA4" w:rsidRPr="002766E6">
        <w:t>2010</w:t>
      </w:r>
      <w:r w:rsidRPr="002766E6">
        <w:t xml:space="preserve">) Recommendation from the Scientific Committee on Occupational Exposure Limits for </w:t>
      </w:r>
      <w:r w:rsidR="00960BA4" w:rsidRPr="002766E6">
        <w:t>cadmium and its inorganic compounds</w:t>
      </w:r>
      <w:r w:rsidRPr="002766E6">
        <w:t>. SCOEL/</w:t>
      </w:r>
      <w:r w:rsidR="00960BA4" w:rsidRPr="002766E6">
        <w:t>SUM/136</w:t>
      </w:r>
      <w:r w:rsidRPr="002766E6">
        <w:t>.</w:t>
      </w:r>
    </w:p>
    <w:p w14:paraId="2D4A331B" w14:textId="77777777" w:rsidR="007A262F" w:rsidRPr="002766E6" w:rsidRDefault="007A262F" w:rsidP="007A262F">
      <w:r w:rsidRPr="002766E6">
        <w:lastRenderedPageBreak/>
        <w:t>Health Council of the Netherlands (HCOTN) (2000) Cadmium and its compound. Evaluation of the effects on reproduction, recommendation for classification. The Hague: Health Council of the Netherlands; publication no. 2000/04OSH.</w:t>
      </w:r>
    </w:p>
    <w:p w14:paraId="12975473" w14:textId="77777777" w:rsidR="00CA2112" w:rsidRPr="002766E6" w:rsidRDefault="00CA2112" w:rsidP="00084859">
      <w:r w:rsidRPr="002766E6">
        <w:t>Health Council of the Netherlands (HCOTN) (</w:t>
      </w:r>
      <w:r w:rsidR="00677FC1" w:rsidRPr="002766E6">
        <w:t>2</w:t>
      </w:r>
      <w:r w:rsidR="004905E6" w:rsidRPr="002766E6">
        <w:t>019</w:t>
      </w:r>
      <w:r w:rsidRPr="002766E6">
        <w:t xml:space="preserve">) </w:t>
      </w:r>
      <w:r w:rsidR="00677FC1" w:rsidRPr="002766E6">
        <w:t xml:space="preserve">Cadmium </w:t>
      </w:r>
      <w:r w:rsidR="004905E6" w:rsidRPr="002766E6">
        <w:t xml:space="preserve">and inorganic cadmium </w:t>
      </w:r>
      <w:r w:rsidR="00677FC1" w:rsidRPr="002766E6">
        <w:t>compound</w:t>
      </w:r>
      <w:r w:rsidR="004905E6" w:rsidRPr="002766E6">
        <w:t>s</w:t>
      </w:r>
      <w:r w:rsidRPr="002766E6">
        <w:t xml:space="preserve">. Health-based </w:t>
      </w:r>
      <w:r w:rsidR="00B57A42" w:rsidRPr="002766E6">
        <w:t>recommendation on occupational exposure limits</w:t>
      </w:r>
      <w:r w:rsidRPr="002766E6">
        <w:t xml:space="preserve">. The Hague: Health Council of the Netherlands; publication no. </w:t>
      </w:r>
      <w:r w:rsidR="00B57A42" w:rsidRPr="002766E6">
        <w:t>2019/03</w:t>
      </w:r>
      <w:r w:rsidRPr="002766E6">
        <w:t>.</w:t>
      </w:r>
    </w:p>
    <w:p w14:paraId="528F77BF" w14:textId="77777777" w:rsidR="00627F56" w:rsidRPr="002766E6" w:rsidRDefault="00627F56" w:rsidP="00084859">
      <w:r w:rsidRPr="002766E6">
        <w:t>International Agency for Research on Cancer</w:t>
      </w:r>
      <w:r w:rsidR="00887FB1" w:rsidRPr="002766E6">
        <w:t xml:space="preserve"> (IARC)</w:t>
      </w:r>
      <w:r w:rsidRPr="002766E6">
        <w:t xml:space="preserve"> </w:t>
      </w:r>
      <w:r w:rsidR="00887FB1" w:rsidRPr="002766E6">
        <w:t>Cadmium and cadmium compounds</w:t>
      </w:r>
      <w:r w:rsidRPr="002766E6">
        <w:t xml:space="preserve">. IARC Monographs </w:t>
      </w:r>
      <w:r w:rsidR="00075964" w:rsidRPr="002766E6">
        <w:t>–</w:t>
      </w:r>
      <w:r w:rsidR="00887FB1" w:rsidRPr="002766E6">
        <w:t xml:space="preserve"> 100</w:t>
      </w:r>
      <w:r w:rsidR="00075964" w:rsidRPr="002766E6">
        <w:t>C</w:t>
      </w:r>
      <w:r w:rsidRPr="002766E6">
        <w:t>.</w:t>
      </w:r>
    </w:p>
    <w:p w14:paraId="64F1CE86" w14:textId="77777777" w:rsidR="007A262F" w:rsidRPr="002766E6" w:rsidRDefault="000322FA" w:rsidP="007A262F">
      <w:pPr>
        <w:rPr>
          <w:color w:val="000000"/>
        </w:rPr>
      </w:pPr>
      <w:r w:rsidRPr="002766E6">
        <w:t>National Industrial Chemicals Notification and Assessment Scheme (NICNAS) (</w:t>
      </w:r>
      <w:r w:rsidR="00C37483" w:rsidRPr="002766E6">
        <w:t>2016</w:t>
      </w:r>
      <w:r w:rsidRPr="002766E6">
        <w:t xml:space="preserve">) </w:t>
      </w:r>
      <w:r w:rsidR="00BF6372" w:rsidRPr="002766E6">
        <w:t>Cadmium:</w:t>
      </w:r>
      <w:r w:rsidRPr="002766E6">
        <w:t xml:space="preserve"> Human health </w:t>
      </w:r>
      <w:sdt>
        <w:sdtPr>
          <w:id w:val="-1295753243"/>
          <w:temporary/>
          <w:showingPlcHdr/>
        </w:sdtPr>
        <w:sdtContent>
          <w:r w:rsidRPr="002766E6">
            <w:t>tier II</w:t>
          </w:r>
        </w:sdtContent>
      </w:sdt>
      <w:r w:rsidRPr="002766E6">
        <w:t xml:space="preserve"> assessment – IMAP report.</w:t>
      </w:r>
      <w:r w:rsidR="007A262F" w:rsidRPr="002766E6">
        <w:rPr>
          <w:color w:val="000000"/>
        </w:rPr>
        <w:t xml:space="preserve"> </w:t>
      </w:r>
    </w:p>
    <w:p w14:paraId="2B8CD95A" w14:textId="77777777" w:rsidR="007A262F" w:rsidRPr="002766E6" w:rsidRDefault="007A262F" w:rsidP="007A262F">
      <w:pPr>
        <w:rPr>
          <w:color w:val="000000"/>
        </w:rPr>
      </w:pPr>
      <w:r w:rsidRPr="002766E6">
        <w:rPr>
          <w:color w:val="000000"/>
        </w:rPr>
        <w:t>Tenth Adaptation to Technical Progress Commission Regulation (EU Annex) No 2017/776 amending, for the purposes of its adaptation to technical and scientific progress, Regulation (EC) No 1272/2008 of the European Parliament and of the Council on classification, labelling and packaging of substances and mixtures (the CLP Regulation).</w:t>
      </w:r>
    </w:p>
    <w:p w14:paraId="557B1009" w14:textId="77777777" w:rsidR="000322FA" w:rsidRPr="002766E6" w:rsidRDefault="00D70D2E" w:rsidP="00084859">
      <w:r w:rsidRPr="002766E6">
        <w:t>US National Institute for Occupational Safety and Health (NIOSH) (1994) Immediately dangerous to life and health concentrations – Cadmium compounds (as Cd).</w:t>
      </w:r>
    </w:p>
    <w:sectPr w:rsidR="000322FA" w:rsidRPr="002766E6" w:rsidSect="00B87D4C">
      <w:headerReference w:type="default" r:id="rId18"/>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7A098" w14:textId="77777777" w:rsidR="00791E17" w:rsidRDefault="00791E17" w:rsidP="00F43AD5">
      <w:pPr>
        <w:spacing w:after="0" w:line="240" w:lineRule="auto"/>
      </w:pPr>
      <w:r>
        <w:separator/>
      </w:r>
    </w:p>
  </w:endnote>
  <w:endnote w:type="continuationSeparator" w:id="0">
    <w:p w14:paraId="393B8DB8" w14:textId="77777777" w:rsidR="00791E17" w:rsidRDefault="00791E17"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96959" w14:textId="77777777" w:rsidR="00EF0F44" w:rsidRDefault="00EF0F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0132E9B3" w14:textId="77777777" w:rsidR="009D129A" w:rsidRDefault="009D129A" w:rsidP="0034744C">
        <w:pPr>
          <w:pStyle w:val="Footer"/>
          <w:rPr>
            <w:sz w:val="18"/>
            <w:szCs w:val="18"/>
          </w:rPr>
        </w:pPr>
        <w:r w:rsidRPr="005B71BD">
          <w:rPr>
            <w:b/>
            <w:sz w:val="18"/>
            <w:szCs w:val="18"/>
          </w:rPr>
          <w:t xml:space="preserve">Cadmium and compounds (as Cd) </w:t>
        </w:r>
        <w:r>
          <w:rPr>
            <w:b/>
            <w:sz w:val="18"/>
            <w:szCs w:val="18"/>
          </w:rPr>
          <w:t>(7440-43-9)</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201</w:t>
        </w:r>
        <w:r>
          <w:rPr>
            <w:sz w:val="18"/>
            <w:szCs w:val="18"/>
          </w:rPr>
          <w:t>9</w:t>
        </w:r>
      </w:p>
      <w:p w14:paraId="193C39BE" w14:textId="2C44B88C" w:rsidR="009D129A" w:rsidRPr="00F43AD5" w:rsidRDefault="009D129A"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F241F1">
          <w:rPr>
            <w:noProof/>
            <w:sz w:val="18"/>
            <w:szCs w:val="18"/>
          </w:rPr>
          <w:t>4</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CE6F0" w14:textId="77777777" w:rsidR="00EF0F44" w:rsidRDefault="00EF0F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480E0" w14:textId="77777777" w:rsidR="00791E17" w:rsidRDefault="00791E17" w:rsidP="00F43AD5">
      <w:pPr>
        <w:spacing w:after="0" w:line="240" w:lineRule="auto"/>
      </w:pPr>
      <w:r>
        <w:separator/>
      </w:r>
    </w:p>
  </w:footnote>
  <w:footnote w:type="continuationSeparator" w:id="0">
    <w:p w14:paraId="0BDB9D28" w14:textId="77777777" w:rsidR="00791E17" w:rsidRDefault="00791E17"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63B0D" w14:textId="77777777" w:rsidR="00EF0F44" w:rsidRDefault="00EF0F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FC2B7" w14:textId="1611F8D1" w:rsidR="00F241F1" w:rsidRDefault="00F241F1" w:rsidP="00F241F1">
    <w:pPr>
      <w:pStyle w:val="Header"/>
      <w:jc w:val="right"/>
    </w:pPr>
    <w:r w:rsidRPr="00F241F1">
      <w:t xml:space="preserve"> </w:t>
    </w:r>
    <w:r>
      <w:rPr>
        <w:noProof/>
        <w:lang w:eastAsia="en-AU"/>
      </w:rPr>
      <w:drawing>
        <wp:inline distT="0" distB="0" distL="0" distR="0" wp14:anchorId="44CDD79F" wp14:editId="27D5D364">
          <wp:extent cx="2938272" cy="594360"/>
          <wp:effectExtent l="0" t="0" r="0" b="0"/>
          <wp:docPr id="4" name="Picture 4"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p w14:paraId="6A348F4F" w14:textId="53BE9BEF" w:rsidR="009D129A" w:rsidRDefault="009D129A" w:rsidP="00F43AD5">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333D8" w14:textId="77777777" w:rsidR="00EF0F44" w:rsidRDefault="00EF0F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294E2" w14:textId="3E165C6A" w:rsidR="00365C80" w:rsidRDefault="00EF0F44" w:rsidP="00365C80">
    <w:pPr>
      <w:pStyle w:val="Header"/>
      <w:jc w:val="right"/>
    </w:pPr>
    <w:r>
      <w:rPr>
        <w:noProof/>
        <w:lang w:eastAsia="en-AU"/>
      </w:rPr>
      <w:drawing>
        <wp:inline distT="0" distB="0" distL="0" distR="0" wp14:anchorId="4F1062BC" wp14:editId="42A8A4A2">
          <wp:extent cx="2938272" cy="594360"/>
          <wp:effectExtent l="0" t="0" r="0" b="0"/>
          <wp:docPr id="5" name="Picture 5"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p w14:paraId="32069FD5" w14:textId="77777777" w:rsidR="009D129A" w:rsidRDefault="009D129A" w:rsidP="00365C8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416DA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9947F9"/>
    <w:multiLevelType w:val="hybridMultilevel"/>
    <w:tmpl w:val="AD2E650E"/>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15:restartNumberingAfterBreak="0">
    <w:nsid w:val="0A65646D"/>
    <w:multiLevelType w:val="hybridMultilevel"/>
    <w:tmpl w:val="E1285E6A"/>
    <w:lvl w:ilvl="0" w:tplc="0C090003">
      <w:start w:val="1"/>
      <w:numFmt w:val="bullet"/>
      <w:lvlText w:val="o"/>
      <w:lvlJc w:val="left"/>
      <w:pPr>
        <w:ind w:left="1434" w:hanging="360"/>
      </w:pPr>
      <w:rPr>
        <w:rFonts w:ascii="Courier New" w:hAnsi="Courier New" w:cs="Courier New" w:hint="default"/>
      </w:rPr>
    </w:lvl>
    <w:lvl w:ilvl="1" w:tplc="0C090003" w:tentative="1">
      <w:start w:val="1"/>
      <w:numFmt w:val="bullet"/>
      <w:lvlText w:val="o"/>
      <w:lvlJc w:val="left"/>
      <w:pPr>
        <w:ind w:left="2154" w:hanging="360"/>
      </w:pPr>
      <w:rPr>
        <w:rFonts w:ascii="Courier New" w:hAnsi="Courier New" w:cs="Courier New" w:hint="default"/>
      </w:rPr>
    </w:lvl>
    <w:lvl w:ilvl="2" w:tplc="0C090005" w:tentative="1">
      <w:start w:val="1"/>
      <w:numFmt w:val="bullet"/>
      <w:lvlText w:val=""/>
      <w:lvlJc w:val="left"/>
      <w:pPr>
        <w:ind w:left="2874" w:hanging="360"/>
      </w:pPr>
      <w:rPr>
        <w:rFonts w:ascii="Wingdings" w:hAnsi="Wingdings" w:hint="default"/>
      </w:rPr>
    </w:lvl>
    <w:lvl w:ilvl="3" w:tplc="0C090001" w:tentative="1">
      <w:start w:val="1"/>
      <w:numFmt w:val="bullet"/>
      <w:lvlText w:val=""/>
      <w:lvlJc w:val="left"/>
      <w:pPr>
        <w:ind w:left="3594" w:hanging="360"/>
      </w:pPr>
      <w:rPr>
        <w:rFonts w:ascii="Symbol" w:hAnsi="Symbol" w:hint="default"/>
      </w:rPr>
    </w:lvl>
    <w:lvl w:ilvl="4" w:tplc="0C090003" w:tentative="1">
      <w:start w:val="1"/>
      <w:numFmt w:val="bullet"/>
      <w:lvlText w:val="o"/>
      <w:lvlJc w:val="left"/>
      <w:pPr>
        <w:ind w:left="4314" w:hanging="360"/>
      </w:pPr>
      <w:rPr>
        <w:rFonts w:ascii="Courier New" w:hAnsi="Courier New" w:cs="Courier New" w:hint="default"/>
      </w:rPr>
    </w:lvl>
    <w:lvl w:ilvl="5" w:tplc="0C090005" w:tentative="1">
      <w:start w:val="1"/>
      <w:numFmt w:val="bullet"/>
      <w:lvlText w:val=""/>
      <w:lvlJc w:val="left"/>
      <w:pPr>
        <w:ind w:left="5034" w:hanging="360"/>
      </w:pPr>
      <w:rPr>
        <w:rFonts w:ascii="Wingdings" w:hAnsi="Wingdings" w:hint="default"/>
      </w:rPr>
    </w:lvl>
    <w:lvl w:ilvl="6" w:tplc="0C090001" w:tentative="1">
      <w:start w:val="1"/>
      <w:numFmt w:val="bullet"/>
      <w:lvlText w:val=""/>
      <w:lvlJc w:val="left"/>
      <w:pPr>
        <w:ind w:left="5754" w:hanging="360"/>
      </w:pPr>
      <w:rPr>
        <w:rFonts w:ascii="Symbol" w:hAnsi="Symbol" w:hint="default"/>
      </w:rPr>
    </w:lvl>
    <w:lvl w:ilvl="7" w:tplc="0C090003" w:tentative="1">
      <w:start w:val="1"/>
      <w:numFmt w:val="bullet"/>
      <w:lvlText w:val="o"/>
      <w:lvlJc w:val="left"/>
      <w:pPr>
        <w:ind w:left="6474" w:hanging="360"/>
      </w:pPr>
      <w:rPr>
        <w:rFonts w:ascii="Courier New" w:hAnsi="Courier New" w:cs="Courier New" w:hint="default"/>
      </w:rPr>
    </w:lvl>
    <w:lvl w:ilvl="8" w:tplc="0C090005" w:tentative="1">
      <w:start w:val="1"/>
      <w:numFmt w:val="bullet"/>
      <w:lvlText w:val=""/>
      <w:lvlJc w:val="left"/>
      <w:pPr>
        <w:ind w:left="7194" w:hanging="360"/>
      </w:pPr>
      <w:rPr>
        <w:rFonts w:ascii="Wingdings" w:hAnsi="Wingdings" w:hint="default"/>
      </w:rPr>
    </w:lvl>
  </w:abstractNum>
  <w:abstractNum w:abstractNumId="3" w15:restartNumberingAfterBreak="0">
    <w:nsid w:val="152740AA"/>
    <w:multiLevelType w:val="hybridMultilevel"/>
    <w:tmpl w:val="DAACA264"/>
    <w:lvl w:ilvl="0" w:tplc="04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38D4684F"/>
    <w:multiLevelType w:val="hybridMultilevel"/>
    <w:tmpl w:val="C772DE08"/>
    <w:lvl w:ilvl="0" w:tplc="0C090003">
      <w:start w:val="1"/>
      <w:numFmt w:val="bullet"/>
      <w:lvlText w:val="o"/>
      <w:lvlJc w:val="left"/>
      <w:pPr>
        <w:ind w:left="1434" w:hanging="360"/>
      </w:pPr>
      <w:rPr>
        <w:rFonts w:ascii="Courier New" w:hAnsi="Courier New" w:cs="Courier New" w:hint="default"/>
      </w:rPr>
    </w:lvl>
    <w:lvl w:ilvl="1" w:tplc="0C090003" w:tentative="1">
      <w:start w:val="1"/>
      <w:numFmt w:val="bullet"/>
      <w:lvlText w:val="o"/>
      <w:lvlJc w:val="left"/>
      <w:pPr>
        <w:ind w:left="2154" w:hanging="360"/>
      </w:pPr>
      <w:rPr>
        <w:rFonts w:ascii="Courier New" w:hAnsi="Courier New" w:cs="Courier New" w:hint="default"/>
      </w:rPr>
    </w:lvl>
    <w:lvl w:ilvl="2" w:tplc="0C090005" w:tentative="1">
      <w:start w:val="1"/>
      <w:numFmt w:val="bullet"/>
      <w:lvlText w:val=""/>
      <w:lvlJc w:val="left"/>
      <w:pPr>
        <w:ind w:left="2874" w:hanging="360"/>
      </w:pPr>
      <w:rPr>
        <w:rFonts w:ascii="Wingdings" w:hAnsi="Wingdings" w:hint="default"/>
      </w:rPr>
    </w:lvl>
    <w:lvl w:ilvl="3" w:tplc="0C090001" w:tentative="1">
      <w:start w:val="1"/>
      <w:numFmt w:val="bullet"/>
      <w:lvlText w:val=""/>
      <w:lvlJc w:val="left"/>
      <w:pPr>
        <w:ind w:left="3594" w:hanging="360"/>
      </w:pPr>
      <w:rPr>
        <w:rFonts w:ascii="Symbol" w:hAnsi="Symbol" w:hint="default"/>
      </w:rPr>
    </w:lvl>
    <w:lvl w:ilvl="4" w:tplc="0C090003" w:tentative="1">
      <w:start w:val="1"/>
      <w:numFmt w:val="bullet"/>
      <w:lvlText w:val="o"/>
      <w:lvlJc w:val="left"/>
      <w:pPr>
        <w:ind w:left="4314" w:hanging="360"/>
      </w:pPr>
      <w:rPr>
        <w:rFonts w:ascii="Courier New" w:hAnsi="Courier New" w:cs="Courier New" w:hint="default"/>
      </w:rPr>
    </w:lvl>
    <w:lvl w:ilvl="5" w:tplc="0C090005" w:tentative="1">
      <w:start w:val="1"/>
      <w:numFmt w:val="bullet"/>
      <w:lvlText w:val=""/>
      <w:lvlJc w:val="left"/>
      <w:pPr>
        <w:ind w:left="5034" w:hanging="360"/>
      </w:pPr>
      <w:rPr>
        <w:rFonts w:ascii="Wingdings" w:hAnsi="Wingdings" w:hint="default"/>
      </w:rPr>
    </w:lvl>
    <w:lvl w:ilvl="6" w:tplc="0C090001" w:tentative="1">
      <w:start w:val="1"/>
      <w:numFmt w:val="bullet"/>
      <w:lvlText w:val=""/>
      <w:lvlJc w:val="left"/>
      <w:pPr>
        <w:ind w:left="5754" w:hanging="360"/>
      </w:pPr>
      <w:rPr>
        <w:rFonts w:ascii="Symbol" w:hAnsi="Symbol" w:hint="default"/>
      </w:rPr>
    </w:lvl>
    <w:lvl w:ilvl="7" w:tplc="0C090003" w:tentative="1">
      <w:start w:val="1"/>
      <w:numFmt w:val="bullet"/>
      <w:lvlText w:val="o"/>
      <w:lvlJc w:val="left"/>
      <w:pPr>
        <w:ind w:left="6474" w:hanging="360"/>
      </w:pPr>
      <w:rPr>
        <w:rFonts w:ascii="Courier New" w:hAnsi="Courier New" w:cs="Courier New" w:hint="default"/>
      </w:rPr>
    </w:lvl>
    <w:lvl w:ilvl="8" w:tplc="0C090005" w:tentative="1">
      <w:start w:val="1"/>
      <w:numFmt w:val="bullet"/>
      <w:lvlText w:val=""/>
      <w:lvlJc w:val="left"/>
      <w:pPr>
        <w:ind w:left="7194" w:hanging="360"/>
      </w:pPr>
      <w:rPr>
        <w:rFonts w:ascii="Wingdings" w:hAnsi="Wingdings" w:hint="default"/>
      </w:rPr>
    </w:lvl>
  </w:abstractNum>
  <w:num w:numId="1" w16cid:durableId="1598056086">
    <w:abstractNumId w:val="0"/>
  </w:num>
  <w:num w:numId="2" w16cid:durableId="2067415373">
    <w:abstractNumId w:val="0"/>
  </w:num>
  <w:num w:numId="3" w16cid:durableId="740758713">
    <w:abstractNumId w:val="0"/>
  </w:num>
  <w:num w:numId="4" w16cid:durableId="216281694">
    <w:abstractNumId w:val="3"/>
  </w:num>
  <w:num w:numId="5" w16cid:durableId="2074814476">
    <w:abstractNumId w:val="1"/>
  </w:num>
  <w:num w:numId="6" w16cid:durableId="1615752044">
    <w:abstractNumId w:val="4"/>
  </w:num>
  <w:num w:numId="7" w16cid:durableId="1428884039">
    <w:abstractNumId w:val="2"/>
  </w:num>
  <w:num w:numId="8" w16cid:durableId="1309437979">
    <w:abstractNumId w:val="0"/>
  </w:num>
  <w:num w:numId="9" w16cid:durableId="1548684671">
    <w:abstractNumId w:val="0"/>
  </w:num>
  <w:num w:numId="10" w16cid:durableId="752436508">
    <w:abstractNumId w:val="0"/>
  </w:num>
  <w:num w:numId="11" w16cid:durableId="417940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4C85"/>
    <w:rsid w:val="00006B1C"/>
    <w:rsid w:val="00007B80"/>
    <w:rsid w:val="00013A22"/>
    <w:rsid w:val="00014C3F"/>
    <w:rsid w:val="00017C82"/>
    <w:rsid w:val="000322FA"/>
    <w:rsid w:val="00032B88"/>
    <w:rsid w:val="00046DF5"/>
    <w:rsid w:val="00052060"/>
    <w:rsid w:val="00054608"/>
    <w:rsid w:val="0005574A"/>
    <w:rsid w:val="00055FE1"/>
    <w:rsid w:val="00056EC2"/>
    <w:rsid w:val="00060B48"/>
    <w:rsid w:val="00067F32"/>
    <w:rsid w:val="00071807"/>
    <w:rsid w:val="00075964"/>
    <w:rsid w:val="000803E1"/>
    <w:rsid w:val="00084513"/>
    <w:rsid w:val="00084859"/>
    <w:rsid w:val="00086301"/>
    <w:rsid w:val="00092D94"/>
    <w:rsid w:val="000A596E"/>
    <w:rsid w:val="000B0868"/>
    <w:rsid w:val="000B3E12"/>
    <w:rsid w:val="000B3E78"/>
    <w:rsid w:val="000B7B48"/>
    <w:rsid w:val="000C096D"/>
    <w:rsid w:val="000C139A"/>
    <w:rsid w:val="000C2053"/>
    <w:rsid w:val="000C248C"/>
    <w:rsid w:val="000D291C"/>
    <w:rsid w:val="000E5A54"/>
    <w:rsid w:val="000E63D3"/>
    <w:rsid w:val="000E67CF"/>
    <w:rsid w:val="000F4315"/>
    <w:rsid w:val="0010461E"/>
    <w:rsid w:val="00104CAD"/>
    <w:rsid w:val="00106FAA"/>
    <w:rsid w:val="00110FDC"/>
    <w:rsid w:val="00113443"/>
    <w:rsid w:val="001269A7"/>
    <w:rsid w:val="00131092"/>
    <w:rsid w:val="00133602"/>
    <w:rsid w:val="00140E6A"/>
    <w:rsid w:val="00146545"/>
    <w:rsid w:val="00146B75"/>
    <w:rsid w:val="0015266D"/>
    <w:rsid w:val="0015288A"/>
    <w:rsid w:val="00160F47"/>
    <w:rsid w:val="00163BFF"/>
    <w:rsid w:val="00177CA1"/>
    <w:rsid w:val="00183823"/>
    <w:rsid w:val="00183942"/>
    <w:rsid w:val="001A009E"/>
    <w:rsid w:val="001A1287"/>
    <w:rsid w:val="001A3859"/>
    <w:rsid w:val="001A3C9D"/>
    <w:rsid w:val="001A43F8"/>
    <w:rsid w:val="001B79E5"/>
    <w:rsid w:val="001D56F0"/>
    <w:rsid w:val="001D663B"/>
    <w:rsid w:val="001D7B41"/>
    <w:rsid w:val="001E46DA"/>
    <w:rsid w:val="001E7D80"/>
    <w:rsid w:val="001F097A"/>
    <w:rsid w:val="001F4B6C"/>
    <w:rsid w:val="001F5508"/>
    <w:rsid w:val="001F62CB"/>
    <w:rsid w:val="001F6ED0"/>
    <w:rsid w:val="001F72E6"/>
    <w:rsid w:val="001F73C5"/>
    <w:rsid w:val="002046A6"/>
    <w:rsid w:val="00204956"/>
    <w:rsid w:val="00213640"/>
    <w:rsid w:val="00221547"/>
    <w:rsid w:val="002216FC"/>
    <w:rsid w:val="00222533"/>
    <w:rsid w:val="00222F30"/>
    <w:rsid w:val="00224EE2"/>
    <w:rsid w:val="00227EC7"/>
    <w:rsid w:val="00236DFC"/>
    <w:rsid w:val="00241B63"/>
    <w:rsid w:val="00244281"/>
    <w:rsid w:val="00244AD1"/>
    <w:rsid w:val="002463BC"/>
    <w:rsid w:val="002465CE"/>
    <w:rsid w:val="00247D8B"/>
    <w:rsid w:val="0025734A"/>
    <w:rsid w:val="00263255"/>
    <w:rsid w:val="00273E1C"/>
    <w:rsid w:val="00276494"/>
    <w:rsid w:val="002766E6"/>
    <w:rsid w:val="00277B0C"/>
    <w:rsid w:val="002B1A2C"/>
    <w:rsid w:val="002B78BE"/>
    <w:rsid w:val="002C34F2"/>
    <w:rsid w:val="002C58FF"/>
    <w:rsid w:val="002C7AFE"/>
    <w:rsid w:val="002D05D2"/>
    <w:rsid w:val="002E0D61"/>
    <w:rsid w:val="002E4C7B"/>
    <w:rsid w:val="002E6CAE"/>
    <w:rsid w:val="002F7940"/>
    <w:rsid w:val="0030740C"/>
    <w:rsid w:val="00315833"/>
    <w:rsid w:val="003215EE"/>
    <w:rsid w:val="003224BF"/>
    <w:rsid w:val="003241A8"/>
    <w:rsid w:val="003253F0"/>
    <w:rsid w:val="003337DA"/>
    <w:rsid w:val="00334EFB"/>
    <w:rsid w:val="00335CDE"/>
    <w:rsid w:val="003365A5"/>
    <w:rsid w:val="00347192"/>
    <w:rsid w:val="0034744C"/>
    <w:rsid w:val="00351FE0"/>
    <w:rsid w:val="00352615"/>
    <w:rsid w:val="0035412B"/>
    <w:rsid w:val="003567A8"/>
    <w:rsid w:val="00362895"/>
    <w:rsid w:val="003640EF"/>
    <w:rsid w:val="00365C80"/>
    <w:rsid w:val="00370DBF"/>
    <w:rsid w:val="003733AB"/>
    <w:rsid w:val="00386093"/>
    <w:rsid w:val="003904A4"/>
    <w:rsid w:val="00391841"/>
    <w:rsid w:val="00391A74"/>
    <w:rsid w:val="00391B6D"/>
    <w:rsid w:val="00394922"/>
    <w:rsid w:val="003A0E32"/>
    <w:rsid w:val="003A2B94"/>
    <w:rsid w:val="003A4B1C"/>
    <w:rsid w:val="003B18A2"/>
    <w:rsid w:val="003B387D"/>
    <w:rsid w:val="003C0D58"/>
    <w:rsid w:val="003C3E14"/>
    <w:rsid w:val="003C6CCD"/>
    <w:rsid w:val="003D4FA3"/>
    <w:rsid w:val="003E0807"/>
    <w:rsid w:val="003E2566"/>
    <w:rsid w:val="003E481C"/>
    <w:rsid w:val="003E51FB"/>
    <w:rsid w:val="003E6B39"/>
    <w:rsid w:val="003F07E1"/>
    <w:rsid w:val="004030BC"/>
    <w:rsid w:val="00403F7D"/>
    <w:rsid w:val="0040537C"/>
    <w:rsid w:val="00406785"/>
    <w:rsid w:val="004079B4"/>
    <w:rsid w:val="00417A56"/>
    <w:rsid w:val="00420957"/>
    <w:rsid w:val="00422A10"/>
    <w:rsid w:val="00424803"/>
    <w:rsid w:val="00430179"/>
    <w:rsid w:val="004414B5"/>
    <w:rsid w:val="00444367"/>
    <w:rsid w:val="00444482"/>
    <w:rsid w:val="00444B42"/>
    <w:rsid w:val="00445E44"/>
    <w:rsid w:val="0044699E"/>
    <w:rsid w:val="004509E2"/>
    <w:rsid w:val="004515EE"/>
    <w:rsid w:val="004529F0"/>
    <w:rsid w:val="00454F49"/>
    <w:rsid w:val="00460A03"/>
    <w:rsid w:val="00461476"/>
    <w:rsid w:val="004633BA"/>
    <w:rsid w:val="00472A11"/>
    <w:rsid w:val="00472AAD"/>
    <w:rsid w:val="00474E33"/>
    <w:rsid w:val="00476803"/>
    <w:rsid w:val="00485BFD"/>
    <w:rsid w:val="004867A2"/>
    <w:rsid w:val="004873F2"/>
    <w:rsid w:val="004905E6"/>
    <w:rsid w:val="00490D4C"/>
    <w:rsid w:val="00493A35"/>
    <w:rsid w:val="00494CEB"/>
    <w:rsid w:val="0049527A"/>
    <w:rsid w:val="004966BF"/>
    <w:rsid w:val="00497984"/>
    <w:rsid w:val="004A5088"/>
    <w:rsid w:val="004C0309"/>
    <w:rsid w:val="004C1E3F"/>
    <w:rsid w:val="004C23F4"/>
    <w:rsid w:val="004C3475"/>
    <w:rsid w:val="004C58B6"/>
    <w:rsid w:val="004D16A3"/>
    <w:rsid w:val="004D4AA1"/>
    <w:rsid w:val="004D6D68"/>
    <w:rsid w:val="004E5EDD"/>
    <w:rsid w:val="004F36F5"/>
    <w:rsid w:val="004F448A"/>
    <w:rsid w:val="004F48B3"/>
    <w:rsid w:val="004F493D"/>
    <w:rsid w:val="004F65E8"/>
    <w:rsid w:val="004F7DE1"/>
    <w:rsid w:val="0050005E"/>
    <w:rsid w:val="00502B88"/>
    <w:rsid w:val="005142C4"/>
    <w:rsid w:val="0051509C"/>
    <w:rsid w:val="005211C1"/>
    <w:rsid w:val="005272E2"/>
    <w:rsid w:val="0053108F"/>
    <w:rsid w:val="00532B56"/>
    <w:rsid w:val="00534B10"/>
    <w:rsid w:val="005446A2"/>
    <w:rsid w:val="00544D2F"/>
    <w:rsid w:val="00551BD8"/>
    <w:rsid w:val="00564DA1"/>
    <w:rsid w:val="005670CB"/>
    <w:rsid w:val="00581055"/>
    <w:rsid w:val="00591E38"/>
    <w:rsid w:val="005A19C5"/>
    <w:rsid w:val="005A3034"/>
    <w:rsid w:val="005A462D"/>
    <w:rsid w:val="005B253B"/>
    <w:rsid w:val="005B71BD"/>
    <w:rsid w:val="005B771D"/>
    <w:rsid w:val="005C5D16"/>
    <w:rsid w:val="005C65F7"/>
    <w:rsid w:val="005D3193"/>
    <w:rsid w:val="005D4A6E"/>
    <w:rsid w:val="005E5C3E"/>
    <w:rsid w:val="005E6979"/>
    <w:rsid w:val="005E75CB"/>
    <w:rsid w:val="005F057A"/>
    <w:rsid w:val="005F4305"/>
    <w:rsid w:val="006013C1"/>
    <w:rsid w:val="00602E17"/>
    <w:rsid w:val="0060669E"/>
    <w:rsid w:val="00606866"/>
    <w:rsid w:val="00610F2E"/>
    <w:rsid w:val="00611399"/>
    <w:rsid w:val="00616B7D"/>
    <w:rsid w:val="00624C4E"/>
    <w:rsid w:val="00625200"/>
    <w:rsid w:val="00627F56"/>
    <w:rsid w:val="006363A8"/>
    <w:rsid w:val="00636DB7"/>
    <w:rsid w:val="00650905"/>
    <w:rsid w:val="006532ED"/>
    <w:rsid w:val="006549F2"/>
    <w:rsid w:val="006567B7"/>
    <w:rsid w:val="00657BFB"/>
    <w:rsid w:val="00657FD7"/>
    <w:rsid w:val="0066333C"/>
    <w:rsid w:val="006639B4"/>
    <w:rsid w:val="00664278"/>
    <w:rsid w:val="006650FE"/>
    <w:rsid w:val="00671B75"/>
    <w:rsid w:val="0067305D"/>
    <w:rsid w:val="00676564"/>
    <w:rsid w:val="00677D9B"/>
    <w:rsid w:val="00677FC1"/>
    <w:rsid w:val="00680C6A"/>
    <w:rsid w:val="00684FB5"/>
    <w:rsid w:val="006867F3"/>
    <w:rsid w:val="00687890"/>
    <w:rsid w:val="006901A2"/>
    <w:rsid w:val="00690368"/>
    <w:rsid w:val="0069079C"/>
    <w:rsid w:val="00690B53"/>
    <w:rsid w:val="0069156A"/>
    <w:rsid w:val="00695B72"/>
    <w:rsid w:val="00696A5A"/>
    <w:rsid w:val="006A194A"/>
    <w:rsid w:val="006B160A"/>
    <w:rsid w:val="006B4E6C"/>
    <w:rsid w:val="006B50B6"/>
    <w:rsid w:val="006D76AE"/>
    <w:rsid w:val="006D79EA"/>
    <w:rsid w:val="006E5D05"/>
    <w:rsid w:val="00701053"/>
    <w:rsid w:val="00701507"/>
    <w:rsid w:val="0071279E"/>
    <w:rsid w:val="00714021"/>
    <w:rsid w:val="00716A0F"/>
    <w:rsid w:val="00717D45"/>
    <w:rsid w:val="007208F7"/>
    <w:rsid w:val="007218AF"/>
    <w:rsid w:val="007365D1"/>
    <w:rsid w:val="00740E0E"/>
    <w:rsid w:val="00750212"/>
    <w:rsid w:val="00754779"/>
    <w:rsid w:val="0075716D"/>
    <w:rsid w:val="00765EE4"/>
    <w:rsid w:val="00765F14"/>
    <w:rsid w:val="00770E31"/>
    <w:rsid w:val="007769B4"/>
    <w:rsid w:val="007770F1"/>
    <w:rsid w:val="00783FB1"/>
    <w:rsid w:val="00785CDD"/>
    <w:rsid w:val="00791847"/>
    <w:rsid w:val="00791E17"/>
    <w:rsid w:val="007925F0"/>
    <w:rsid w:val="007939B3"/>
    <w:rsid w:val="0079509C"/>
    <w:rsid w:val="00796708"/>
    <w:rsid w:val="007A262F"/>
    <w:rsid w:val="007B1B42"/>
    <w:rsid w:val="007C30EB"/>
    <w:rsid w:val="007D06AD"/>
    <w:rsid w:val="007D12F2"/>
    <w:rsid w:val="007D3199"/>
    <w:rsid w:val="007E063C"/>
    <w:rsid w:val="007E2A4B"/>
    <w:rsid w:val="007E307D"/>
    <w:rsid w:val="007E6A4E"/>
    <w:rsid w:val="007E6C94"/>
    <w:rsid w:val="007F1005"/>
    <w:rsid w:val="007F25E0"/>
    <w:rsid w:val="007F5328"/>
    <w:rsid w:val="00804F5A"/>
    <w:rsid w:val="0081027D"/>
    <w:rsid w:val="00810C6D"/>
    <w:rsid w:val="00812887"/>
    <w:rsid w:val="00813767"/>
    <w:rsid w:val="00826F21"/>
    <w:rsid w:val="00833CB9"/>
    <w:rsid w:val="00834CC8"/>
    <w:rsid w:val="00835E00"/>
    <w:rsid w:val="00837113"/>
    <w:rsid w:val="008414E4"/>
    <w:rsid w:val="00843E21"/>
    <w:rsid w:val="0084508E"/>
    <w:rsid w:val="00857A8A"/>
    <w:rsid w:val="00860515"/>
    <w:rsid w:val="008630EE"/>
    <w:rsid w:val="00864D13"/>
    <w:rsid w:val="00871CD5"/>
    <w:rsid w:val="008745A2"/>
    <w:rsid w:val="008768A8"/>
    <w:rsid w:val="008825F3"/>
    <w:rsid w:val="0088798F"/>
    <w:rsid w:val="00887E4B"/>
    <w:rsid w:val="00887FB1"/>
    <w:rsid w:val="00890176"/>
    <w:rsid w:val="008915C8"/>
    <w:rsid w:val="00895F7F"/>
    <w:rsid w:val="008A28CB"/>
    <w:rsid w:val="008A36CF"/>
    <w:rsid w:val="008A3BC4"/>
    <w:rsid w:val="008B403C"/>
    <w:rsid w:val="008B7983"/>
    <w:rsid w:val="008C24D8"/>
    <w:rsid w:val="008C2511"/>
    <w:rsid w:val="008D026D"/>
    <w:rsid w:val="008D23AB"/>
    <w:rsid w:val="008D4B8B"/>
    <w:rsid w:val="008D5A78"/>
    <w:rsid w:val="008E051A"/>
    <w:rsid w:val="008E7B64"/>
    <w:rsid w:val="008F5DCD"/>
    <w:rsid w:val="00900951"/>
    <w:rsid w:val="009118A6"/>
    <w:rsid w:val="00916909"/>
    <w:rsid w:val="00916EC0"/>
    <w:rsid w:val="00920467"/>
    <w:rsid w:val="00921DE7"/>
    <w:rsid w:val="00926545"/>
    <w:rsid w:val="00927523"/>
    <w:rsid w:val="0093041A"/>
    <w:rsid w:val="00930714"/>
    <w:rsid w:val="00931B03"/>
    <w:rsid w:val="009323B9"/>
    <w:rsid w:val="00932DCE"/>
    <w:rsid w:val="0093327E"/>
    <w:rsid w:val="00934028"/>
    <w:rsid w:val="0093760E"/>
    <w:rsid w:val="00941445"/>
    <w:rsid w:val="00946044"/>
    <w:rsid w:val="0094660B"/>
    <w:rsid w:val="00946A33"/>
    <w:rsid w:val="0095260E"/>
    <w:rsid w:val="00953B1C"/>
    <w:rsid w:val="009578DD"/>
    <w:rsid w:val="00960BA4"/>
    <w:rsid w:val="00961124"/>
    <w:rsid w:val="009621B6"/>
    <w:rsid w:val="00967F34"/>
    <w:rsid w:val="00974F2D"/>
    <w:rsid w:val="00976545"/>
    <w:rsid w:val="00977524"/>
    <w:rsid w:val="00977E88"/>
    <w:rsid w:val="00983D58"/>
    <w:rsid w:val="00984920"/>
    <w:rsid w:val="00987256"/>
    <w:rsid w:val="00990E62"/>
    <w:rsid w:val="0099303A"/>
    <w:rsid w:val="009971C2"/>
    <w:rsid w:val="009A1254"/>
    <w:rsid w:val="009A5DDB"/>
    <w:rsid w:val="009B299A"/>
    <w:rsid w:val="009B2FF2"/>
    <w:rsid w:val="009B380C"/>
    <w:rsid w:val="009B4843"/>
    <w:rsid w:val="009B5889"/>
    <w:rsid w:val="009B6543"/>
    <w:rsid w:val="009C199D"/>
    <w:rsid w:val="009C278F"/>
    <w:rsid w:val="009C2B94"/>
    <w:rsid w:val="009C5874"/>
    <w:rsid w:val="009D129A"/>
    <w:rsid w:val="009D3B5A"/>
    <w:rsid w:val="009E0C05"/>
    <w:rsid w:val="009E0D1C"/>
    <w:rsid w:val="009E2214"/>
    <w:rsid w:val="009E355A"/>
    <w:rsid w:val="009E63E2"/>
    <w:rsid w:val="009F04D2"/>
    <w:rsid w:val="009F05CF"/>
    <w:rsid w:val="009F0F3A"/>
    <w:rsid w:val="00A01D0C"/>
    <w:rsid w:val="00A04654"/>
    <w:rsid w:val="00A0643F"/>
    <w:rsid w:val="00A067EE"/>
    <w:rsid w:val="00A10FCE"/>
    <w:rsid w:val="00A168A6"/>
    <w:rsid w:val="00A16D85"/>
    <w:rsid w:val="00A16D91"/>
    <w:rsid w:val="00A174CC"/>
    <w:rsid w:val="00A2073D"/>
    <w:rsid w:val="00A20751"/>
    <w:rsid w:val="00A27E2D"/>
    <w:rsid w:val="00A31D99"/>
    <w:rsid w:val="00A357BA"/>
    <w:rsid w:val="00A35ADC"/>
    <w:rsid w:val="00A402A3"/>
    <w:rsid w:val="00A42B94"/>
    <w:rsid w:val="00A53681"/>
    <w:rsid w:val="00A633D4"/>
    <w:rsid w:val="00A6461A"/>
    <w:rsid w:val="00A84504"/>
    <w:rsid w:val="00A8672F"/>
    <w:rsid w:val="00A93057"/>
    <w:rsid w:val="00A968B0"/>
    <w:rsid w:val="00AB2672"/>
    <w:rsid w:val="00AB2817"/>
    <w:rsid w:val="00AB43C4"/>
    <w:rsid w:val="00AB65E1"/>
    <w:rsid w:val="00AC32E7"/>
    <w:rsid w:val="00AC3A9F"/>
    <w:rsid w:val="00AC6D2F"/>
    <w:rsid w:val="00AD33FE"/>
    <w:rsid w:val="00AE2745"/>
    <w:rsid w:val="00AE2F64"/>
    <w:rsid w:val="00AF42CB"/>
    <w:rsid w:val="00AF483F"/>
    <w:rsid w:val="00AF5E07"/>
    <w:rsid w:val="00AF5F06"/>
    <w:rsid w:val="00B00A25"/>
    <w:rsid w:val="00B1422A"/>
    <w:rsid w:val="00B1765C"/>
    <w:rsid w:val="00B213C4"/>
    <w:rsid w:val="00B40C60"/>
    <w:rsid w:val="00B479A9"/>
    <w:rsid w:val="00B52EDF"/>
    <w:rsid w:val="00B57A42"/>
    <w:rsid w:val="00B67FEF"/>
    <w:rsid w:val="00B71188"/>
    <w:rsid w:val="00B76A41"/>
    <w:rsid w:val="00B87D4C"/>
    <w:rsid w:val="00B93646"/>
    <w:rsid w:val="00B93FB6"/>
    <w:rsid w:val="00B94857"/>
    <w:rsid w:val="00B977BD"/>
    <w:rsid w:val="00BA0B38"/>
    <w:rsid w:val="00BA1DBB"/>
    <w:rsid w:val="00BA4510"/>
    <w:rsid w:val="00BA529A"/>
    <w:rsid w:val="00BB612A"/>
    <w:rsid w:val="00BD499F"/>
    <w:rsid w:val="00BD56DE"/>
    <w:rsid w:val="00BE1161"/>
    <w:rsid w:val="00BE5680"/>
    <w:rsid w:val="00BE5A25"/>
    <w:rsid w:val="00BF2406"/>
    <w:rsid w:val="00BF39EE"/>
    <w:rsid w:val="00BF3E96"/>
    <w:rsid w:val="00BF6372"/>
    <w:rsid w:val="00C06E43"/>
    <w:rsid w:val="00C16315"/>
    <w:rsid w:val="00C3091E"/>
    <w:rsid w:val="00C35F41"/>
    <w:rsid w:val="00C37483"/>
    <w:rsid w:val="00C40FF1"/>
    <w:rsid w:val="00C419E2"/>
    <w:rsid w:val="00C5020E"/>
    <w:rsid w:val="00C547ED"/>
    <w:rsid w:val="00C57452"/>
    <w:rsid w:val="00C61EDF"/>
    <w:rsid w:val="00C6239D"/>
    <w:rsid w:val="00C6594B"/>
    <w:rsid w:val="00C65D86"/>
    <w:rsid w:val="00C679D9"/>
    <w:rsid w:val="00C67FFB"/>
    <w:rsid w:val="00C7155E"/>
    <w:rsid w:val="00C71D1E"/>
    <w:rsid w:val="00C71D7D"/>
    <w:rsid w:val="00C74833"/>
    <w:rsid w:val="00C839FF"/>
    <w:rsid w:val="00C850A0"/>
    <w:rsid w:val="00C8585B"/>
    <w:rsid w:val="00C85A86"/>
    <w:rsid w:val="00C978F0"/>
    <w:rsid w:val="00CA2112"/>
    <w:rsid w:val="00CA58FE"/>
    <w:rsid w:val="00CB1CB1"/>
    <w:rsid w:val="00CB6746"/>
    <w:rsid w:val="00CB6BC1"/>
    <w:rsid w:val="00CB6CB8"/>
    <w:rsid w:val="00CC1A68"/>
    <w:rsid w:val="00CC2123"/>
    <w:rsid w:val="00CD2BFD"/>
    <w:rsid w:val="00CE471C"/>
    <w:rsid w:val="00CE5AD6"/>
    <w:rsid w:val="00CE617F"/>
    <w:rsid w:val="00CE78EF"/>
    <w:rsid w:val="00D00C3A"/>
    <w:rsid w:val="00D048F7"/>
    <w:rsid w:val="00D0517E"/>
    <w:rsid w:val="00D1043D"/>
    <w:rsid w:val="00D140FC"/>
    <w:rsid w:val="00D1770B"/>
    <w:rsid w:val="00D21D8C"/>
    <w:rsid w:val="00D31357"/>
    <w:rsid w:val="00D33220"/>
    <w:rsid w:val="00D334D1"/>
    <w:rsid w:val="00D44C89"/>
    <w:rsid w:val="00D516CD"/>
    <w:rsid w:val="00D668E6"/>
    <w:rsid w:val="00D70670"/>
    <w:rsid w:val="00D70D2E"/>
    <w:rsid w:val="00D74D80"/>
    <w:rsid w:val="00D76624"/>
    <w:rsid w:val="00D80C42"/>
    <w:rsid w:val="00D87570"/>
    <w:rsid w:val="00D91CB9"/>
    <w:rsid w:val="00D97989"/>
    <w:rsid w:val="00D97D8D"/>
    <w:rsid w:val="00DA352E"/>
    <w:rsid w:val="00DA6478"/>
    <w:rsid w:val="00DB0A36"/>
    <w:rsid w:val="00DC0F77"/>
    <w:rsid w:val="00DC7694"/>
    <w:rsid w:val="00DD1BF6"/>
    <w:rsid w:val="00DD2F9B"/>
    <w:rsid w:val="00DD58B2"/>
    <w:rsid w:val="00DE0B44"/>
    <w:rsid w:val="00DE2513"/>
    <w:rsid w:val="00DE26E8"/>
    <w:rsid w:val="00DE6EA3"/>
    <w:rsid w:val="00DF6F36"/>
    <w:rsid w:val="00E0084C"/>
    <w:rsid w:val="00E025AB"/>
    <w:rsid w:val="00E02B23"/>
    <w:rsid w:val="00E06F40"/>
    <w:rsid w:val="00E07CE8"/>
    <w:rsid w:val="00E26A07"/>
    <w:rsid w:val="00E32595"/>
    <w:rsid w:val="00E37CFD"/>
    <w:rsid w:val="00E41A26"/>
    <w:rsid w:val="00E461B8"/>
    <w:rsid w:val="00E46BCB"/>
    <w:rsid w:val="00E51CAF"/>
    <w:rsid w:val="00E60F04"/>
    <w:rsid w:val="00E62AAC"/>
    <w:rsid w:val="00E67C2F"/>
    <w:rsid w:val="00E67EF5"/>
    <w:rsid w:val="00E77A61"/>
    <w:rsid w:val="00E804EA"/>
    <w:rsid w:val="00E80A71"/>
    <w:rsid w:val="00E82337"/>
    <w:rsid w:val="00E872B4"/>
    <w:rsid w:val="00E92499"/>
    <w:rsid w:val="00E949AF"/>
    <w:rsid w:val="00E96077"/>
    <w:rsid w:val="00EA0A06"/>
    <w:rsid w:val="00EA6243"/>
    <w:rsid w:val="00EA74AB"/>
    <w:rsid w:val="00EB3D1B"/>
    <w:rsid w:val="00EB64D0"/>
    <w:rsid w:val="00ED1D89"/>
    <w:rsid w:val="00ED66BC"/>
    <w:rsid w:val="00EF0F44"/>
    <w:rsid w:val="00EF233A"/>
    <w:rsid w:val="00EF303E"/>
    <w:rsid w:val="00EF3A40"/>
    <w:rsid w:val="00EF7F78"/>
    <w:rsid w:val="00F01B08"/>
    <w:rsid w:val="00F01C4D"/>
    <w:rsid w:val="00F053FA"/>
    <w:rsid w:val="00F10C97"/>
    <w:rsid w:val="00F11C71"/>
    <w:rsid w:val="00F16019"/>
    <w:rsid w:val="00F20E68"/>
    <w:rsid w:val="00F22093"/>
    <w:rsid w:val="00F236DF"/>
    <w:rsid w:val="00F241F1"/>
    <w:rsid w:val="00F43AD5"/>
    <w:rsid w:val="00F4402E"/>
    <w:rsid w:val="00F4543B"/>
    <w:rsid w:val="00F45E8C"/>
    <w:rsid w:val="00F56DD0"/>
    <w:rsid w:val="00F6491C"/>
    <w:rsid w:val="00F67BBB"/>
    <w:rsid w:val="00F8756E"/>
    <w:rsid w:val="00F87D92"/>
    <w:rsid w:val="00F90AA7"/>
    <w:rsid w:val="00F92498"/>
    <w:rsid w:val="00F9496B"/>
    <w:rsid w:val="00F970C9"/>
    <w:rsid w:val="00FA06A8"/>
    <w:rsid w:val="00FA3DF5"/>
    <w:rsid w:val="00FA741F"/>
    <w:rsid w:val="00FB4E07"/>
    <w:rsid w:val="00FB755A"/>
    <w:rsid w:val="00FC60A2"/>
    <w:rsid w:val="00FD1871"/>
    <w:rsid w:val="00FD3110"/>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84166E"/>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paragraph" w:styleId="ListBullet">
    <w:name w:val="List Bullet"/>
    <w:basedOn w:val="Normal"/>
    <w:uiPriority w:val="99"/>
    <w:unhideWhenUsed/>
    <w:rsid w:val="00671B75"/>
    <w:pPr>
      <w:numPr>
        <w:numId w:val="1"/>
      </w:numPr>
      <w:contextualSpacing/>
    </w:pPr>
  </w:style>
  <w:style w:type="character" w:styleId="CommentReference">
    <w:name w:val="annotation reference"/>
    <w:basedOn w:val="DefaultParagraphFont"/>
    <w:uiPriority w:val="99"/>
    <w:semiHidden/>
    <w:unhideWhenUsed/>
    <w:rsid w:val="00DB0A36"/>
    <w:rPr>
      <w:sz w:val="16"/>
      <w:szCs w:val="16"/>
    </w:rPr>
  </w:style>
  <w:style w:type="paragraph" w:styleId="CommentText">
    <w:name w:val="annotation text"/>
    <w:basedOn w:val="Normal"/>
    <w:link w:val="CommentTextChar"/>
    <w:uiPriority w:val="99"/>
    <w:semiHidden/>
    <w:unhideWhenUsed/>
    <w:rsid w:val="00DB0A36"/>
    <w:pPr>
      <w:spacing w:line="240" w:lineRule="auto"/>
    </w:pPr>
    <w:rPr>
      <w:szCs w:val="20"/>
    </w:rPr>
  </w:style>
  <w:style w:type="character" w:customStyle="1" w:styleId="CommentTextChar">
    <w:name w:val="Comment Text Char"/>
    <w:basedOn w:val="DefaultParagraphFont"/>
    <w:link w:val="CommentText"/>
    <w:uiPriority w:val="99"/>
    <w:semiHidden/>
    <w:rsid w:val="00DB0A36"/>
    <w:rPr>
      <w:szCs w:val="20"/>
    </w:rPr>
  </w:style>
  <w:style w:type="paragraph" w:styleId="CommentSubject">
    <w:name w:val="annotation subject"/>
    <w:basedOn w:val="CommentText"/>
    <w:next w:val="CommentText"/>
    <w:link w:val="CommentSubjectChar"/>
    <w:uiPriority w:val="99"/>
    <w:semiHidden/>
    <w:unhideWhenUsed/>
    <w:rsid w:val="00DB0A36"/>
    <w:rPr>
      <w:b/>
      <w:bCs/>
    </w:rPr>
  </w:style>
  <w:style w:type="character" w:customStyle="1" w:styleId="CommentSubjectChar">
    <w:name w:val="Comment Subject Char"/>
    <w:basedOn w:val="CommentTextChar"/>
    <w:link w:val="CommentSubject"/>
    <w:uiPriority w:val="99"/>
    <w:semiHidden/>
    <w:rsid w:val="00DB0A36"/>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301488">
      <w:bodyDiv w:val="1"/>
      <w:marLeft w:val="0"/>
      <w:marRight w:val="0"/>
      <w:marTop w:val="0"/>
      <w:marBottom w:val="0"/>
      <w:divBdr>
        <w:top w:val="none" w:sz="0" w:space="0" w:color="auto"/>
        <w:left w:val="none" w:sz="0" w:space="0" w:color="auto"/>
        <w:bottom w:val="none" w:sz="0" w:space="0" w:color="auto"/>
        <w:right w:val="none" w:sz="0" w:space="0" w:color="auto"/>
      </w:divBdr>
    </w:div>
    <w:div w:id="1393967041">
      <w:bodyDiv w:val="1"/>
      <w:marLeft w:val="0"/>
      <w:marRight w:val="0"/>
      <w:marTop w:val="0"/>
      <w:marBottom w:val="0"/>
      <w:divBdr>
        <w:top w:val="none" w:sz="0" w:space="0" w:color="auto"/>
        <w:left w:val="none" w:sz="0" w:space="0" w:color="auto"/>
        <w:bottom w:val="none" w:sz="0" w:space="0" w:color="auto"/>
        <w:right w:val="none" w:sz="0" w:space="0" w:color="auto"/>
      </w:divBdr>
    </w:div>
    <w:div w:id="173528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20BC8D26515A4C11AC6304FB75A7CBAD"/>
        <w:category>
          <w:name w:val="General"/>
          <w:gallery w:val="placeholder"/>
        </w:category>
        <w:types>
          <w:type w:val="bbPlcHdr"/>
        </w:types>
        <w:behaviors>
          <w:behavior w:val="content"/>
        </w:behaviors>
        <w:guid w:val="{95AF72BE-1073-48D1-A613-18F5D94AD94A}"/>
      </w:docPartPr>
      <w:docPartBody>
        <w:p w:rsidR="00D21A9F" w:rsidRDefault="00D21A9F">
          <w:pPr>
            <w:pStyle w:val="20BC8D26515A4C11AC6304FB75A7CBAD"/>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3B5D0D236B94025B727487DFE3043D9"/>
        <w:category>
          <w:name w:val="General"/>
          <w:gallery w:val="placeholder"/>
        </w:category>
        <w:types>
          <w:type w:val="bbPlcHdr"/>
        </w:types>
        <w:behaviors>
          <w:behavior w:val="content"/>
        </w:behaviors>
        <w:guid w:val="{73A2309A-E1A2-4A45-A9FE-0FC6A30C47F8}"/>
      </w:docPartPr>
      <w:docPartBody>
        <w:p w:rsidR="004608E6" w:rsidRDefault="004608E6" w:rsidP="004608E6">
          <w:pPr>
            <w:pStyle w:val="23B5D0D236B94025B727487DFE3043D9"/>
          </w:pPr>
          <w:r w:rsidRPr="0051509C">
            <w:rPr>
              <w:rStyle w:val="PlaceholderText"/>
            </w:rPr>
            <w:t>Click here to enter standard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10D41"/>
    <w:rsid w:val="004608E6"/>
    <w:rsid w:val="007C544E"/>
    <w:rsid w:val="008773C2"/>
    <w:rsid w:val="00941445"/>
    <w:rsid w:val="00CF51CA"/>
    <w:rsid w:val="00D21A9F"/>
    <w:rsid w:val="00EE48B2"/>
    <w:rsid w:val="00F24F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544E"/>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20BC8D26515A4C11AC6304FB75A7CBAD">
    <w:name w:val="20BC8D26515A4C11AC6304FB75A7CBAD"/>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3B5D0D236B94025B727487DFE3043D9">
    <w:name w:val="23B5D0D236B94025B727487DFE3043D9"/>
    <w:rsid w:val="004608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5E8E2-250C-44B7-8EBF-B4B85D1F7829}"/>
</file>

<file path=customXml/itemProps2.xml><?xml version="1.0" encoding="utf-8"?>
<ds:datastoreItem xmlns:ds="http://schemas.openxmlformats.org/officeDocument/2006/customXml" ds:itemID="{B26FD3B4-E5FF-44D0-A85D-1656AEB7AF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4.xml><?xml version="1.0" encoding="utf-8"?>
<ds:datastoreItem xmlns:ds="http://schemas.openxmlformats.org/officeDocument/2006/customXml" ds:itemID="{9B2C6547-ED42-4DFF-9994-8EF200DE9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1071</TotalTime>
  <Pages>7</Pages>
  <Words>1616</Words>
  <Characters>9213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10808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WOOD,Nina</cp:lastModifiedBy>
  <cp:revision>94</cp:revision>
  <cp:lastPrinted>2018-10-22T22:41:00Z</cp:lastPrinted>
  <dcterms:created xsi:type="dcterms:W3CDTF">2019-07-05T00:09:00Z</dcterms:created>
  <dcterms:modified xsi:type="dcterms:W3CDTF">2025-12-18T05:50:00Z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2025-12-18T05:50:01Z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62536e24-a0cd-4017-bab1-dd71c52e5f63</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ies>
</file>