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31E77B9" w14:textId="6F9EA098" w:rsidR="00BD499F" w:rsidRPr="004C23F4" w:rsidRDefault="003159F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2-Bu</w:t>
          </w:r>
          <w:r w:rsidR="00CF74D1">
            <w:rPr>
              <w:rFonts w:ascii="Arial" w:hAnsi="Arial" w:cs="Arial"/>
            </w:rPr>
            <w:t>toxyethyl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4631E840" w14:textId="77777777" w:rsidTr="00B76A41">
        <w:trPr>
          <w:cantSplit/>
          <w:tblHeader/>
        </w:trPr>
        <w:tc>
          <w:tcPr>
            <w:tcW w:w="4077" w:type="dxa"/>
          </w:tcPr>
          <w:p w14:paraId="32E3AFE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3E0E805" w14:textId="77777777" w:rsidR="00F43AD5" w:rsidRPr="00717D45" w:rsidRDefault="00CF74D1" w:rsidP="00B76A41">
            <w:pPr>
              <w:pStyle w:val="Tablefont"/>
            </w:pPr>
            <w:r>
              <w:t>112-07-2</w:t>
            </w:r>
          </w:p>
        </w:tc>
      </w:tr>
      <w:tr w:rsidR="00F43AD5" w:rsidRPr="004C23F4" w14:paraId="2D2575BA" w14:textId="77777777" w:rsidTr="00B76A41">
        <w:trPr>
          <w:cantSplit/>
        </w:trPr>
        <w:tc>
          <w:tcPr>
            <w:tcW w:w="4077" w:type="dxa"/>
          </w:tcPr>
          <w:p w14:paraId="03A7B05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3242828" w14:textId="6A6A1CE7" w:rsidR="00F43AD5" w:rsidRPr="00717D45" w:rsidRDefault="005719DB" w:rsidP="00B76A41">
            <w:pPr>
              <w:pStyle w:val="Tablefont"/>
            </w:pPr>
            <w:r>
              <w:t xml:space="preserve">Acetic acid, 2-butoxyethyl ester, </w:t>
            </w:r>
            <w:r w:rsidR="0024523D">
              <w:br/>
            </w:r>
            <w:r>
              <w:t>2-Butoxyethanol acetate, butyl cellosolve acetate</w:t>
            </w:r>
          </w:p>
        </w:tc>
      </w:tr>
      <w:tr w:rsidR="00F43AD5" w:rsidRPr="004C23F4" w14:paraId="79749F3E" w14:textId="77777777" w:rsidTr="00B76A41">
        <w:trPr>
          <w:cantSplit/>
        </w:trPr>
        <w:tc>
          <w:tcPr>
            <w:tcW w:w="4077" w:type="dxa"/>
          </w:tcPr>
          <w:p w14:paraId="1122295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6983D4D" w14:textId="77777777" w:rsidR="00F43AD5" w:rsidRPr="00717D45" w:rsidRDefault="00B021BD" w:rsidP="00B76A41">
            <w:pPr>
              <w:pStyle w:val="Tablefont"/>
            </w:pPr>
            <w:r>
              <w:t>C</w:t>
            </w:r>
            <w:r w:rsidRPr="00B021BD">
              <w:rPr>
                <w:vertAlign w:val="subscript"/>
              </w:rPr>
              <w:t>8</w:t>
            </w:r>
            <w:r>
              <w:t>H</w:t>
            </w:r>
            <w:r w:rsidRPr="00B021BD">
              <w:rPr>
                <w:vertAlign w:val="subscript"/>
              </w:rPr>
              <w:t>16</w:t>
            </w:r>
            <w:r>
              <w:t>O</w:t>
            </w:r>
            <w:r w:rsidRPr="00B021BD">
              <w:rPr>
                <w:vertAlign w:val="subscript"/>
              </w:rPr>
              <w:t>3</w:t>
            </w:r>
          </w:p>
        </w:tc>
      </w:tr>
      <w:tr w:rsidR="00F43AD5" w:rsidRPr="004C23F4" w14:paraId="3E3B8D8B" w14:textId="77777777" w:rsidTr="00B76A41">
        <w:trPr>
          <w:cantSplit/>
        </w:trPr>
        <w:tc>
          <w:tcPr>
            <w:tcW w:w="4077" w:type="dxa"/>
          </w:tcPr>
          <w:p w14:paraId="0A0DF96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5266D4A" w14:textId="63F41923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DB1E949" w14:textId="256658C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A1BC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10415A1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D4F5C8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89E6E8D" w14:textId="60990092" w:rsidR="002C7AFE" w:rsidRPr="002D55A0" w:rsidRDefault="00C05AC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(133</w:t>
            </w:r>
            <w:r w:rsidR="002D55A0">
              <w:rPr>
                <w:b/>
              </w:rPr>
              <w:t xml:space="preserve"> mg/m</w:t>
            </w:r>
            <w:r w:rsidR="002D55A0">
              <w:rPr>
                <w:b/>
                <w:vertAlign w:val="superscript"/>
              </w:rPr>
              <w:t>3</w:t>
            </w:r>
            <w:r w:rsidR="002D55A0">
              <w:rPr>
                <w:b/>
              </w:rPr>
              <w:t>)</w:t>
            </w:r>
          </w:p>
        </w:tc>
      </w:tr>
      <w:tr w:rsidR="002C7AFE" w:rsidRPr="004C23F4" w14:paraId="493E53DD" w14:textId="77777777" w:rsidTr="00921DE7">
        <w:trPr>
          <w:cantSplit/>
        </w:trPr>
        <w:tc>
          <w:tcPr>
            <w:tcW w:w="4077" w:type="dxa"/>
            <w:vAlign w:val="center"/>
          </w:tcPr>
          <w:p w14:paraId="34BE856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C0F7D15" w14:textId="19C10889" w:rsidR="002C7AFE" w:rsidRPr="00F05FF9" w:rsidRDefault="00192B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5F0DE55" w14:textId="77777777" w:rsidTr="00921DE7">
        <w:trPr>
          <w:cantSplit/>
        </w:trPr>
        <w:tc>
          <w:tcPr>
            <w:tcW w:w="4077" w:type="dxa"/>
            <w:vAlign w:val="center"/>
          </w:tcPr>
          <w:p w14:paraId="772418D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ED96B29" w14:textId="77777777" w:rsidR="002C7AFE" w:rsidRPr="00EB3D1B" w:rsidRDefault="000757B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D72F1F8" w14:textId="77777777" w:rsidTr="00A2073D">
        <w:trPr>
          <w:cantSplit/>
        </w:trPr>
        <w:tc>
          <w:tcPr>
            <w:tcW w:w="4077" w:type="dxa"/>
          </w:tcPr>
          <w:p w14:paraId="748E45E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11DC09D" w14:textId="77777777" w:rsidR="002C7AFE" w:rsidRPr="00EB3D1B" w:rsidRDefault="000757B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31FC11F" w14:textId="77777777" w:rsidTr="00921DE7">
        <w:trPr>
          <w:cantSplit/>
        </w:trPr>
        <w:tc>
          <w:tcPr>
            <w:tcW w:w="4077" w:type="dxa"/>
            <w:vAlign w:val="center"/>
          </w:tcPr>
          <w:p w14:paraId="7DB9940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36FCD31" w14:textId="77777777" w:rsidR="002C7AFE" w:rsidRPr="00EB3D1B" w:rsidRDefault="007312A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55B5C4A3" w14:textId="77777777" w:rsidTr="00921DE7">
        <w:trPr>
          <w:cantSplit/>
        </w:trPr>
        <w:tc>
          <w:tcPr>
            <w:tcW w:w="4077" w:type="dxa"/>
            <w:vAlign w:val="center"/>
          </w:tcPr>
          <w:p w14:paraId="74408073" w14:textId="77777777" w:rsidR="009F04D2" w:rsidRDefault="009F04D2" w:rsidP="004263F6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698CB2D7" w14:textId="4C28C6DD" w:rsidR="009F04D2" w:rsidRPr="00EB3D1B" w:rsidRDefault="009F04D2" w:rsidP="00017C82">
            <w:pPr>
              <w:pStyle w:val="Tablefont"/>
              <w:rPr>
                <w:b/>
              </w:rPr>
            </w:pPr>
          </w:p>
        </w:tc>
      </w:tr>
    </w:tbl>
    <w:p w14:paraId="3945759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8BCC333" w14:textId="105AAD43" w:rsidR="006639B4" w:rsidRDefault="002D55A0" w:rsidP="000C139A">
      <w:r>
        <w:rPr>
          <w:rFonts w:cs="Arial"/>
        </w:rPr>
        <w:t xml:space="preserve">A TWA </w:t>
      </w:r>
      <w:r w:rsidR="007163E2">
        <w:rPr>
          <w:rFonts w:cs="Arial"/>
        </w:rPr>
        <w:t>of 20 ppm (133 mg/m</w:t>
      </w:r>
      <w:r w:rsidR="007163E2">
        <w:rPr>
          <w:rFonts w:cs="Arial"/>
          <w:vertAlign w:val="superscript"/>
        </w:rPr>
        <w:t>3</w:t>
      </w:r>
      <w:r w:rsidR="007163E2">
        <w:rPr>
          <w:rFonts w:cs="Arial"/>
        </w:rPr>
        <w:t xml:space="preserve">) </w:t>
      </w:r>
      <w:r>
        <w:t xml:space="preserve">is recommended to protect for </w:t>
      </w:r>
      <w:r w:rsidR="00402AAB">
        <w:t xml:space="preserve">adverse </w:t>
      </w:r>
      <w:r>
        <w:t xml:space="preserve">effects on </w:t>
      </w:r>
      <w:r w:rsidR="0005110B">
        <w:t>erythrocytes</w:t>
      </w:r>
      <w:r>
        <w:t xml:space="preserve"> in exposed workers.</w:t>
      </w:r>
    </w:p>
    <w:p w14:paraId="60C13CBE" w14:textId="03132653" w:rsidR="00BA62E3" w:rsidRDefault="001A1BC4" w:rsidP="00BA62E3">
      <w:r w:rsidRPr="00C3488B">
        <w:rPr>
          <w:rFonts w:cs="Arial"/>
        </w:rPr>
        <w:t>There are no acute effects reported within ten times of the TWA and the TWA is considered protective for any short-term effects. Therefore,</w:t>
      </w:r>
      <w:r>
        <w:rPr>
          <w:rFonts w:cs="Arial"/>
        </w:rPr>
        <w:t xml:space="preserve"> </w:t>
      </w:r>
      <w:r>
        <w:t>a</w:t>
      </w:r>
      <w:r w:rsidR="00B301FD" w:rsidRPr="00B301FD">
        <w:t xml:space="preserve"> STEL is not recommended</w:t>
      </w:r>
      <w:r>
        <w:t>.</w:t>
      </w:r>
    </w:p>
    <w:p w14:paraId="3C994ED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F9171A" w14:textId="77777777" w:rsidR="00192B6E" w:rsidRDefault="008370AC" w:rsidP="009E04B0">
      <w:r>
        <w:t>2-</w:t>
      </w:r>
      <w:r w:rsidR="001A1849">
        <w:t>B</w:t>
      </w:r>
      <w:r>
        <w:t>utoxyethyl acetate is primarily used as a solvent for nitrocellulose lacquers, epoxy res</w:t>
      </w:r>
      <w:r w:rsidR="001A1849">
        <w:t xml:space="preserve">ins and multicolour lacquers. </w:t>
      </w:r>
    </w:p>
    <w:p w14:paraId="6072B412" w14:textId="29FE58FD" w:rsidR="009E04B0" w:rsidRDefault="008370AC" w:rsidP="009E04B0">
      <w:r>
        <w:t>There is limited human information</w:t>
      </w:r>
      <w:r w:rsidR="009E04B0">
        <w:t xml:space="preserve"> regarding health effects and expo</w:t>
      </w:r>
      <w:r w:rsidR="001A1849">
        <w:t>sure to 2</w:t>
      </w:r>
      <w:r w:rsidR="00744D26">
        <w:noBreakHyphen/>
      </w:r>
      <w:r w:rsidR="001A1849">
        <w:t xml:space="preserve">butoxyethyl acetate. </w:t>
      </w:r>
      <w:r w:rsidR="009E04B0">
        <w:t>A chronic inhalation study in rats and rabbits identified no evidence of pulmonary toxicity or irritation in all animals</w:t>
      </w:r>
      <w:r w:rsidR="0005110B">
        <w:t>;</w:t>
      </w:r>
      <w:r w:rsidR="009E04B0">
        <w:t xml:space="preserve"> </w:t>
      </w:r>
      <w:r w:rsidR="004B03CB">
        <w:t>haemo</w:t>
      </w:r>
      <w:r w:rsidR="00951FA1">
        <w:t>lytic</w:t>
      </w:r>
      <w:r w:rsidR="009E04B0">
        <w:t xml:space="preserve"> effects </w:t>
      </w:r>
      <w:r w:rsidR="004B03CB">
        <w:t xml:space="preserve">(primarily on red blood cells) </w:t>
      </w:r>
      <w:r w:rsidR="009E04B0">
        <w:t xml:space="preserve">were reported </w:t>
      </w:r>
      <w:r w:rsidR="001A1849">
        <w:t>in animals exposed to 400</w:t>
      </w:r>
      <w:r w:rsidR="00192B6E">
        <w:t> </w:t>
      </w:r>
      <w:r w:rsidR="001A1849">
        <w:t>ppm</w:t>
      </w:r>
      <w:r w:rsidR="00192B6E">
        <w:t xml:space="preserve"> for one</w:t>
      </w:r>
      <w:r w:rsidR="002802A8">
        <w:t xml:space="preserve"> month</w:t>
      </w:r>
      <w:r w:rsidR="001A1849">
        <w:t xml:space="preserve">. </w:t>
      </w:r>
      <w:r w:rsidR="009E04B0">
        <w:t>In the same study, no adverse effects were identified in animals exposed to 100</w:t>
      </w:r>
      <w:r w:rsidR="00FE5FB1">
        <w:t> </w:t>
      </w:r>
      <w:r w:rsidR="009E04B0">
        <w:t>ppm</w:t>
      </w:r>
      <w:r w:rsidR="002802A8">
        <w:t xml:space="preserve"> for 10 months</w:t>
      </w:r>
      <w:r w:rsidR="009E04B0">
        <w:t xml:space="preserve"> (ACGIH, 2018).</w:t>
      </w:r>
    </w:p>
    <w:p w14:paraId="2B72FD31" w14:textId="7D0CECC4" w:rsidR="009E04B0" w:rsidRDefault="009E04B0" w:rsidP="009E04B0">
      <w:r>
        <w:t>2-</w:t>
      </w:r>
      <w:r w:rsidR="001A1849">
        <w:t>B</w:t>
      </w:r>
      <w:r>
        <w:t xml:space="preserve">utoxyethyl acetate is rapidly metabolised to 2-butoxyethanol which demonstrates </w:t>
      </w:r>
      <w:r w:rsidR="0005110B">
        <w:t xml:space="preserve">adverse </w:t>
      </w:r>
      <w:r>
        <w:t xml:space="preserve">effects on </w:t>
      </w:r>
      <w:r w:rsidR="0005110B">
        <w:t xml:space="preserve">erythrocytes </w:t>
      </w:r>
      <w:r>
        <w:t xml:space="preserve">in </w:t>
      </w:r>
      <w:r w:rsidR="003159F3">
        <w:t>animals</w:t>
      </w:r>
      <w:r w:rsidR="0005110B">
        <w:t>.</w:t>
      </w:r>
      <w:r>
        <w:t xml:space="preserve"> </w:t>
      </w:r>
      <w:r w:rsidR="0005110B">
        <w:t>H</w:t>
      </w:r>
      <w:r>
        <w:t>umans are considered less suscepti</w:t>
      </w:r>
      <w:r w:rsidR="001A1849">
        <w:t xml:space="preserve">ble to these effects. </w:t>
      </w:r>
      <w:r w:rsidR="0005110B">
        <w:t xml:space="preserve">The ACGIH </w:t>
      </w:r>
      <w:r w:rsidR="001A1849">
        <w:t>TLV</w:t>
      </w:r>
      <w:r w:rsidR="00FE5FB1">
        <w:t>-</w:t>
      </w:r>
      <w:r w:rsidR="001A1849">
        <w:t>TWA</w:t>
      </w:r>
      <w:r w:rsidR="002D55A0">
        <w:t xml:space="preserve"> </w:t>
      </w:r>
      <w:r w:rsidR="002802A8">
        <w:t>for 2-butoxyehtanol</w:t>
      </w:r>
      <w:r>
        <w:t xml:space="preserve"> </w:t>
      </w:r>
      <w:r w:rsidR="00192B6E">
        <w:t xml:space="preserve">(20 ppm) </w:t>
      </w:r>
      <w:r>
        <w:t xml:space="preserve">is based on reported eye and nose </w:t>
      </w:r>
      <w:r w:rsidR="002D55A0">
        <w:t>i</w:t>
      </w:r>
      <w:r w:rsidR="001A1849">
        <w:t>rritation in naïve volunteers</w:t>
      </w:r>
      <w:r w:rsidR="00C05ACE">
        <w:t>.</w:t>
      </w:r>
      <w:r w:rsidR="001A1849">
        <w:t xml:space="preserve"> </w:t>
      </w:r>
      <w:r w:rsidR="00561483" w:rsidRPr="00561483">
        <w:t>The toxicological profile of action correspo</w:t>
      </w:r>
      <w:r w:rsidR="004A5594">
        <w:t xml:space="preserve">nds to that of 2-butoxyethanol </w:t>
      </w:r>
      <w:r w:rsidR="00561483" w:rsidRPr="00561483">
        <w:t>although the irritant effect on skin and eye is considered weaker</w:t>
      </w:r>
      <w:r w:rsidR="00561483">
        <w:t xml:space="preserve">. </w:t>
      </w:r>
      <w:r>
        <w:t>Based on animal inhalation studies, 2</w:t>
      </w:r>
      <w:r w:rsidR="00FE5FB1">
        <w:noBreakHyphen/>
      </w:r>
      <w:r>
        <w:t xml:space="preserve">butoxyethyl acetate </w:t>
      </w:r>
      <w:r w:rsidR="00744D26">
        <w:t xml:space="preserve">is </w:t>
      </w:r>
      <w:r>
        <w:t>not expected to be a potent respiratory irritant</w:t>
      </w:r>
      <w:r w:rsidR="001A1849">
        <w:t>.</w:t>
      </w:r>
      <w:r w:rsidR="002D55A0">
        <w:t xml:space="preserve"> A NOAEL </w:t>
      </w:r>
      <w:r w:rsidR="00744D26" w:rsidRPr="002D55A0">
        <w:t xml:space="preserve">of 25 ppm </w:t>
      </w:r>
      <w:r w:rsidR="002D55A0">
        <w:t xml:space="preserve">is reported for </w:t>
      </w:r>
      <w:r w:rsidR="002D55A0" w:rsidRPr="002D55A0">
        <w:t>2</w:t>
      </w:r>
      <w:r w:rsidR="00FE5FB1">
        <w:noBreakHyphen/>
      </w:r>
      <w:r w:rsidR="002D55A0" w:rsidRPr="002D55A0">
        <w:t>b</w:t>
      </w:r>
      <w:r w:rsidR="002D55A0">
        <w:t>utoxyethanol</w:t>
      </w:r>
      <w:r w:rsidR="002D55A0" w:rsidRPr="002D55A0">
        <w:t xml:space="preserve"> </w:t>
      </w:r>
      <w:r w:rsidR="002D55A0">
        <w:t xml:space="preserve">for </w:t>
      </w:r>
      <w:r w:rsidR="0005110B">
        <w:t xml:space="preserve">erythrocyte </w:t>
      </w:r>
      <w:r w:rsidR="002D55A0">
        <w:t xml:space="preserve">effects </w:t>
      </w:r>
      <w:r w:rsidR="002D55A0" w:rsidRPr="002D55A0">
        <w:t>in rats</w:t>
      </w:r>
      <w:r w:rsidR="002D55A0">
        <w:t xml:space="preserve"> (ACGIH, 2018; DFG, 2008).</w:t>
      </w:r>
      <w:r w:rsidR="001A1BC4">
        <w:t xml:space="preserve"> Accordingly, ACGIH recommended a TWA of 20 ppm based on the comparison to</w:t>
      </w:r>
      <w:r w:rsidR="001A1BC4" w:rsidRPr="00EC183D">
        <w:t xml:space="preserve"> 2-butoxyethano</w:t>
      </w:r>
      <w:r w:rsidR="001A1BC4">
        <w:t>l to protect for adverse effects (ACGIH, 2018).</w:t>
      </w:r>
    </w:p>
    <w:p w14:paraId="756814CB" w14:textId="2C93035F" w:rsidR="006639B4" w:rsidRPr="004C23F4" w:rsidRDefault="002D55A0" w:rsidP="006639B4">
      <w:pPr>
        <w:rPr>
          <w:rFonts w:cs="Arial"/>
        </w:rPr>
      </w:pPr>
      <w:r>
        <w:rPr>
          <w:rFonts w:cs="Arial"/>
        </w:rPr>
        <w:t xml:space="preserve">Based </w:t>
      </w:r>
      <w:r w:rsidR="00C05ACE">
        <w:rPr>
          <w:rFonts w:cs="Arial"/>
        </w:rPr>
        <w:t xml:space="preserve">on the identified NOAEL in rats and the fact that humans are less sensitive, </w:t>
      </w:r>
      <w:r w:rsidR="001A1BC4">
        <w:rPr>
          <w:rFonts w:cs="Arial"/>
        </w:rPr>
        <w:t xml:space="preserve">the recommended </w:t>
      </w:r>
      <w:r w:rsidR="00C05ACE">
        <w:rPr>
          <w:rFonts w:cs="Arial"/>
        </w:rPr>
        <w:t>TWA of 20 ppm (133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considered suitable to protect for effects </w:t>
      </w:r>
      <w:r w:rsidR="00BD5FA3">
        <w:rPr>
          <w:rFonts w:cs="Arial"/>
        </w:rPr>
        <w:t xml:space="preserve">on </w:t>
      </w:r>
      <w:r w:rsidR="0005110B">
        <w:rPr>
          <w:rFonts w:cs="Arial"/>
        </w:rPr>
        <w:t xml:space="preserve">erythrocytes </w:t>
      </w:r>
      <w:r>
        <w:rPr>
          <w:rFonts w:cs="Arial"/>
        </w:rPr>
        <w:t xml:space="preserve">in exposed </w:t>
      </w:r>
      <w:r>
        <w:rPr>
          <w:rFonts w:cs="Arial"/>
        </w:rPr>
        <w:lastRenderedPageBreak/>
        <w:t>workers.</w:t>
      </w:r>
      <w:r w:rsidR="00BA62E3">
        <w:rPr>
          <w:rFonts w:cs="Arial"/>
        </w:rPr>
        <w:t xml:space="preserve"> </w:t>
      </w:r>
      <w:r w:rsidR="00132D0C">
        <w:rPr>
          <w:rFonts w:cs="Arial"/>
        </w:rPr>
        <w:t>As t</w:t>
      </w:r>
      <w:r w:rsidR="00132D0C" w:rsidRPr="00C3488B">
        <w:rPr>
          <w:rFonts w:cs="Arial"/>
        </w:rPr>
        <w:t xml:space="preserve">here </w:t>
      </w:r>
      <w:r w:rsidR="00132D0C">
        <w:rPr>
          <w:rFonts w:cs="Arial"/>
        </w:rPr>
        <w:t>is lack of evidence to suggest an immediately acute effect at concentrations</w:t>
      </w:r>
      <w:r w:rsidR="00132D0C" w:rsidRPr="00C3488B">
        <w:rPr>
          <w:rFonts w:cs="Arial"/>
        </w:rPr>
        <w:t xml:space="preserve"> within ten times </w:t>
      </w:r>
      <w:r w:rsidR="00132D0C">
        <w:rPr>
          <w:rFonts w:cs="Arial"/>
        </w:rPr>
        <w:t>the recommended T</w:t>
      </w:r>
      <w:r w:rsidR="00132D0C" w:rsidRPr="00C3488B">
        <w:rPr>
          <w:rFonts w:cs="Arial"/>
        </w:rPr>
        <w:t>WA</w:t>
      </w:r>
      <w:r w:rsidR="00132D0C">
        <w:rPr>
          <w:rFonts w:cs="Arial"/>
        </w:rPr>
        <w:t>, the previous STEL</w:t>
      </w:r>
      <w:r w:rsidR="00132D0C" w:rsidRPr="00C3488B">
        <w:rPr>
          <w:rFonts w:cs="Arial"/>
        </w:rPr>
        <w:t xml:space="preserve"> </w:t>
      </w:r>
      <w:r w:rsidR="00132D0C">
        <w:rPr>
          <w:rFonts w:cs="Arial"/>
        </w:rPr>
        <w:t>of 50 ppm is recommended to be withdr</w:t>
      </w:r>
      <w:r w:rsidR="00132D0C" w:rsidRPr="00C3488B">
        <w:rPr>
          <w:rFonts w:cs="Arial"/>
        </w:rPr>
        <w:t>a</w:t>
      </w:r>
      <w:r w:rsidR="00132D0C">
        <w:rPr>
          <w:rFonts w:cs="Arial"/>
        </w:rPr>
        <w:t>wn</w:t>
      </w:r>
      <w:r w:rsidR="00132D0C">
        <w:t>.</w:t>
      </w:r>
    </w:p>
    <w:p w14:paraId="34F2A15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B24482B" w14:textId="59E868F9" w:rsidR="002B70AD" w:rsidRPr="002D55A0" w:rsidRDefault="002B70AD" w:rsidP="002B70AD">
      <w:pPr>
        <w:rPr>
          <w:rFonts w:cs="Arial"/>
          <w:szCs w:val="20"/>
        </w:rPr>
      </w:pPr>
      <w:r w:rsidRPr="002D55A0">
        <w:t>Not classified as a carcinogen ac</w:t>
      </w:r>
      <w:r w:rsidR="00F623C0">
        <w:t>cording to the Globally Harmoniz</w:t>
      </w:r>
      <w:r w:rsidRPr="002D55A0">
        <w:t>ed System of</w:t>
      </w:r>
      <w:r w:rsidR="00CF0B78">
        <w:t xml:space="preserve"> Classification and Labelling of</w:t>
      </w:r>
      <w:r w:rsidRPr="002D55A0">
        <w:t xml:space="preserve"> Chemicals (GHS). </w:t>
      </w:r>
    </w:p>
    <w:p w14:paraId="19F170FD" w14:textId="2567FF91" w:rsidR="002B70AD" w:rsidRPr="002D55A0" w:rsidRDefault="002B70AD" w:rsidP="002B70AD">
      <w:pPr>
        <w:rPr>
          <w:rFonts w:ascii="Calibri" w:hAnsi="Calibri" w:cs="Calibri"/>
          <w:sz w:val="22"/>
        </w:rPr>
      </w:pPr>
      <w:r w:rsidRPr="002D55A0">
        <w:t>Not classified as a skin</w:t>
      </w:r>
      <w:r w:rsidR="00402AAB">
        <w:t xml:space="preserve"> sensitiser</w:t>
      </w:r>
      <w:r w:rsidRPr="002D55A0">
        <w:t xml:space="preserve"> or respiratory sensitiser according to the GHS.</w:t>
      </w:r>
    </w:p>
    <w:p w14:paraId="53F61518" w14:textId="4687C5B7" w:rsidR="004A5594" w:rsidRDefault="004A5594" w:rsidP="004A5594">
      <w:pPr>
        <w:rPr>
          <w:rFonts w:cs="Arial"/>
        </w:rPr>
      </w:pPr>
      <w:r w:rsidRPr="004A5594">
        <w:rPr>
          <w:rFonts w:cs="Arial"/>
        </w:rPr>
        <w:t xml:space="preserve">A skin notation is not </w:t>
      </w:r>
      <w:r w:rsidR="00192B6E">
        <w:rPr>
          <w:rFonts w:cs="Arial"/>
        </w:rPr>
        <w:t>recommended</w:t>
      </w:r>
      <w:r w:rsidRPr="004A5594">
        <w:rPr>
          <w:rFonts w:cs="Arial"/>
        </w:rPr>
        <w:t xml:space="preserve"> based on the available evidence</w:t>
      </w:r>
      <w:r>
        <w:rPr>
          <w:rFonts w:cs="Arial"/>
        </w:rPr>
        <w:t>.</w:t>
      </w:r>
    </w:p>
    <w:p w14:paraId="329CAC2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F84563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2EC48D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8D869A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DB3E15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25C524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15AC59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D469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D469F">
                  <w:t>TWA: 20 ppm</w:t>
                </w:r>
                <w:r w:rsidR="005539BD">
                  <w:t xml:space="preserve"> (133</w:t>
                </w:r>
                <w:r w:rsidR="00534460">
                  <w:t xml:space="preserve"> mg/m</w:t>
                </w:r>
                <w:r w:rsidR="00534460" w:rsidRPr="00534460">
                  <w:rPr>
                    <w:vertAlign w:val="superscript"/>
                  </w:rPr>
                  <w:t>3</w:t>
                </w:r>
                <w:r w:rsidR="00534460">
                  <w:t>)</w:t>
                </w:r>
                <w:r w:rsidR="00EC7098">
                  <w:t>; STEL: 50 ppm (333 mg/m</w:t>
                </w:r>
                <w:r w:rsidR="00EC7098" w:rsidRPr="00EC7098">
                  <w:rPr>
                    <w:vertAlign w:val="superscript"/>
                  </w:rPr>
                  <w:t>3</w:t>
                </w:r>
                <w:r w:rsidR="00EC7098">
                  <w:t>)</w:t>
                </w:r>
              </w:sdtContent>
            </w:sdt>
          </w:p>
        </w:tc>
      </w:tr>
      <w:tr w:rsidR="00C978F0" w:rsidRPr="00DA352E" w14:paraId="0BBBEE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CE69C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0EF02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C3FDD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97597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97597">
                  <w:t>TLV-TWA: 20 ppm (131 mg/m</w:t>
                </w:r>
                <w:r w:rsidR="00597597" w:rsidRPr="00597597">
                  <w:rPr>
                    <w:vertAlign w:val="superscript"/>
                  </w:rPr>
                  <w:t>3</w:t>
                </w:r>
                <w:r w:rsidR="00597597">
                  <w:t>)</w:t>
                </w:r>
              </w:sdtContent>
            </w:sdt>
          </w:p>
        </w:tc>
      </w:tr>
      <w:tr w:rsidR="00C978F0" w:rsidRPr="00DA352E" w14:paraId="020D340B" w14:textId="77777777" w:rsidTr="002A3908">
        <w:trPr>
          <w:gridAfter w:val="1"/>
          <w:wAfter w:w="8" w:type="pct"/>
        </w:trPr>
        <w:tc>
          <w:tcPr>
            <w:tcW w:w="0" w:type="pct"/>
          </w:tcPr>
          <w:p w14:paraId="7C44407C" w14:textId="7BA9D78B" w:rsidR="00C978F0" w:rsidRDefault="006F193E" w:rsidP="003365A5">
            <w:pPr>
              <w:pStyle w:val="Tabletextprimarysource"/>
            </w:pPr>
            <w:r>
              <w:t>TWA recommended to minimise the potential for haemolytic effects.</w:t>
            </w:r>
          </w:p>
          <w:p w14:paraId="616AD420" w14:textId="77777777" w:rsidR="006F193E" w:rsidRDefault="006F193E" w:rsidP="003365A5">
            <w:pPr>
              <w:pStyle w:val="Tabletextprimarysource"/>
            </w:pPr>
            <w:r>
              <w:t>Summary of data:</w:t>
            </w:r>
          </w:p>
          <w:p w14:paraId="4624B2CF" w14:textId="29C1604C" w:rsidR="008370AC" w:rsidRDefault="001A1849" w:rsidP="002A3908">
            <w:pPr>
              <w:pStyle w:val="Tabletextprimarysource"/>
            </w:pPr>
            <w:r>
              <w:t>R</w:t>
            </w:r>
            <w:r w:rsidR="008370AC">
              <w:t xml:space="preserve">apidly metabolised to 2-butoxyethanol; demonstrates RBC effects in rodents; </w:t>
            </w:r>
            <w:r w:rsidR="008370AC">
              <w:rPr>
                <w:i/>
              </w:rPr>
              <w:t>in</w:t>
            </w:r>
            <w:r w:rsidR="00FE5FB1">
              <w:rPr>
                <w:i/>
              </w:rPr>
              <w:t> </w:t>
            </w:r>
            <w:r w:rsidR="008370AC">
              <w:rPr>
                <w:i/>
              </w:rPr>
              <w:t xml:space="preserve">vivo </w:t>
            </w:r>
            <w:r w:rsidR="008370AC">
              <w:t xml:space="preserve">and </w:t>
            </w:r>
            <w:r w:rsidR="008370AC">
              <w:rPr>
                <w:i/>
              </w:rPr>
              <w:t xml:space="preserve">in vitro </w:t>
            </w:r>
            <w:r w:rsidR="008370AC">
              <w:t>clearly demonstrate that human RBC were less susceptible than rodent</w:t>
            </w:r>
            <w:r w:rsidR="003159F3">
              <w:t>s</w:t>
            </w:r>
            <w:r>
              <w:t>.</w:t>
            </w:r>
          </w:p>
          <w:p w14:paraId="08EC896B" w14:textId="46E67565" w:rsidR="009E04B0" w:rsidRDefault="009E04B0" w:rsidP="002A3908">
            <w:pPr>
              <w:pStyle w:val="Tabletextprimarysource"/>
            </w:pPr>
            <w:r>
              <w:t>Based on animal inhalation studies, 2-butoxyethyl acetate not expected to be a potent respiratory irritant</w:t>
            </w:r>
            <w:r w:rsidR="001A1849">
              <w:t>.</w:t>
            </w:r>
          </w:p>
          <w:p w14:paraId="756075A8" w14:textId="77777777" w:rsidR="006F193E" w:rsidRDefault="006F193E" w:rsidP="006F193E">
            <w:pPr>
              <w:pStyle w:val="Tabletextprimarysource"/>
            </w:pPr>
            <w:r>
              <w:t>Human data:</w:t>
            </w:r>
          </w:p>
          <w:p w14:paraId="108E992F" w14:textId="77777777" w:rsidR="006F193E" w:rsidRDefault="006F193E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health effect information in humans available</w:t>
            </w:r>
          </w:p>
          <w:p w14:paraId="21B8B18F" w14:textId="31DAA7A7" w:rsidR="00FE5FB1" w:rsidRDefault="006F193E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exposures across various silk screening and printing </w:t>
            </w:r>
            <w:r w:rsidR="001A1849">
              <w:t xml:space="preserve">operations ranged from </w:t>
            </w:r>
            <w:r w:rsidR="00FE5FB1">
              <w:br/>
            </w:r>
            <w:r w:rsidR="001A1849">
              <w:t>0.8</w:t>
            </w:r>
            <w:r w:rsidR="00FE5FB1">
              <w:t>–</w:t>
            </w:r>
            <w:r>
              <w:t>4.05 ppm</w:t>
            </w:r>
            <w:r w:rsidR="003159F3">
              <w:t>.</w:t>
            </w:r>
          </w:p>
          <w:p w14:paraId="0729EB69" w14:textId="77777777" w:rsidR="00503202" w:rsidRDefault="00503202" w:rsidP="006F193E">
            <w:pPr>
              <w:pStyle w:val="Tabletextprimarysource"/>
            </w:pPr>
          </w:p>
          <w:p w14:paraId="4BFD2A73" w14:textId="5668A25F" w:rsidR="006F193E" w:rsidRDefault="006F193E" w:rsidP="006F193E">
            <w:pPr>
              <w:pStyle w:val="Tabletextprimarysource"/>
            </w:pPr>
            <w:r>
              <w:t>Animal data:</w:t>
            </w:r>
          </w:p>
          <w:p w14:paraId="4A524D93" w14:textId="771F6294" w:rsidR="006F193E" w:rsidRDefault="00495912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1A1849">
              <w:t>:</w:t>
            </w:r>
            <w:r>
              <w:t xml:space="preserve"> </w:t>
            </w:r>
            <w:r w:rsidR="00AF227E">
              <w:rPr>
                <w:rFonts w:cs="Arial"/>
              </w:rPr>
              <w:t>≈</w:t>
            </w:r>
            <w:r w:rsidR="001A1849">
              <w:t>1,500 mg/kg (rabbits, dermal)</w:t>
            </w:r>
            <w:r>
              <w:t xml:space="preserve">; </w:t>
            </w:r>
            <w:r w:rsidR="001A1849">
              <w:t>death in 24</w:t>
            </w:r>
            <w:r w:rsidR="003159F3">
              <w:t>–</w:t>
            </w:r>
            <w:r w:rsidR="001A1849">
              <w:t>48 h</w:t>
            </w:r>
            <w:r>
              <w:t xml:space="preserve"> with haemoglobinuria</w:t>
            </w:r>
            <w:r w:rsidR="0005110B">
              <w:t>,</w:t>
            </w:r>
            <w:r>
              <w:t xml:space="preserve"> haematuria and d</w:t>
            </w:r>
            <w:r w:rsidR="008370AC">
              <w:t>ec</w:t>
            </w:r>
            <w:r w:rsidR="00AF227E">
              <w:t>r</w:t>
            </w:r>
            <w:r w:rsidR="008370AC">
              <w:t>ease in RBC</w:t>
            </w:r>
          </w:p>
          <w:p w14:paraId="5276EB66" w14:textId="77777777" w:rsidR="00985157" w:rsidRDefault="00985157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Non-irritating to the skin and eye in rabbits</w:t>
            </w:r>
          </w:p>
          <w:p w14:paraId="37319095" w14:textId="438369FA" w:rsidR="00985157" w:rsidRDefault="001A1849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</w:t>
            </w:r>
            <w:r w:rsidR="003159F3">
              <w:t xml:space="preserve"> </w:t>
            </w:r>
            <w:r>
              <w:t>h</w:t>
            </w:r>
            <w:r w:rsidR="00985157">
              <w:t xml:space="preserve"> exposure of rabbits to </w:t>
            </w:r>
            <w:r w:rsidR="00AF227E">
              <w:rPr>
                <w:rFonts w:cs="Arial"/>
              </w:rPr>
              <w:t>≈</w:t>
            </w:r>
            <w:r w:rsidR="00985157">
              <w:t>400 ppm showed slight and transient haemoglobinuria and/or haematuria; no gross pathological lesions</w:t>
            </w:r>
          </w:p>
          <w:p w14:paraId="03846685" w14:textId="23B0B456" w:rsidR="00C12DEC" w:rsidRDefault="00C12DEC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study in rats and rabbits; 4 h/</w:t>
            </w:r>
            <w:r w:rsidR="001A1849">
              <w:t>d, 5 d/wk at 400 ppm for 1 mo</w:t>
            </w:r>
            <w:r>
              <w:t xml:space="preserve"> or </w:t>
            </w:r>
            <w:r w:rsidR="00AF227E">
              <w:rPr>
                <w:rFonts w:cs="Arial"/>
              </w:rPr>
              <w:t>≈</w:t>
            </w:r>
            <w:r w:rsidR="006F42A7">
              <w:t>100</w:t>
            </w:r>
            <w:r w:rsidR="007163E2">
              <w:t> </w:t>
            </w:r>
            <w:r w:rsidR="006F42A7">
              <w:t>ppm for 10 m</w:t>
            </w:r>
            <w:r w:rsidR="001A1849">
              <w:t>o</w:t>
            </w:r>
            <w:r w:rsidR="006F42A7">
              <w:t>:</w:t>
            </w:r>
          </w:p>
          <w:p w14:paraId="095DAD40" w14:textId="0D5402C7" w:rsidR="006F42A7" w:rsidRDefault="0005110B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at</w:t>
            </w:r>
            <w:r w:rsidR="00733730">
              <w:t xml:space="preserve"> 400 ppm</w:t>
            </w:r>
            <w:r w:rsidR="00FE5FB1">
              <w:t>, s</w:t>
            </w:r>
            <w:r w:rsidR="006F42A7">
              <w:t>igns of haemoglobinuria and</w:t>
            </w:r>
            <w:r w:rsidR="001A1849">
              <w:t xml:space="preserve"> haematuria in animals from 2 wk</w:t>
            </w:r>
            <w:r w:rsidR="006F42A7">
              <w:t xml:space="preserve"> with effects more prominent in rabbits</w:t>
            </w:r>
          </w:p>
          <w:p w14:paraId="69CC14D0" w14:textId="0E5B6631" w:rsidR="006F42A7" w:rsidRDefault="00FE5FB1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733730">
              <w:t xml:space="preserve">ecroscopy of 2 rabbits that died after 4 </w:t>
            </w:r>
            <w:r w:rsidR="001A1849">
              <w:t>wk</w:t>
            </w:r>
            <w:r w:rsidR="00733730">
              <w:t xml:space="preserve"> revealed </w:t>
            </w:r>
            <w:r w:rsidR="0005110B">
              <w:t xml:space="preserve">hypertrophic, blood engorged </w:t>
            </w:r>
            <w:r w:rsidR="00733730">
              <w:t>kidneys and the bladders swollen with blood; no gross pathological lesions in other animals</w:t>
            </w:r>
          </w:p>
          <w:p w14:paraId="554761FA" w14:textId="41BB4740" w:rsidR="00733730" w:rsidRDefault="00FE5FB1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733730">
              <w:t xml:space="preserve">o adverse effects in animals </w:t>
            </w:r>
            <w:r w:rsidR="001A1849">
              <w:t>exposed to 100 ppm for 10 mo</w:t>
            </w:r>
          </w:p>
          <w:p w14:paraId="2E869BAC" w14:textId="0C2EEB04" w:rsidR="00733730" w:rsidRDefault="00FE5FB1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733730">
              <w:t xml:space="preserve">o evidence of pulmonary toxicity or irritation </w:t>
            </w:r>
            <w:r w:rsidR="002617B5">
              <w:t>in all animals</w:t>
            </w:r>
          </w:p>
          <w:p w14:paraId="7D0EE5E1" w14:textId="77777777" w:rsidR="00265CCC" w:rsidRDefault="00265CCC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reported chronic studies</w:t>
            </w:r>
          </w:p>
          <w:p w14:paraId="3F95E51F" w14:textId="7AA0F664" w:rsidR="00287A0D" w:rsidRDefault="00F05FF9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2-butoxyethyl acetate rapidly metabolises to 2-butoxyethanol; </w:t>
            </w:r>
            <w:r w:rsidR="00287A0D">
              <w:t>NOAEL (2-butoxyet</w:t>
            </w:r>
            <w:r w:rsidR="001A1849">
              <w:t>hanol) of 25 ppm in rats; 13</w:t>
            </w:r>
            <w:r w:rsidR="003159F3">
              <w:t xml:space="preserve"> </w:t>
            </w:r>
            <w:r w:rsidR="001A1849">
              <w:t>w</w:t>
            </w:r>
            <w:r w:rsidR="00287A0D">
              <w:t>k inhalation study</w:t>
            </w:r>
            <w:r w:rsidR="004447FA">
              <w:t xml:space="preserve">; </w:t>
            </w:r>
            <w:r w:rsidR="002D55A0">
              <w:t>RBC effects</w:t>
            </w:r>
            <w:r w:rsidR="004447FA">
              <w:t xml:space="preserve"> </w:t>
            </w:r>
            <w:r w:rsidR="00287A0D">
              <w:t xml:space="preserve">(no further </w:t>
            </w:r>
            <w:r w:rsidR="004447FA">
              <w:t>information</w:t>
            </w:r>
            <w:r w:rsidR="00287A0D">
              <w:t>)</w:t>
            </w:r>
          </w:p>
          <w:p w14:paraId="74839DD1" w14:textId="56F788C8" w:rsidR="00265CCC" w:rsidRDefault="00287A0D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a</w:t>
            </w:r>
            <w:r w:rsidR="001A1849">
              <w:t xml:space="preserve"> 105</w:t>
            </w:r>
            <w:r w:rsidR="003159F3">
              <w:t xml:space="preserve"> </w:t>
            </w:r>
            <w:r w:rsidR="001A1849">
              <w:t>w</w:t>
            </w:r>
            <w:r w:rsidR="00265CCC">
              <w:t>k inhalation study</w:t>
            </w:r>
            <w:r w:rsidR="003864C7">
              <w:t xml:space="preserve"> in rats and mice</w:t>
            </w:r>
            <w:r w:rsidR="00265CCC">
              <w:t>:</w:t>
            </w:r>
          </w:p>
          <w:p w14:paraId="702FE1F6" w14:textId="58C208D3" w:rsidR="0005110B" w:rsidRDefault="00FE5FB1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265CCC">
              <w:t xml:space="preserve">o evidence of carcinogenicity </w:t>
            </w:r>
            <w:r w:rsidR="003864C7">
              <w:t>in male rats</w:t>
            </w:r>
          </w:p>
          <w:p w14:paraId="71F4DC62" w14:textId="6A9E83FF" w:rsidR="0005110B" w:rsidRDefault="003864C7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tumorigenicity was judged as equivocal in female rats</w:t>
            </w:r>
          </w:p>
          <w:p w14:paraId="784A46AB" w14:textId="7BC2BDE3" w:rsidR="00265CCC" w:rsidRDefault="003864C7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macrocytic, normochromic regenerative anaemia in male and female rats</w:t>
            </w:r>
          </w:p>
          <w:p w14:paraId="5486161D" w14:textId="354E7567" w:rsidR="003864C7" w:rsidRDefault="00561483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reported </w:t>
            </w:r>
            <w:r w:rsidR="003864C7">
              <w:t>evidence of carcinogenicity</w:t>
            </w:r>
            <w:r>
              <w:t xml:space="preserve"> at highest doses</w:t>
            </w:r>
            <w:r w:rsidR="003864C7">
              <w:t xml:space="preserve"> in both male</w:t>
            </w:r>
            <w:r>
              <w:t xml:space="preserve"> (increased incidence of </w:t>
            </w:r>
            <w:r w:rsidR="00192B6E">
              <w:t>haemangiosarcoma</w:t>
            </w:r>
            <w:r>
              <w:t xml:space="preserve"> of the liver)</w:t>
            </w:r>
            <w:r w:rsidR="003864C7">
              <w:t xml:space="preserve"> and female mice</w:t>
            </w:r>
            <w:r>
              <w:t xml:space="preserve"> (combined incidence of forestomach squamous cell papilloma and carcinoma)</w:t>
            </w:r>
            <w:r w:rsidR="003159F3">
              <w:t>.</w:t>
            </w:r>
          </w:p>
          <w:p w14:paraId="7A9F4597" w14:textId="4B709944" w:rsidR="00F05FF9" w:rsidRDefault="00F05FF9" w:rsidP="005B4AC4">
            <w:pPr>
              <w:pStyle w:val="Tabletextprimarysource"/>
            </w:pPr>
            <w:r>
              <w:t>Recommended TLV-TWA (20 ppm) is ba</w:t>
            </w:r>
            <w:r w:rsidR="004A5594">
              <w:t>sed on comparison to 2-butoxyeth</w:t>
            </w:r>
            <w:r>
              <w:t>anol</w:t>
            </w:r>
            <w:r w:rsidR="007163E2">
              <w:t xml:space="preserve">. </w:t>
            </w:r>
            <w:r w:rsidR="004A5594">
              <w:t>TLV-TWA (</w:t>
            </w:r>
            <w:r w:rsidR="007163E2">
              <w:t>20 </w:t>
            </w:r>
            <w:r w:rsidR="004A5594">
              <w:t>ppm) for 2-butoxyeth</w:t>
            </w:r>
            <w:r>
              <w:t xml:space="preserve">anol is based on reported eye and nose irritation in naïve volunteers </w:t>
            </w:r>
            <w:r>
              <w:lastRenderedPageBreak/>
              <w:t>exposed at 100 or 200 ppm for 8 h</w:t>
            </w:r>
            <w:r w:rsidR="00C05ACE">
              <w:t>; 2-butoxyethyl acetate is not anticipated to be a potent respiratory irritant, based on findings from inhalation animal studies</w:t>
            </w:r>
            <w:r w:rsidR="004109FE">
              <w:t>.</w:t>
            </w:r>
          </w:p>
          <w:p w14:paraId="4733F78B" w14:textId="43FBE8F4" w:rsidR="005B4AC4" w:rsidRDefault="005B4AC4" w:rsidP="005B4AC4">
            <w:pPr>
              <w:pStyle w:val="Tabletextprimarysource"/>
            </w:pPr>
            <w:r>
              <w:t xml:space="preserve">No </w:t>
            </w:r>
            <w:r w:rsidR="0005110B">
              <w:t xml:space="preserve">mutagenicity </w:t>
            </w:r>
            <w:r>
              <w:t>data</w:t>
            </w:r>
            <w:r w:rsidR="003159F3">
              <w:t>.</w:t>
            </w:r>
          </w:p>
          <w:p w14:paraId="559B0129" w14:textId="77777777" w:rsidR="005B4AC4" w:rsidRDefault="005B4AC4" w:rsidP="005B4AC4">
            <w:pPr>
              <w:pStyle w:val="Tabletextprimarysource"/>
            </w:pPr>
            <w:r>
              <w:t>Insufficient data to recommend skin or sensitiser notations</w:t>
            </w:r>
            <w:r w:rsidR="001A1849">
              <w:t>.</w:t>
            </w:r>
          </w:p>
          <w:p w14:paraId="2FAC5A33" w14:textId="08984BA7" w:rsidR="00FE5FB1" w:rsidRPr="00DA352E" w:rsidRDefault="00FE5FB1" w:rsidP="005B4AC4">
            <w:pPr>
              <w:pStyle w:val="Tabletextprimarysource"/>
            </w:pPr>
          </w:p>
        </w:tc>
      </w:tr>
      <w:tr w:rsidR="00C978F0" w:rsidRPr="00DA352E" w14:paraId="368131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92317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D4ECA">
                  <w:t>200</w:t>
                </w:r>
                <w:r w:rsidR="008B1B5E">
                  <w:t>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C1D33">
                  <w:t>MAK: 10 ppm (66 mg/m</w:t>
                </w:r>
                <w:r w:rsidR="00DC1D33" w:rsidRPr="00DC1D33">
                  <w:rPr>
                    <w:vertAlign w:val="superscript"/>
                  </w:rPr>
                  <w:t>3</w:t>
                </w:r>
                <w:r w:rsidR="00DC1D33">
                  <w:t>)</w:t>
                </w:r>
              </w:sdtContent>
            </w:sdt>
          </w:p>
        </w:tc>
      </w:tr>
      <w:tr w:rsidR="00C978F0" w:rsidRPr="00DA352E" w14:paraId="24DA466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4E0E61" w14:textId="77777777" w:rsidR="00892025" w:rsidRDefault="00892025" w:rsidP="003365A5">
            <w:pPr>
              <w:pStyle w:val="Tabletextprimarysource"/>
            </w:pPr>
            <w:r>
              <w:t>Summary of additional data:</w:t>
            </w:r>
          </w:p>
          <w:p w14:paraId="2A5A34AB" w14:textId="2F54B200" w:rsidR="004F79C5" w:rsidRDefault="002D4ECA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Pr="002D4ECA">
              <w:t xml:space="preserve">lassified </w:t>
            </w:r>
            <w:r w:rsidR="004F79C5">
              <w:t>as</w:t>
            </w:r>
            <w:r w:rsidRPr="002D4ECA">
              <w:t xml:space="preserve"> carcinogenicity category 4</w:t>
            </w:r>
          </w:p>
          <w:p w14:paraId="167B78C4" w14:textId="0DC2BC12" w:rsidR="004F79C5" w:rsidRDefault="002D4ECA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8370AC">
              <w:t>liver cell carcinomas and h</w:t>
            </w:r>
            <w:r w:rsidR="001A1849">
              <w:t>a</w:t>
            </w:r>
            <w:r w:rsidRPr="008370AC">
              <w:t>emangiosarcomas in the liver of male mice</w:t>
            </w:r>
          </w:p>
          <w:p w14:paraId="6E8A4ED1" w14:textId="3B382C99" w:rsidR="002D4ECA" w:rsidRDefault="00F05FF9" w:rsidP="0050320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likely </w:t>
            </w:r>
            <w:r w:rsidR="002D4ECA" w:rsidRPr="008370AC">
              <w:t>non-genotoxic mechani</w:t>
            </w:r>
            <w:r>
              <w:t>sms of action in carcinogenesis</w:t>
            </w:r>
          </w:p>
          <w:p w14:paraId="4AFE8EE0" w14:textId="190610D8" w:rsidR="00892025" w:rsidRDefault="00892025" w:rsidP="00503202">
            <w:pPr>
              <w:pStyle w:val="ListBullet"/>
              <w:spacing w:before="60" w:after="60"/>
              <w:ind w:left="714" w:hanging="357"/>
              <w:contextualSpacing w:val="0"/>
            </w:pPr>
            <w:r w:rsidRPr="00892025">
              <w:t>The toxicological profile of action corresp</w:t>
            </w:r>
            <w:r w:rsidR="002D4ECA">
              <w:t>onds to that of 2-butoxyethanol although</w:t>
            </w:r>
            <w:r w:rsidRPr="00892025">
              <w:t xml:space="preserve"> the irritant effect on skin and eye is </w:t>
            </w:r>
            <w:r>
              <w:t xml:space="preserve">considered </w:t>
            </w:r>
            <w:r w:rsidRPr="00892025">
              <w:t>weaker</w:t>
            </w:r>
          </w:p>
          <w:p w14:paraId="7C2878CE" w14:textId="4C8EEF95" w:rsidR="00892025" w:rsidRDefault="002D4ECA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estimated based on </w:t>
            </w:r>
            <w:r w:rsidRPr="002D4ECA">
              <w:t xml:space="preserve">histologically demonstrated nose irritation in </w:t>
            </w:r>
            <w:r>
              <w:t>a</w:t>
            </w:r>
            <w:r w:rsidR="001A1849">
              <w:t xml:space="preserve"> 2</w:t>
            </w:r>
            <w:r w:rsidR="003159F3">
              <w:t xml:space="preserve"> </w:t>
            </w:r>
            <w:r w:rsidR="001A1849">
              <w:t>y</w:t>
            </w:r>
            <w:r w:rsidRPr="002D4ECA">
              <w:t>r 2</w:t>
            </w:r>
            <w:r w:rsidR="00FE5FB1">
              <w:rPr>
                <w:rFonts w:ascii="Cambria Math" w:hAnsi="Cambria Math" w:cs="Cambria Math"/>
              </w:rPr>
              <w:noBreakHyphen/>
            </w:r>
            <w:r w:rsidRPr="002D4ECA">
              <w:t>butoxyethanol inhalation study</w:t>
            </w:r>
            <w:r w:rsidR="004B03CB">
              <w:t xml:space="preserve"> (rats)</w:t>
            </w:r>
            <w:r w:rsidR="001A1849">
              <w:t>.</w:t>
            </w:r>
          </w:p>
          <w:p w14:paraId="22BC1765" w14:textId="1CF84980" w:rsidR="00FE5FB1" w:rsidRPr="00DA352E" w:rsidRDefault="00FE5FB1" w:rsidP="002802A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95DF5B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CA8BB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03612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50056">
                  <w:t>TWA: 20 ppm (133 mg/m</w:t>
                </w:r>
                <w:r w:rsidR="00250056" w:rsidRPr="00250056">
                  <w:rPr>
                    <w:vertAlign w:val="superscript"/>
                  </w:rPr>
                  <w:t>3</w:t>
                </w:r>
                <w:r w:rsidR="00250056">
                  <w:t>); STEL: 50 ppm (333 mg/m</w:t>
                </w:r>
                <w:r w:rsidR="00250056" w:rsidRPr="00250056">
                  <w:rPr>
                    <w:vertAlign w:val="superscript"/>
                  </w:rPr>
                  <w:t>3</w:t>
                </w:r>
                <w:r w:rsidR="00250056">
                  <w:t>)</w:t>
                </w:r>
              </w:sdtContent>
            </w:sdt>
          </w:p>
        </w:tc>
      </w:tr>
      <w:tr w:rsidR="00C978F0" w:rsidRPr="00DA352E" w14:paraId="16BD04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A772D3" w14:textId="77777777" w:rsidR="00C978F0" w:rsidRDefault="008370AC" w:rsidP="003365A5">
            <w:pPr>
              <w:pStyle w:val="Tabletextprimarysource"/>
            </w:pPr>
            <w:r>
              <w:t>Summary of additional information:</w:t>
            </w:r>
          </w:p>
          <w:p w14:paraId="0A4DBBDE" w14:textId="3BA9B84B" w:rsidR="008370AC" w:rsidRDefault="008370AC" w:rsidP="005032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and STEL based on the assumption of similar toxic effects of</w:t>
            </w:r>
            <w:r w:rsidR="001A1849">
              <w:t xml:space="preserve"> the metabolite 2</w:t>
            </w:r>
            <w:r w:rsidR="00E262EC">
              <w:noBreakHyphen/>
            </w:r>
            <w:r w:rsidR="001A1849">
              <w:t>butoxyethanol.</w:t>
            </w:r>
          </w:p>
          <w:p w14:paraId="16ECD53B" w14:textId="709B20FF" w:rsidR="00E262EC" w:rsidRPr="00DA352E" w:rsidRDefault="00E262EC" w:rsidP="002802A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27D6A4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5C312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00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30038">
                  <w:t>NA</w:t>
                </w:r>
              </w:sdtContent>
            </w:sdt>
          </w:p>
        </w:tc>
      </w:tr>
      <w:tr w:rsidR="00DA352E" w:rsidRPr="00DA352E" w14:paraId="6DF0C91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650153" w14:textId="4181F8DA" w:rsidR="00DA352E" w:rsidRPr="00DA352E" w:rsidRDefault="00A30038" w:rsidP="003365A5">
            <w:pPr>
              <w:pStyle w:val="Tabletextprimarysource"/>
            </w:pPr>
            <w:r>
              <w:t>No report</w:t>
            </w:r>
            <w:r w:rsidR="004B03CB">
              <w:t>.</w:t>
            </w:r>
          </w:p>
        </w:tc>
      </w:tr>
      <w:tr w:rsidR="00DA352E" w:rsidRPr="00DA352E" w14:paraId="5FBF245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5F154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C55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C55CA">
                  <w:t>NA</w:t>
                </w:r>
              </w:sdtContent>
            </w:sdt>
          </w:p>
        </w:tc>
      </w:tr>
      <w:tr w:rsidR="00DA352E" w:rsidRPr="00DA352E" w14:paraId="207AA94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E32E79" w14:textId="45768DF7" w:rsidR="00DA352E" w:rsidRPr="00DA352E" w:rsidRDefault="000C55CA" w:rsidP="003365A5">
            <w:pPr>
              <w:pStyle w:val="Tabletextprimarysource"/>
            </w:pPr>
            <w:r>
              <w:t>No report</w:t>
            </w:r>
            <w:r w:rsidR="004B03CB">
              <w:t>.</w:t>
            </w:r>
          </w:p>
        </w:tc>
      </w:tr>
    </w:tbl>
    <w:p w14:paraId="1CBBFF8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73BEE22" w14:textId="6E5C73DB" w:rsidR="007E2A4B" w:rsidRDefault="001A1849">
      <w:r>
        <w:t>NIL</w:t>
      </w:r>
      <w:r w:rsidR="00136CAD">
        <w:t>.</w:t>
      </w:r>
    </w:p>
    <w:bookmarkEnd w:id="0"/>
    <w:p w14:paraId="412B56C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4A6DD84" w14:textId="77777777" w:rsidTr="001A1849">
        <w:trPr>
          <w:trHeight w:val="454"/>
          <w:tblHeader/>
        </w:trPr>
        <w:tc>
          <w:tcPr>
            <w:tcW w:w="6603" w:type="dxa"/>
            <w:vAlign w:val="center"/>
          </w:tcPr>
          <w:p w14:paraId="36AE0F7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E9491B6" w14:textId="02C147DC" w:rsidR="002E0D61" w:rsidRDefault="001A184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6EF2774" w14:textId="77777777" w:rsidTr="001A184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2F22DBC" w14:textId="10DE9A5C" w:rsidR="008A36CF" w:rsidRPr="006901A2" w:rsidRDefault="001A184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FD12E6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1E0E6F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59363B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C08324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17E4E6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1795B8B" w14:textId="77777777" w:rsidTr="00812887">
        <w:trPr>
          <w:cantSplit/>
        </w:trPr>
        <w:tc>
          <w:tcPr>
            <w:tcW w:w="3227" w:type="dxa"/>
          </w:tcPr>
          <w:p w14:paraId="426565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6F5DF03" w14:textId="77777777" w:rsidR="00687890" w:rsidRPr="00DD2F9B" w:rsidRDefault="000A0B8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C5C4AAE" w14:textId="77777777" w:rsidTr="00812887">
        <w:trPr>
          <w:cantSplit/>
        </w:trPr>
        <w:tc>
          <w:tcPr>
            <w:tcW w:w="3227" w:type="dxa"/>
          </w:tcPr>
          <w:p w14:paraId="07B9BB1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B4B21CA" w14:textId="77777777" w:rsidR="007925F0" w:rsidRPr="00DD2F9B" w:rsidRDefault="000A0B8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419F851" w14:textId="77777777" w:rsidTr="00812887">
        <w:trPr>
          <w:cantSplit/>
        </w:trPr>
        <w:tc>
          <w:tcPr>
            <w:tcW w:w="3227" w:type="dxa"/>
          </w:tcPr>
          <w:p w14:paraId="4BA9B84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90F1EB6" w14:textId="77777777" w:rsidR="00AF483F" w:rsidRPr="00DD2F9B" w:rsidRDefault="00B14E5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C04BC7C" w14:textId="77777777" w:rsidTr="00812887">
        <w:trPr>
          <w:cantSplit/>
        </w:trPr>
        <w:tc>
          <w:tcPr>
            <w:tcW w:w="3227" w:type="dxa"/>
          </w:tcPr>
          <w:p w14:paraId="5358313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964D322" w14:textId="77777777" w:rsidR="00687890" w:rsidRPr="00DD2F9B" w:rsidRDefault="006F052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749E4D7" w14:textId="77777777" w:rsidTr="00812887">
        <w:trPr>
          <w:cantSplit/>
        </w:trPr>
        <w:tc>
          <w:tcPr>
            <w:tcW w:w="3227" w:type="dxa"/>
          </w:tcPr>
          <w:p w14:paraId="4CBFA1B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AB9396" w14:textId="77777777" w:rsidR="00E41A26" w:rsidRPr="00DD2F9B" w:rsidRDefault="0070152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73467C" w14:textId="77777777" w:rsidTr="00812887">
        <w:trPr>
          <w:cantSplit/>
        </w:trPr>
        <w:tc>
          <w:tcPr>
            <w:tcW w:w="3227" w:type="dxa"/>
          </w:tcPr>
          <w:p w14:paraId="78DCF5FA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4FD56AE9" w14:textId="77777777" w:rsidR="002E0D61" w:rsidRPr="00DD2F9B" w:rsidRDefault="00701525" w:rsidP="00DD2F9B">
            <w:pPr>
              <w:pStyle w:val="Tablefont"/>
            </w:pPr>
            <w:r>
              <w:t>Carcinogenicity – A3</w:t>
            </w:r>
          </w:p>
        </w:tc>
      </w:tr>
      <w:tr w:rsidR="002E0D61" w:rsidRPr="004C23F4" w14:paraId="3CB27C06" w14:textId="77777777" w:rsidTr="00812887">
        <w:trPr>
          <w:cantSplit/>
        </w:trPr>
        <w:tc>
          <w:tcPr>
            <w:tcW w:w="3227" w:type="dxa"/>
          </w:tcPr>
          <w:p w14:paraId="6663D4B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EE4703C" w14:textId="77777777" w:rsidR="002E0D61" w:rsidRPr="00DD2F9B" w:rsidRDefault="0051118C" w:rsidP="0051118C">
            <w:r>
              <w:t>Carcinogenicity – 4</w:t>
            </w:r>
            <w:r w:rsidR="00F463E8">
              <w:t xml:space="preserve">, </w:t>
            </w:r>
            <w:r>
              <w:t>H (skin)</w:t>
            </w:r>
          </w:p>
        </w:tc>
      </w:tr>
      <w:tr w:rsidR="002E0D61" w:rsidRPr="004C23F4" w14:paraId="6FC5AA5A" w14:textId="77777777" w:rsidTr="00812887">
        <w:trPr>
          <w:cantSplit/>
        </w:trPr>
        <w:tc>
          <w:tcPr>
            <w:tcW w:w="3227" w:type="dxa"/>
          </w:tcPr>
          <w:p w14:paraId="264CBDE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91F45CD" w14:textId="77777777" w:rsidR="002E0D61" w:rsidRPr="00DD2F9B" w:rsidRDefault="00F34505" w:rsidP="00DD2F9B">
            <w:pPr>
              <w:pStyle w:val="Tablefont"/>
            </w:pPr>
            <w:r>
              <w:t>S</w:t>
            </w:r>
            <w:r w:rsidR="00471931">
              <w:t>kin</w:t>
            </w:r>
          </w:p>
        </w:tc>
      </w:tr>
      <w:tr w:rsidR="002E0D61" w:rsidRPr="004C23F4" w14:paraId="7D955F38" w14:textId="77777777" w:rsidTr="00812887">
        <w:trPr>
          <w:cantSplit/>
        </w:trPr>
        <w:tc>
          <w:tcPr>
            <w:tcW w:w="3227" w:type="dxa"/>
          </w:tcPr>
          <w:p w14:paraId="0D25399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81EB868" w14:textId="77777777" w:rsidR="002E0D61" w:rsidRPr="00DD2F9B" w:rsidRDefault="00844EE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026972" w14:textId="77777777" w:rsidTr="00812887">
        <w:trPr>
          <w:cantSplit/>
        </w:trPr>
        <w:tc>
          <w:tcPr>
            <w:tcW w:w="3227" w:type="dxa"/>
          </w:tcPr>
          <w:p w14:paraId="6672E7B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12F7759" w14:textId="77777777" w:rsidR="00386093" w:rsidRPr="00DD2F9B" w:rsidRDefault="000511C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5F5EBE" w14:textId="77777777" w:rsidTr="00812887">
        <w:trPr>
          <w:cantSplit/>
        </w:trPr>
        <w:tc>
          <w:tcPr>
            <w:tcW w:w="3227" w:type="dxa"/>
          </w:tcPr>
          <w:p w14:paraId="78942BA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75AAB02" w14:textId="77777777" w:rsidR="00386093" w:rsidRPr="00DD2F9B" w:rsidRDefault="000511C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1C271E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9833F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4D41D0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90F239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537D74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86BA8CF" w14:textId="3BFACBF8" w:rsidR="00932DCE" w:rsidRPr="004C23F4" w:rsidRDefault="001A1849" w:rsidP="00F9496B">
            <w:pPr>
              <w:pStyle w:val="Tablefont"/>
            </w:pPr>
            <w:r w:rsidRPr="001A1849">
              <w:t>Insufficient data to assign a skin notation</w:t>
            </w:r>
          </w:p>
        </w:tc>
      </w:tr>
    </w:tbl>
    <w:bookmarkEnd w:id="3"/>
    <w:p w14:paraId="1A4B977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73C485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0FE78A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D68C438" w14:textId="77777777" w:rsidR="00EB3D1B" w:rsidRDefault="007312A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EB14EE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D6900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2D17C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3F65D5F" w14:textId="77777777" w:rsidR="001B79E5" w:rsidRDefault="00597597" w:rsidP="001B79E5">
                <w:pPr>
                  <w:pStyle w:val="Tablefont"/>
                </w:pPr>
                <w:r>
                  <w:t>160.2</w:t>
                </w:r>
              </w:p>
            </w:tc>
          </w:sdtContent>
        </w:sdt>
      </w:tr>
      <w:tr w:rsidR="00A31D99" w:rsidRPr="004C23F4" w14:paraId="2B7721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3858B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CB088A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7CCBBA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4058C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9B4C5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F646B98" w14:textId="77777777" w:rsidTr="00EA6243">
        <w:trPr>
          <w:cantSplit/>
        </w:trPr>
        <w:tc>
          <w:tcPr>
            <w:tcW w:w="4077" w:type="dxa"/>
            <w:vAlign w:val="center"/>
          </w:tcPr>
          <w:p w14:paraId="0449221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AE57A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EFF454D" w14:textId="77777777" w:rsidTr="00EA6243">
        <w:trPr>
          <w:cantSplit/>
        </w:trPr>
        <w:tc>
          <w:tcPr>
            <w:tcW w:w="4077" w:type="dxa"/>
            <w:vAlign w:val="center"/>
          </w:tcPr>
          <w:p w14:paraId="3A80713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846AB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CBE314F" w14:textId="77777777" w:rsidTr="00EA6243">
        <w:trPr>
          <w:cantSplit/>
        </w:trPr>
        <w:tc>
          <w:tcPr>
            <w:tcW w:w="4077" w:type="dxa"/>
            <w:vAlign w:val="center"/>
          </w:tcPr>
          <w:p w14:paraId="12126BD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7BF30C0" w14:textId="77777777" w:rsidR="00E06F40" w:rsidRPr="00A006A0" w:rsidRDefault="00847C9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7766B5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CDF5E0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500683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BAB7CC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6AB6F1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026E3C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FCE35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9D13B9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E8DEB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2B4BC85" w14:textId="45C065E6" w:rsidR="006207FC" w:rsidRDefault="006207FC" w:rsidP="00084859">
      <w:r w:rsidRPr="002022B6">
        <w:t>Deutsche Forschungsgemeinschaft (DFG)</w:t>
      </w:r>
      <w:r>
        <w:t xml:space="preserve"> (</w:t>
      </w:r>
      <w:r w:rsidR="004109FE">
        <w:t>20</w:t>
      </w:r>
      <w:r w:rsidR="00053686">
        <w:t>08</w:t>
      </w:r>
      <w:r>
        <w:t xml:space="preserve">) </w:t>
      </w:r>
      <w:r w:rsidR="004109FE">
        <w:t>2-Butoxyethylacetat</w:t>
      </w:r>
      <w:r w:rsidR="008370AC">
        <w:t xml:space="preserve"> </w:t>
      </w:r>
      <w:r w:rsidR="00BF3107">
        <w:t xml:space="preserve">– </w:t>
      </w:r>
      <w:r w:rsidR="008370AC">
        <w:t>MAK value documentation in German language</w:t>
      </w:r>
      <w:r>
        <w:t>.</w:t>
      </w:r>
    </w:p>
    <w:p w14:paraId="200F9CE4" w14:textId="1042C704" w:rsidR="001E2AC2" w:rsidRPr="00351FE0" w:rsidRDefault="001E2AC2" w:rsidP="00084859">
      <w:r w:rsidRPr="002022B6">
        <w:lastRenderedPageBreak/>
        <w:t>EU Scientific Committee on Occupational Exposure Limits (SCOEL)</w:t>
      </w:r>
      <w:r>
        <w:t xml:space="preserve"> (</w:t>
      </w:r>
      <w:r w:rsidR="008F5A01">
        <w:t>1996</w:t>
      </w:r>
      <w:r>
        <w:t xml:space="preserve">) Recommendation from the Scientific </w:t>
      </w:r>
      <w:r w:rsidR="008F5A01">
        <w:t>Expert Group on Occupational Exposure Limits for 2-butoxyethyl acetate</w:t>
      </w:r>
      <w:r>
        <w:t>. SE</w:t>
      </w:r>
      <w:r w:rsidR="00462A0C">
        <w:t>G</w:t>
      </w:r>
      <w:r>
        <w:t>/</w:t>
      </w:r>
      <w:r w:rsidR="00462A0C">
        <w:t>SUM/71</w:t>
      </w:r>
      <w:r>
        <w:t>.</w:t>
      </w:r>
      <w:r w:rsidR="00286C09">
        <w:t xml:space="preserve"> </w:t>
      </w:r>
    </w:p>
    <w:sectPr w:rsidR="001E2AC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15F29" w14:textId="77777777" w:rsidR="008C3291" w:rsidRDefault="008C3291" w:rsidP="00F43AD5">
      <w:pPr>
        <w:spacing w:after="0" w:line="240" w:lineRule="auto"/>
      </w:pPr>
      <w:r>
        <w:separator/>
      </w:r>
    </w:p>
  </w:endnote>
  <w:endnote w:type="continuationSeparator" w:id="0">
    <w:p w14:paraId="125BD0D0" w14:textId="77777777" w:rsidR="008C3291" w:rsidRDefault="008C329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B58371" w14:textId="54FB1FC5" w:rsidR="008A36CF" w:rsidRDefault="00201C4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2-B</w:t>
        </w:r>
        <w:r w:rsidR="004263F6">
          <w:rPr>
            <w:b/>
            <w:sz w:val="18"/>
            <w:szCs w:val="18"/>
          </w:rPr>
          <w:t>u</w:t>
        </w:r>
        <w:r w:rsidR="008104CC" w:rsidRPr="008104CC">
          <w:rPr>
            <w:b/>
            <w:sz w:val="18"/>
            <w:szCs w:val="18"/>
          </w:rPr>
          <w:t>toxyethyl acetate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112-07-2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4806B5B" w14:textId="35624B3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05E9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59FC" w14:textId="77777777" w:rsidR="008C3291" w:rsidRDefault="008C3291" w:rsidP="00F43AD5">
      <w:pPr>
        <w:spacing w:after="0" w:line="240" w:lineRule="auto"/>
      </w:pPr>
      <w:r>
        <w:separator/>
      </w:r>
    </w:p>
  </w:footnote>
  <w:footnote w:type="continuationSeparator" w:id="0">
    <w:p w14:paraId="5FE28633" w14:textId="77777777" w:rsidR="008C3291" w:rsidRDefault="008C329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877DA" w14:textId="7725BD2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142FB8D" wp14:editId="21B91D8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28025" w14:textId="63767B80" w:rsidR="00C05E93" w:rsidRDefault="00C05E93" w:rsidP="00C05E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3AFE3B" wp14:editId="223801C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9C742A" w14:textId="77777777" w:rsidR="008A36CF" w:rsidRPr="00B31EB2" w:rsidRDefault="008A36CF" w:rsidP="00B31E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DAAA0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21E6F"/>
    <w:multiLevelType w:val="hybridMultilevel"/>
    <w:tmpl w:val="800479B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8579B8"/>
    <w:multiLevelType w:val="hybridMultilevel"/>
    <w:tmpl w:val="910CEA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A043D8"/>
    <w:multiLevelType w:val="hybridMultilevel"/>
    <w:tmpl w:val="D74625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8238652">
    <w:abstractNumId w:val="0"/>
  </w:num>
  <w:num w:numId="2" w16cid:durableId="1613827295">
    <w:abstractNumId w:val="2"/>
  </w:num>
  <w:num w:numId="3" w16cid:durableId="2116441104">
    <w:abstractNumId w:val="0"/>
  </w:num>
  <w:num w:numId="4" w16cid:durableId="13197285">
    <w:abstractNumId w:val="3"/>
  </w:num>
  <w:num w:numId="5" w16cid:durableId="1562213177">
    <w:abstractNumId w:val="0"/>
  </w:num>
  <w:num w:numId="6" w16cid:durableId="56167625">
    <w:abstractNumId w:val="0"/>
  </w:num>
  <w:num w:numId="7" w16cid:durableId="2113014117">
    <w:abstractNumId w:val="0"/>
  </w:num>
  <w:num w:numId="8" w16cid:durableId="1814252532">
    <w:abstractNumId w:val="0"/>
  </w:num>
  <w:num w:numId="9" w16cid:durableId="2059547740">
    <w:abstractNumId w:val="0"/>
  </w:num>
  <w:num w:numId="10" w16cid:durableId="564605103">
    <w:abstractNumId w:val="0"/>
  </w:num>
  <w:num w:numId="11" w16cid:durableId="146166003">
    <w:abstractNumId w:val="0"/>
  </w:num>
  <w:num w:numId="12" w16cid:durableId="1859394639">
    <w:abstractNumId w:val="0"/>
  </w:num>
  <w:num w:numId="13" w16cid:durableId="1330258086">
    <w:abstractNumId w:val="0"/>
  </w:num>
  <w:num w:numId="14" w16cid:durableId="2828762">
    <w:abstractNumId w:val="0"/>
  </w:num>
  <w:num w:numId="15" w16cid:durableId="1185023444">
    <w:abstractNumId w:val="1"/>
  </w:num>
  <w:num w:numId="16" w16cid:durableId="246576757">
    <w:abstractNumId w:val="0"/>
  </w:num>
  <w:num w:numId="17" w16cid:durableId="1164541298">
    <w:abstractNumId w:val="0"/>
  </w:num>
  <w:num w:numId="18" w16cid:durableId="1562399583">
    <w:abstractNumId w:val="0"/>
  </w:num>
  <w:num w:numId="19" w16cid:durableId="1136992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72B"/>
    <w:rsid w:val="00032B88"/>
    <w:rsid w:val="000357CD"/>
    <w:rsid w:val="00046DF5"/>
    <w:rsid w:val="0005110B"/>
    <w:rsid w:val="000511C6"/>
    <w:rsid w:val="00052060"/>
    <w:rsid w:val="00053686"/>
    <w:rsid w:val="0005574A"/>
    <w:rsid w:val="00055FE1"/>
    <w:rsid w:val="00056EC2"/>
    <w:rsid w:val="00060B40"/>
    <w:rsid w:val="00060B48"/>
    <w:rsid w:val="00067F32"/>
    <w:rsid w:val="00071807"/>
    <w:rsid w:val="000757B1"/>
    <w:rsid w:val="000803E1"/>
    <w:rsid w:val="00084513"/>
    <w:rsid w:val="00084859"/>
    <w:rsid w:val="00092D94"/>
    <w:rsid w:val="000A0B8D"/>
    <w:rsid w:val="000B0868"/>
    <w:rsid w:val="000B3E12"/>
    <w:rsid w:val="000B3E78"/>
    <w:rsid w:val="000B7B48"/>
    <w:rsid w:val="000C096D"/>
    <w:rsid w:val="000C139A"/>
    <w:rsid w:val="000C2053"/>
    <w:rsid w:val="000C248C"/>
    <w:rsid w:val="000C3820"/>
    <w:rsid w:val="000C55CA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2D0C"/>
    <w:rsid w:val="00136CAD"/>
    <w:rsid w:val="00140E6A"/>
    <w:rsid w:val="00146545"/>
    <w:rsid w:val="00146B75"/>
    <w:rsid w:val="0015266D"/>
    <w:rsid w:val="0015288A"/>
    <w:rsid w:val="00160F47"/>
    <w:rsid w:val="00165693"/>
    <w:rsid w:val="00177CA1"/>
    <w:rsid w:val="00183823"/>
    <w:rsid w:val="00183942"/>
    <w:rsid w:val="00192B6E"/>
    <w:rsid w:val="001A009E"/>
    <w:rsid w:val="001A1287"/>
    <w:rsid w:val="001A1849"/>
    <w:rsid w:val="001A1BC4"/>
    <w:rsid w:val="001A3859"/>
    <w:rsid w:val="001A3C9D"/>
    <w:rsid w:val="001A43F8"/>
    <w:rsid w:val="001B22C6"/>
    <w:rsid w:val="001B79E5"/>
    <w:rsid w:val="001D1263"/>
    <w:rsid w:val="001D56F0"/>
    <w:rsid w:val="001D663B"/>
    <w:rsid w:val="001D77F2"/>
    <w:rsid w:val="001D7B41"/>
    <w:rsid w:val="001E2AC2"/>
    <w:rsid w:val="001E46DA"/>
    <w:rsid w:val="001E7D80"/>
    <w:rsid w:val="001F4B6C"/>
    <w:rsid w:val="001F62CB"/>
    <w:rsid w:val="001F6ED0"/>
    <w:rsid w:val="001F72E6"/>
    <w:rsid w:val="001F73C5"/>
    <w:rsid w:val="00201C48"/>
    <w:rsid w:val="00203F9C"/>
    <w:rsid w:val="002046A6"/>
    <w:rsid w:val="00204956"/>
    <w:rsid w:val="00207BA6"/>
    <w:rsid w:val="00213640"/>
    <w:rsid w:val="00221547"/>
    <w:rsid w:val="002216FC"/>
    <w:rsid w:val="00222533"/>
    <w:rsid w:val="00222F30"/>
    <w:rsid w:val="00224EE2"/>
    <w:rsid w:val="00227EC7"/>
    <w:rsid w:val="00244AD1"/>
    <w:rsid w:val="0024523D"/>
    <w:rsid w:val="002463BC"/>
    <w:rsid w:val="002465CE"/>
    <w:rsid w:val="00250056"/>
    <w:rsid w:val="0025734A"/>
    <w:rsid w:val="002617B5"/>
    <w:rsid w:val="00263255"/>
    <w:rsid w:val="00265CCC"/>
    <w:rsid w:val="002701BA"/>
    <w:rsid w:val="00276494"/>
    <w:rsid w:val="00277B0C"/>
    <w:rsid w:val="002802A8"/>
    <w:rsid w:val="00286C09"/>
    <w:rsid w:val="00287A0D"/>
    <w:rsid w:val="002A3908"/>
    <w:rsid w:val="002A5491"/>
    <w:rsid w:val="002B1A2C"/>
    <w:rsid w:val="002B70AD"/>
    <w:rsid w:val="002B79E0"/>
    <w:rsid w:val="002C34F2"/>
    <w:rsid w:val="002C58FF"/>
    <w:rsid w:val="002C7AFE"/>
    <w:rsid w:val="002D05D2"/>
    <w:rsid w:val="002D4ECA"/>
    <w:rsid w:val="002D55A0"/>
    <w:rsid w:val="002E0D61"/>
    <w:rsid w:val="002E4C7B"/>
    <w:rsid w:val="00303612"/>
    <w:rsid w:val="0030740C"/>
    <w:rsid w:val="00315833"/>
    <w:rsid w:val="003159F3"/>
    <w:rsid w:val="003215EE"/>
    <w:rsid w:val="003224BF"/>
    <w:rsid w:val="003241A8"/>
    <w:rsid w:val="003253F0"/>
    <w:rsid w:val="00325F0C"/>
    <w:rsid w:val="00330B1D"/>
    <w:rsid w:val="00331BA2"/>
    <w:rsid w:val="003337DA"/>
    <w:rsid w:val="00334EFB"/>
    <w:rsid w:val="003350CF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64C7"/>
    <w:rsid w:val="003904A4"/>
    <w:rsid w:val="00391841"/>
    <w:rsid w:val="00391B6D"/>
    <w:rsid w:val="00392B5A"/>
    <w:rsid w:val="00394922"/>
    <w:rsid w:val="003A0E32"/>
    <w:rsid w:val="003A2B94"/>
    <w:rsid w:val="003B1757"/>
    <w:rsid w:val="003B387D"/>
    <w:rsid w:val="003C0D58"/>
    <w:rsid w:val="003C4630"/>
    <w:rsid w:val="003D4FA3"/>
    <w:rsid w:val="003E0807"/>
    <w:rsid w:val="003E51FB"/>
    <w:rsid w:val="003E6B39"/>
    <w:rsid w:val="003F07E1"/>
    <w:rsid w:val="00402AAB"/>
    <w:rsid w:val="004030BC"/>
    <w:rsid w:val="00403F7D"/>
    <w:rsid w:val="00406785"/>
    <w:rsid w:val="004079B4"/>
    <w:rsid w:val="004109FE"/>
    <w:rsid w:val="00417A56"/>
    <w:rsid w:val="00420957"/>
    <w:rsid w:val="00422A10"/>
    <w:rsid w:val="004263F6"/>
    <w:rsid w:val="00430179"/>
    <w:rsid w:val="004414B5"/>
    <w:rsid w:val="00444482"/>
    <w:rsid w:val="004447FA"/>
    <w:rsid w:val="00444B42"/>
    <w:rsid w:val="00445E44"/>
    <w:rsid w:val="004509E2"/>
    <w:rsid w:val="004515EE"/>
    <w:rsid w:val="004529F0"/>
    <w:rsid w:val="00460A03"/>
    <w:rsid w:val="00462A0C"/>
    <w:rsid w:val="00471931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5912"/>
    <w:rsid w:val="004966BF"/>
    <w:rsid w:val="00497984"/>
    <w:rsid w:val="004A5088"/>
    <w:rsid w:val="004A5594"/>
    <w:rsid w:val="004B03CB"/>
    <w:rsid w:val="004B0FD6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6C72"/>
    <w:rsid w:val="004F79C5"/>
    <w:rsid w:val="0050005E"/>
    <w:rsid w:val="00502B88"/>
    <w:rsid w:val="00503202"/>
    <w:rsid w:val="0051118C"/>
    <w:rsid w:val="005142C4"/>
    <w:rsid w:val="0051509C"/>
    <w:rsid w:val="005272E2"/>
    <w:rsid w:val="0053108F"/>
    <w:rsid w:val="00532B56"/>
    <w:rsid w:val="00534460"/>
    <w:rsid w:val="00534B10"/>
    <w:rsid w:val="005446A2"/>
    <w:rsid w:val="00544D2F"/>
    <w:rsid w:val="00551BD8"/>
    <w:rsid w:val="005539BD"/>
    <w:rsid w:val="00561483"/>
    <w:rsid w:val="005719DB"/>
    <w:rsid w:val="00581055"/>
    <w:rsid w:val="00591E38"/>
    <w:rsid w:val="005962A6"/>
    <w:rsid w:val="00597597"/>
    <w:rsid w:val="005A19C5"/>
    <w:rsid w:val="005A3034"/>
    <w:rsid w:val="005A462D"/>
    <w:rsid w:val="005B253B"/>
    <w:rsid w:val="005B4AC4"/>
    <w:rsid w:val="005B771D"/>
    <w:rsid w:val="005C2E36"/>
    <w:rsid w:val="005C348C"/>
    <w:rsid w:val="005C5D16"/>
    <w:rsid w:val="005D3193"/>
    <w:rsid w:val="005D4A6E"/>
    <w:rsid w:val="005D7EA0"/>
    <w:rsid w:val="005E6979"/>
    <w:rsid w:val="005E75CB"/>
    <w:rsid w:val="005F1B5A"/>
    <w:rsid w:val="006013C1"/>
    <w:rsid w:val="0060669E"/>
    <w:rsid w:val="00610F2E"/>
    <w:rsid w:val="00611399"/>
    <w:rsid w:val="006207FC"/>
    <w:rsid w:val="00624C4E"/>
    <w:rsid w:val="00625200"/>
    <w:rsid w:val="006363A8"/>
    <w:rsid w:val="00636DB7"/>
    <w:rsid w:val="00636DD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82D"/>
    <w:rsid w:val="006B160A"/>
    <w:rsid w:val="006B4E6C"/>
    <w:rsid w:val="006B50B6"/>
    <w:rsid w:val="006D79EA"/>
    <w:rsid w:val="006E5D05"/>
    <w:rsid w:val="006F052C"/>
    <w:rsid w:val="006F193E"/>
    <w:rsid w:val="006F42A7"/>
    <w:rsid w:val="007000D3"/>
    <w:rsid w:val="00701053"/>
    <w:rsid w:val="00701507"/>
    <w:rsid w:val="00701525"/>
    <w:rsid w:val="00714021"/>
    <w:rsid w:val="007163E2"/>
    <w:rsid w:val="00716A0F"/>
    <w:rsid w:val="00717D45"/>
    <w:rsid w:val="007208F7"/>
    <w:rsid w:val="007218AF"/>
    <w:rsid w:val="00727C94"/>
    <w:rsid w:val="007312A6"/>
    <w:rsid w:val="00733730"/>
    <w:rsid w:val="007365D1"/>
    <w:rsid w:val="00740E0E"/>
    <w:rsid w:val="00744D26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3C5"/>
    <w:rsid w:val="007B1B42"/>
    <w:rsid w:val="007C30EB"/>
    <w:rsid w:val="007D469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4CC"/>
    <w:rsid w:val="00810C6D"/>
    <w:rsid w:val="00812887"/>
    <w:rsid w:val="00826F21"/>
    <w:rsid w:val="00834CC8"/>
    <w:rsid w:val="00835E00"/>
    <w:rsid w:val="008370AC"/>
    <w:rsid w:val="00837113"/>
    <w:rsid w:val="008414E4"/>
    <w:rsid w:val="00843E21"/>
    <w:rsid w:val="00844EE6"/>
    <w:rsid w:val="0084508E"/>
    <w:rsid w:val="00847C90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2025"/>
    <w:rsid w:val="008A36CF"/>
    <w:rsid w:val="008A3BC4"/>
    <w:rsid w:val="008B1B5E"/>
    <w:rsid w:val="008B2212"/>
    <w:rsid w:val="008B403C"/>
    <w:rsid w:val="008B7983"/>
    <w:rsid w:val="008C2511"/>
    <w:rsid w:val="008C3291"/>
    <w:rsid w:val="008D026D"/>
    <w:rsid w:val="008D23AB"/>
    <w:rsid w:val="008D4B8B"/>
    <w:rsid w:val="008D5A78"/>
    <w:rsid w:val="008E7B64"/>
    <w:rsid w:val="008F5A01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FA1"/>
    <w:rsid w:val="0095260E"/>
    <w:rsid w:val="009578DD"/>
    <w:rsid w:val="00961124"/>
    <w:rsid w:val="009621B6"/>
    <w:rsid w:val="0097202B"/>
    <w:rsid w:val="00973B03"/>
    <w:rsid w:val="00974F2D"/>
    <w:rsid w:val="00977524"/>
    <w:rsid w:val="00977E88"/>
    <w:rsid w:val="00984920"/>
    <w:rsid w:val="00985157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FBC"/>
    <w:rsid w:val="009C5874"/>
    <w:rsid w:val="009D3B5A"/>
    <w:rsid w:val="009E04B0"/>
    <w:rsid w:val="009E0C05"/>
    <w:rsid w:val="009E0D1C"/>
    <w:rsid w:val="009E2214"/>
    <w:rsid w:val="009E2B78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0038"/>
    <w:rsid w:val="00A31D99"/>
    <w:rsid w:val="00A357BA"/>
    <w:rsid w:val="00A35ADC"/>
    <w:rsid w:val="00A402A3"/>
    <w:rsid w:val="00A53681"/>
    <w:rsid w:val="00A633D4"/>
    <w:rsid w:val="00A6461A"/>
    <w:rsid w:val="00A77CB0"/>
    <w:rsid w:val="00A81B6F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227E"/>
    <w:rsid w:val="00AF42CB"/>
    <w:rsid w:val="00AF483F"/>
    <w:rsid w:val="00AF5E07"/>
    <w:rsid w:val="00AF5F06"/>
    <w:rsid w:val="00B00A25"/>
    <w:rsid w:val="00B021BD"/>
    <w:rsid w:val="00B1422A"/>
    <w:rsid w:val="00B14E5E"/>
    <w:rsid w:val="00B1765C"/>
    <w:rsid w:val="00B213C4"/>
    <w:rsid w:val="00B301FD"/>
    <w:rsid w:val="00B31EB2"/>
    <w:rsid w:val="00B40C60"/>
    <w:rsid w:val="00B479A9"/>
    <w:rsid w:val="00B52EDF"/>
    <w:rsid w:val="00B71188"/>
    <w:rsid w:val="00B76A41"/>
    <w:rsid w:val="00B76A79"/>
    <w:rsid w:val="00B77378"/>
    <w:rsid w:val="00B87D4C"/>
    <w:rsid w:val="00B93646"/>
    <w:rsid w:val="00BA0B38"/>
    <w:rsid w:val="00BA1DBB"/>
    <w:rsid w:val="00BA4510"/>
    <w:rsid w:val="00BA529A"/>
    <w:rsid w:val="00BA62E3"/>
    <w:rsid w:val="00BB612A"/>
    <w:rsid w:val="00BD26E6"/>
    <w:rsid w:val="00BD499F"/>
    <w:rsid w:val="00BD56DE"/>
    <w:rsid w:val="00BD5FA3"/>
    <w:rsid w:val="00BD7D95"/>
    <w:rsid w:val="00BF157E"/>
    <w:rsid w:val="00BF2406"/>
    <w:rsid w:val="00BF3107"/>
    <w:rsid w:val="00C05ACE"/>
    <w:rsid w:val="00C05E93"/>
    <w:rsid w:val="00C06E43"/>
    <w:rsid w:val="00C12DEC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0B78"/>
    <w:rsid w:val="00CF74D1"/>
    <w:rsid w:val="00D048F7"/>
    <w:rsid w:val="00D0517E"/>
    <w:rsid w:val="00D140FC"/>
    <w:rsid w:val="00D21D8C"/>
    <w:rsid w:val="00D240DB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837"/>
    <w:rsid w:val="00DB7678"/>
    <w:rsid w:val="00DC1D3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7EB"/>
    <w:rsid w:val="00E14599"/>
    <w:rsid w:val="00E179ED"/>
    <w:rsid w:val="00E262EC"/>
    <w:rsid w:val="00E26A07"/>
    <w:rsid w:val="00E32595"/>
    <w:rsid w:val="00E33129"/>
    <w:rsid w:val="00E37CFD"/>
    <w:rsid w:val="00E41A26"/>
    <w:rsid w:val="00E46BCB"/>
    <w:rsid w:val="00E51CAF"/>
    <w:rsid w:val="00E60D9F"/>
    <w:rsid w:val="00E60F04"/>
    <w:rsid w:val="00E62AAC"/>
    <w:rsid w:val="00E67C2F"/>
    <w:rsid w:val="00E67EF5"/>
    <w:rsid w:val="00E76607"/>
    <w:rsid w:val="00E804EA"/>
    <w:rsid w:val="00E80A71"/>
    <w:rsid w:val="00E82337"/>
    <w:rsid w:val="00E9236A"/>
    <w:rsid w:val="00E92499"/>
    <w:rsid w:val="00E949AF"/>
    <w:rsid w:val="00E96077"/>
    <w:rsid w:val="00EA0A06"/>
    <w:rsid w:val="00EA2933"/>
    <w:rsid w:val="00EA6243"/>
    <w:rsid w:val="00EA74AB"/>
    <w:rsid w:val="00EB3D1B"/>
    <w:rsid w:val="00EC7098"/>
    <w:rsid w:val="00ED1D89"/>
    <w:rsid w:val="00ED4EB8"/>
    <w:rsid w:val="00ED66BC"/>
    <w:rsid w:val="00EF1AEA"/>
    <w:rsid w:val="00EF233A"/>
    <w:rsid w:val="00EF303E"/>
    <w:rsid w:val="00EF3A40"/>
    <w:rsid w:val="00EF7F78"/>
    <w:rsid w:val="00F01B08"/>
    <w:rsid w:val="00F01C4D"/>
    <w:rsid w:val="00F045C8"/>
    <w:rsid w:val="00F04EFC"/>
    <w:rsid w:val="00F053FA"/>
    <w:rsid w:val="00F05FF9"/>
    <w:rsid w:val="00F10C97"/>
    <w:rsid w:val="00F1103A"/>
    <w:rsid w:val="00F11C71"/>
    <w:rsid w:val="00F16019"/>
    <w:rsid w:val="00F20E68"/>
    <w:rsid w:val="00F22093"/>
    <w:rsid w:val="00F236DF"/>
    <w:rsid w:val="00F34505"/>
    <w:rsid w:val="00F43AD5"/>
    <w:rsid w:val="00F4402E"/>
    <w:rsid w:val="00F463E8"/>
    <w:rsid w:val="00F56DD0"/>
    <w:rsid w:val="00F623C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1745"/>
    <w:rsid w:val="00FE5FB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2E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F193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70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0A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0A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0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0A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8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4374"/>
    <w:rsid w:val="004C1782"/>
    <w:rsid w:val="005C2E36"/>
    <w:rsid w:val="00BF157E"/>
    <w:rsid w:val="00D21A9F"/>
    <w:rsid w:val="00F859DC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4C8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02A7C-E9A4-46AA-B4E3-2359279188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B79A07-7F2D-4774-A3E2-C490E1C83790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1c567317-0c4d-4a62-8516-c22afd1b5354"/>
    <ds:schemaRef ds:uri="a0509f21-ed56-4150-9955-96be669e5f2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B59A4C-E737-4490-B133-970E235E78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B53B0-3F88-46D3-A9D1-EEBCDB538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2019-09-12T01:30:00Z</dcterms:created>
  <dcterms:modified xsi:type="dcterms:W3CDTF">2026-01-08T23:32:00Z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2025-12-18T05:42:25Z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e83c22e3-dbc6-405f-ae87-03f66206127e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