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B100E39" w14:textId="77777777" w:rsidR="00BD499F" w:rsidRPr="004C23F4" w:rsidRDefault="009C24A5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Boron 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444E1532" w14:textId="77777777" w:rsidTr="00EF149F">
        <w:trPr>
          <w:cantSplit/>
          <w:tblHeader/>
        </w:trPr>
        <w:tc>
          <w:tcPr>
            <w:tcW w:w="3989" w:type="dxa"/>
          </w:tcPr>
          <w:p w14:paraId="71FE6F4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4900F1EE" w14:textId="77777777" w:rsidR="00F43AD5" w:rsidRPr="00717D45" w:rsidRDefault="00E928D5" w:rsidP="00B76A41">
            <w:pPr>
              <w:pStyle w:val="Tablefont"/>
            </w:pPr>
            <w:r>
              <w:t>1303-86-2</w:t>
            </w:r>
          </w:p>
        </w:tc>
      </w:tr>
      <w:tr w:rsidR="00F43AD5" w:rsidRPr="004C23F4" w14:paraId="332F04A7" w14:textId="77777777" w:rsidTr="00EF149F">
        <w:trPr>
          <w:cantSplit/>
        </w:trPr>
        <w:tc>
          <w:tcPr>
            <w:tcW w:w="3989" w:type="dxa"/>
          </w:tcPr>
          <w:p w14:paraId="029001E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69A67DA5" w14:textId="77777777" w:rsidR="00F43AD5" w:rsidRPr="00717D45" w:rsidRDefault="009174C0" w:rsidP="00B76A41">
            <w:pPr>
              <w:pStyle w:val="Tablefont"/>
            </w:pPr>
            <w:proofErr w:type="spellStart"/>
            <w:r>
              <w:t>Diboron</w:t>
            </w:r>
            <w:proofErr w:type="spellEnd"/>
            <w:r>
              <w:t xml:space="preserve"> trioxide, </w:t>
            </w:r>
            <w:r w:rsidR="00FE3C65">
              <w:t xml:space="preserve">boric oxide, boric anhydride, </w:t>
            </w:r>
            <w:r w:rsidR="00F46E84">
              <w:br/>
            </w:r>
            <w:r w:rsidR="00FE3C65">
              <w:t>boron trioxide</w:t>
            </w:r>
            <w:r w:rsidR="000A72DA">
              <w:t xml:space="preserve">, </w:t>
            </w:r>
            <w:proofErr w:type="spellStart"/>
            <w:r w:rsidR="000A72DA">
              <w:t>boria</w:t>
            </w:r>
            <w:proofErr w:type="spellEnd"/>
            <w:r w:rsidR="000A72DA">
              <w:t>, fused boric acid</w:t>
            </w:r>
          </w:p>
        </w:tc>
      </w:tr>
      <w:tr w:rsidR="00F43AD5" w:rsidRPr="004C23F4" w14:paraId="5D2A4D3B" w14:textId="77777777" w:rsidTr="00EF149F">
        <w:trPr>
          <w:cantSplit/>
        </w:trPr>
        <w:tc>
          <w:tcPr>
            <w:tcW w:w="3989" w:type="dxa"/>
          </w:tcPr>
          <w:p w14:paraId="2DD23FC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75E494B8" w14:textId="77777777" w:rsidR="00F43AD5" w:rsidRPr="007A5060" w:rsidRDefault="007A5060" w:rsidP="00B76A41">
            <w:pPr>
              <w:pStyle w:val="Tablefont"/>
            </w:pPr>
            <w:r>
              <w:t>B</w:t>
            </w:r>
            <w:r w:rsidRPr="007A5060">
              <w:rPr>
                <w:vertAlign w:val="subscript"/>
              </w:rPr>
              <w:t>2</w:t>
            </w:r>
            <w:r>
              <w:t>O</w:t>
            </w:r>
            <w:r w:rsidRPr="007A5060">
              <w:rPr>
                <w:vertAlign w:val="subscript"/>
              </w:rPr>
              <w:t>3</w:t>
            </w:r>
          </w:p>
        </w:tc>
      </w:tr>
    </w:tbl>
    <w:p w14:paraId="5C1CFE3B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D3D6C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1B8CD8AB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F51FE3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67935E12" w14:textId="77777777" w:rsidR="002C7AFE" w:rsidRPr="00EB3D1B" w:rsidRDefault="00926CB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mg/m</w:t>
            </w:r>
            <w:r w:rsidRPr="00926CB7">
              <w:rPr>
                <w:b/>
                <w:vertAlign w:val="superscript"/>
              </w:rPr>
              <w:t>3</w:t>
            </w:r>
          </w:p>
        </w:tc>
      </w:tr>
      <w:tr w:rsidR="002C7AFE" w:rsidRPr="004C23F4" w14:paraId="728F971B" w14:textId="77777777" w:rsidTr="00921DE7">
        <w:trPr>
          <w:cantSplit/>
        </w:trPr>
        <w:tc>
          <w:tcPr>
            <w:tcW w:w="4077" w:type="dxa"/>
            <w:vAlign w:val="center"/>
          </w:tcPr>
          <w:p w14:paraId="0560E2D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70EA9629" w14:textId="77777777" w:rsidR="002C7AFE" w:rsidRPr="00EB3D1B" w:rsidRDefault="008C2B7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2991C68" w14:textId="77777777" w:rsidTr="00921DE7">
        <w:trPr>
          <w:cantSplit/>
        </w:trPr>
        <w:tc>
          <w:tcPr>
            <w:tcW w:w="4077" w:type="dxa"/>
            <w:vAlign w:val="center"/>
          </w:tcPr>
          <w:p w14:paraId="09A4DC8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4ACC1F2" w14:textId="77777777" w:rsidR="002C7AFE" w:rsidRPr="00EB3D1B" w:rsidRDefault="008C2B7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A6A4740" w14:textId="77777777" w:rsidTr="00A2073D">
        <w:trPr>
          <w:cantSplit/>
        </w:trPr>
        <w:tc>
          <w:tcPr>
            <w:tcW w:w="4077" w:type="dxa"/>
          </w:tcPr>
          <w:p w14:paraId="06E3A42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661DA5B0" w14:textId="77777777" w:rsidR="002C7AFE" w:rsidRPr="00EB3D1B" w:rsidRDefault="008C2B7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6F7969D" w14:textId="77777777" w:rsidTr="00921DE7">
        <w:trPr>
          <w:cantSplit/>
        </w:trPr>
        <w:tc>
          <w:tcPr>
            <w:tcW w:w="4077" w:type="dxa"/>
            <w:vAlign w:val="center"/>
          </w:tcPr>
          <w:p w14:paraId="7A3C34D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72C33C92" w14:textId="77777777" w:rsidR="002C7AFE" w:rsidRPr="00EB3D1B" w:rsidRDefault="0088166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2,000 mg/m</w:t>
            </w:r>
            <w:r w:rsidRPr="0088166E">
              <w:rPr>
                <w:b/>
                <w:vertAlign w:val="superscript"/>
              </w:rPr>
              <w:t>3</w:t>
            </w:r>
          </w:p>
        </w:tc>
      </w:tr>
      <w:tr w:rsidR="009F04D2" w:rsidRPr="004C23F4" w14:paraId="74B5DA77" w14:textId="77777777" w:rsidTr="00921DE7">
        <w:trPr>
          <w:cantSplit/>
        </w:trPr>
        <w:tc>
          <w:tcPr>
            <w:tcW w:w="4077" w:type="dxa"/>
            <w:vAlign w:val="center"/>
          </w:tcPr>
          <w:p w14:paraId="2359DC54" w14:textId="77777777" w:rsidR="009F04D2" w:rsidRDefault="009F04D2" w:rsidP="00926CB7">
            <w:pPr>
              <w:pStyle w:val="Tablerowright"/>
              <w:jc w:val="left"/>
            </w:pPr>
            <w:r>
              <w:t>Sampling and analysis:</w:t>
            </w:r>
          </w:p>
        </w:tc>
        <w:tc>
          <w:tcPr>
            <w:tcW w:w="5165" w:type="dxa"/>
          </w:tcPr>
          <w:p w14:paraId="49664D72" w14:textId="55AC23E3" w:rsidR="009F04D2" w:rsidRPr="002F2452" w:rsidRDefault="002F2452" w:rsidP="00017C82">
            <w:pPr>
              <w:pStyle w:val="Tablefont"/>
            </w:pPr>
            <w:r w:rsidRPr="002F2452">
              <w:t>The recommended value is quantifiable through available sampling and analysis techniques.</w:t>
            </w:r>
          </w:p>
        </w:tc>
      </w:tr>
    </w:tbl>
    <w:p w14:paraId="7F8AEF1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002C92E" w14:textId="77777777" w:rsidR="001C771C" w:rsidRPr="00D03D2F" w:rsidRDefault="00926CB7" w:rsidP="00D03D2F">
      <w:pPr>
        <w:rPr>
          <w:rFonts w:cs="Arial"/>
        </w:rPr>
      </w:pPr>
      <w:r w:rsidRPr="00D03D2F">
        <w:rPr>
          <w:rFonts w:cs="Arial"/>
        </w:rPr>
        <w:t>A</w:t>
      </w:r>
      <w:r w:rsidR="00F46E84">
        <w:rPr>
          <w:rFonts w:cs="Arial"/>
        </w:rPr>
        <w:t>n interim</w:t>
      </w:r>
      <w:r w:rsidRPr="00D03D2F">
        <w:rPr>
          <w:rFonts w:cs="Arial"/>
        </w:rPr>
        <w:t xml:space="preserve"> TWA of 10 mg/m</w:t>
      </w:r>
      <w:r w:rsidRPr="00D03D2F">
        <w:rPr>
          <w:rFonts w:cs="Arial"/>
          <w:vertAlign w:val="superscript"/>
        </w:rPr>
        <w:t>3</w:t>
      </w:r>
      <w:r w:rsidRPr="00D03D2F">
        <w:rPr>
          <w:rFonts w:cs="Arial"/>
        </w:rPr>
        <w:t xml:space="preserve"> </w:t>
      </w:r>
      <w:r w:rsidR="009A5ECD">
        <w:rPr>
          <w:rFonts w:cs="Arial"/>
        </w:rPr>
        <w:t xml:space="preserve">is recommended to </w:t>
      </w:r>
      <w:r w:rsidRPr="00D03D2F">
        <w:rPr>
          <w:rFonts w:cs="Arial"/>
        </w:rPr>
        <w:t xml:space="preserve">protect for </w:t>
      </w:r>
      <w:r w:rsidR="00963E8F">
        <w:rPr>
          <w:rFonts w:cs="Arial"/>
        </w:rPr>
        <w:t xml:space="preserve">eye </w:t>
      </w:r>
      <w:r w:rsidRPr="00D03D2F">
        <w:rPr>
          <w:rFonts w:cs="Arial"/>
        </w:rPr>
        <w:t xml:space="preserve">and respiratory tract </w:t>
      </w:r>
      <w:r w:rsidR="00D23EA8">
        <w:rPr>
          <w:rFonts w:cs="Arial"/>
        </w:rPr>
        <w:t>irritation</w:t>
      </w:r>
      <w:r w:rsidR="00D23EA8" w:rsidRPr="00D03D2F">
        <w:rPr>
          <w:rFonts w:cs="Arial"/>
        </w:rPr>
        <w:t xml:space="preserve"> in</w:t>
      </w:r>
      <w:r w:rsidRPr="00D03D2F">
        <w:rPr>
          <w:rFonts w:cs="Arial"/>
        </w:rPr>
        <w:t xml:space="preserve"> </w:t>
      </w:r>
      <w:r w:rsidR="00963E8F">
        <w:rPr>
          <w:rFonts w:cs="Arial"/>
        </w:rPr>
        <w:t xml:space="preserve">exposed </w:t>
      </w:r>
      <w:r w:rsidRPr="00D03D2F">
        <w:rPr>
          <w:rFonts w:cs="Arial"/>
        </w:rPr>
        <w:t xml:space="preserve">workers. </w:t>
      </w:r>
      <w:r w:rsidR="00C470C6">
        <w:t xml:space="preserve">Given the limited data available from the primary sources, it is recommended that a review </w:t>
      </w:r>
      <w:r w:rsidR="00F46E84">
        <w:t xml:space="preserve">of additional sources </w:t>
      </w:r>
      <w:r w:rsidR="00C470C6">
        <w:t>be conduct</w:t>
      </w:r>
      <w:r w:rsidR="00F46E84">
        <w:t>ed</w:t>
      </w:r>
      <w:r w:rsidR="00C470C6">
        <w:t xml:space="preserve"> at the next scheduled review.</w:t>
      </w:r>
    </w:p>
    <w:p w14:paraId="55ECA76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2DDFA85" w14:textId="77777777" w:rsidR="00B33B2B" w:rsidRDefault="00D03D2F" w:rsidP="006639B4">
      <w:r>
        <w:rPr>
          <w:rFonts w:cs="Arial"/>
        </w:rPr>
        <w:t xml:space="preserve">Boron oxides are commonly used in </w:t>
      </w:r>
      <w:r>
        <w:t>pro</w:t>
      </w:r>
      <w:r w:rsidR="0073478A">
        <w:t xml:space="preserve">duction of heat-resistant glass, </w:t>
      </w:r>
      <w:r>
        <w:t xml:space="preserve">fire retardant materials and </w:t>
      </w:r>
      <w:r w:rsidR="0073478A">
        <w:t xml:space="preserve">uses in </w:t>
      </w:r>
      <w:r>
        <w:t>the electronics industry</w:t>
      </w:r>
      <w:r w:rsidR="0073478A">
        <w:t xml:space="preserve">. </w:t>
      </w:r>
    </w:p>
    <w:p w14:paraId="48E0A8B1" w14:textId="77777777" w:rsidR="0073478A" w:rsidRPr="009A5ECD" w:rsidRDefault="0073478A" w:rsidP="006639B4">
      <w:r w:rsidRPr="0073478A">
        <w:rPr>
          <w:rFonts w:cs="Arial"/>
        </w:rPr>
        <w:t xml:space="preserve">Limited data from human and animal studies </w:t>
      </w:r>
      <w:r w:rsidR="00B33B2B">
        <w:rPr>
          <w:rFonts w:cs="Arial"/>
        </w:rPr>
        <w:t>suggest</w:t>
      </w:r>
      <w:r w:rsidRPr="0073478A">
        <w:rPr>
          <w:rFonts w:cs="Arial"/>
        </w:rPr>
        <w:t xml:space="preserve"> that </w:t>
      </w:r>
      <w:r>
        <w:rPr>
          <w:rFonts w:cs="Arial"/>
        </w:rPr>
        <w:t>boron oxide h</w:t>
      </w:r>
      <w:r w:rsidRPr="0073478A">
        <w:rPr>
          <w:rFonts w:cs="Arial"/>
        </w:rPr>
        <w:t xml:space="preserve">as </w:t>
      </w:r>
      <w:r>
        <w:rPr>
          <w:rFonts w:cs="Arial"/>
        </w:rPr>
        <w:t xml:space="preserve">low </w:t>
      </w:r>
      <w:r w:rsidRPr="0073478A">
        <w:rPr>
          <w:rFonts w:cs="Arial"/>
        </w:rPr>
        <w:t xml:space="preserve">toxicity </w:t>
      </w:r>
      <w:r>
        <w:rPr>
          <w:rFonts w:cs="Arial"/>
        </w:rPr>
        <w:t xml:space="preserve">and irritant effects </w:t>
      </w:r>
      <w:r w:rsidRPr="0073478A">
        <w:rPr>
          <w:rFonts w:cs="Arial"/>
        </w:rPr>
        <w:t>(ACGIH, 20</w:t>
      </w:r>
      <w:r w:rsidR="00CF2716">
        <w:rPr>
          <w:rFonts w:cs="Arial"/>
        </w:rPr>
        <w:t>18</w:t>
      </w:r>
      <w:r w:rsidRPr="0073478A">
        <w:rPr>
          <w:rFonts w:cs="Arial"/>
        </w:rPr>
        <w:t>). Based on the available data, the critical effects of exposure to</w:t>
      </w:r>
      <w:r>
        <w:rPr>
          <w:rFonts w:cs="Arial"/>
        </w:rPr>
        <w:t xml:space="preserve"> boron oxides are unclear.</w:t>
      </w:r>
    </w:p>
    <w:p w14:paraId="6DB46930" w14:textId="77777777" w:rsidR="0073478A" w:rsidRPr="004C23F4" w:rsidRDefault="00CD3D6C" w:rsidP="006639B4">
      <w:pPr>
        <w:rPr>
          <w:rFonts w:cs="Arial"/>
        </w:rPr>
      </w:pPr>
      <w:r>
        <w:t>A TWA of 10 mg/m</w:t>
      </w:r>
      <w:r w:rsidRPr="00963E8F">
        <w:rPr>
          <w:vertAlign w:val="superscript"/>
        </w:rPr>
        <w:t>3</w:t>
      </w:r>
      <w:r>
        <w:t xml:space="preserve"> is recommended based on the </w:t>
      </w:r>
      <w:r w:rsidR="00F46E84">
        <w:t xml:space="preserve">limited </w:t>
      </w:r>
      <w:r>
        <w:t xml:space="preserve">available data. </w:t>
      </w:r>
      <w:r w:rsidR="00F46E84">
        <w:t xml:space="preserve">A </w:t>
      </w:r>
      <w:r>
        <w:t>review by HCOTN</w:t>
      </w:r>
      <w:r w:rsidR="00F46E84">
        <w:t xml:space="preserve"> (2005)</w:t>
      </w:r>
      <w:r>
        <w:t xml:space="preserve"> recommends a TWA of 1 mg/m</w:t>
      </w:r>
      <w:r w:rsidRPr="008B22CD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t>and a STEL of 3 mg/m</w:t>
      </w:r>
      <w:r w:rsidRPr="008B22CD">
        <w:rPr>
          <w:vertAlign w:val="superscript"/>
        </w:rPr>
        <w:t>3</w:t>
      </w:r>
      <w:r>
        <w:t xml:space="preserve">. However, there is limited evidence to support these recommendations. </w:t>
      </w:r>
      <w:r>
        <w:rPr>
          <w:rFonts w:cs="Arial"/>
        </w:rPr>
        <w:t>As t</w:t>
      </w:r>
      <w:r w:rsidR="0073478A">
        <w:rPr>
          <w:rFonts w:cs="Arial"/>
        </w:rPr>
        <w:t>here is limited evidence to support th</w:t>
      </w:r>
      <w:r w:rsidR="001C771C">
        <w:rPr>
          <w:rFonts w:cs="Arial"/>
        </w:rPr>
        <w:t>e HCOTN</w:t>
      </w:r>
      <w:r w:rsidR="0073478A">
        <w:rPr>
          <w:rFonts w:cs="Arial"/>
        </w:rPr>
        <w:t xml:space="preserve"> recommendation</w:t>
      </w:r>
      <w:r w:rsidR="00B33B2B">
        <w:rPr>
          <w:rFonts w:cs="Arial"/>
        </w:rPr>
        <w:t>,</w:t>
      </w:r>
      <w:r w:rsidR="0073478A">
        <w:rPr>
          <w:rFonts w:cs="Arial"/>
        </w:rPr>
        <w:t xml:space="preserve"> </w:t>
      </w:r>
      <w:r>
        <w:t xml:space="preserve">a </w:t>
      </w:r>
      <w:r w:rsidR="0073478A">
        <w:rPr>
          <w:rFonts w:cs="Arial"/>
        </w:rPr>
        <w:t xml:space="preserve">further </w:t>
      </w:r>
      <w:r w:rsidR="0073478A" w:rsidRPr="00D03D2F">
        <w:t xml:space="preserve">review </w:t>
      </w:r>
      <w:r>
        <w:t>of the literature</w:t>
      </w:r>
      <w:r w:rsidR="00B33B2B">
        <w:t xml:space="preserve"> should</w:t>
      </w:r>
      <w:r>
        <w:t xml:space="preserve"> </w:t>
      </w:r>
      <w:r w:rsidR="0073478A" w:rsidRPr="00D03D2F">
        <w:t>be undertaken at the next scheduled review</w:t>
      </w:r>
      <w:r w:rsidR="001C771C">
        <w:t xml:space="preserve">. </w:t>
      </w:r>
    </w:p>
    <w:p w14:paraId="3D343CF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812AF9D" w14:textId="77777777" w:rsidR="004529F0" w:rsidRDefault="00D03D2F" w:rsidP="004529F0">
      <w:pPr>
        <w:rPr>
          <w:rFonts w:cs="Arial"/>
        </w:rPr>
      </w:pPr>
      <w:r w:rsidRPr="00D03D2F">
        <w:rPr>
          <w:rFonts w:cs="Arial"/>
        </w:rPr>
        <w:t xml:space="preserve">Not classified as a carcinogen according to the Globally Harmonized System of Classification and Labelling of Chemicals (GHS). </w:t>
      </w:r>
    </w:p>
    <w:p w14:paraId="1FE7C725" w14:textId="77777777" w:rsidR="00D03D2F" w:rsidRDefault="00D03D2F" w:rsidP="004529F0">
      <w:pPr>
        <w:rPr>
          <w:rFonts w:cs="Arial"/>
        </w:rPr>
      </w:pPr>
      <w:r w:rsidRPr="00D03D2F">
        <w:rPr>
          <w:rFonts w:cs="Arial"/>
        </w:rPr>
        <w:t>Not classified as a skin</w:t>
      </w:r>
      <w:r w:rsidR="005A5D0D">
        <w:rPr>
          <w:rFonts w:cs="Arial"/>
        </w:rPr>
        <w:t xml:space="preserve"> sensitiser</w:t>
      </w:r>
      <w:r w:rsidRPr="00D03D2F">
        <w:rPr>
          <w:rFonts w:cs="Arial"/>
        </w:rPr>
        <w:t xml:space="preserve"> or respiratory sensitiser according to the GHS</w:t>
      </w:r>
      <w:r>
        <w:rPr>
          <w:rFonts w:cs="Arial"/>
        </w:rPr>
        <w:t>.</w:t>
      </w:r>
    </w:p>
    <w:p w14:paraId="19CF9742" w14:textId="77777777" w:rsidR="00D03D2F" w:rsidRPr="004C23F4" w:rsidRDefault="00B33B2B" w:rsidP="004529F0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4BEA7706" w14:textId="77777777" w:rsidR="0025734A" w:rsidRPr="004C23F4" w:rsidRDefault="0025734A">
      <w:pPr>
        <w:rPr>
          <w:rFonts w:cs="Arial"/>
        </w:rPr>
      </w:pPr>
    </w:p>
    <w:p w14:paraId="7CE4F5E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6BB494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9F7346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D3ABF5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BA17CB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ECD4FEA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1CB4971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35BE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35BE2">
                  <w:t>TWA: 10 mg/m</w:t>
                </w:r>
                <w:r w:rsidR="00C35BE2" w:rsidRPr="00C35BE2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A1133F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57F920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1BE58C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102568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300F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300FE">
                  <w:t>TLV-TWA: 10 mg/m</w:t>
                </w:r>
                <w:r w:rsidR="00D300FE" w:rsidRPr="00D300F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8181CD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618F8E" w14:textId="77777777" w:rsidR="00C978F0" w:rsidRDefault="00151392" w:rsidP="003365A5">
            <w:pPr>
              <w:pStyle w:val="Tabletextprimarysource"/>
            </w:pPr>
            <w:r>
              <w:t>TLV-TWA recommended to minimise risk of ocular and respiratory irritation.</w:t>
            </w:r>
          </w:p>
          <w:p w14:paraId="2FCD27AF" w14:textId="77777777" w:rsidR="00151392" w:rsidRDefault="00151392" w:rsidP="003365A5">
            <w:pPr>
              <w:pStyle w:val="Tabletextprimarysource"/>
            </w:pPr>
            <w:r>
              <w:t>Insufficient data to assign a carcinogenicity notation.</w:t>
            </w:r>
          </w:p>
          <w:p w14:paraId="6C782A08" w14:textId="77777777" w:rsidR="00151392" w:rsidRDefault="00151392" w:rsidP="003365A5">
            <w:pPr>
              <w:pStyle w:val="Tabletextprimarysource"/>
            </w:pPr>
            <w:r>
              <w:t>Insufficient data available to assign a skin or sensitisation notation.</w:t>
            </w:r>
          </w:p>
          <w:p w14:paraId="58F15D5B" w14:textId="77777777" w:rsidR="00151392" w:rsidRDefault="00151392" w:rsidP="003365A5">
            <w:pPr>
              <w:pStyle w:val="Tabletextprimarysource"/>
            </w:pPr>
            <w:r>
              <w:t xml:space="preserve">Summary of </w:t>
            </w:r>
            <w:r w:rsidR="00CE690F">
              <w:t>data</w:t>
            </w:r>
            <w:r>
              <w:t>:</w:t>
            </w:r>
          </w:p>
          <w:p w14:paraId="3E974DFE" w14:textId="77777777" w:rsidR="00151392" w:rsidRDefault="00151392" w:rsidP="003365A5">
            <w:pPr>
              <w:pStyle w:val="Tabletextprimarysource"/>
            </w:pPr>
            <w:r>
              <w:t>Human data:</w:t>
            </w:r>
          </w:p>
          <w:p w14:paraId="4D97CC42" w14:textId="77777777" w:rsidR="00D503B5" w:rsidRDefault="00D23EA8" w:rsidP="00E92656">
            <w:pPr>
              <w:pStyle w:val="ListBullet"/>
              <w:ind w:left="720"/>
            </w:pPr>
            <w:r>
              <w:t>R</w:t>
            </w:r>
            <w:r w:rsidR="00E92656">
              <w:t xml:space="preserve">espiratory and eye irritation </w:t>
            </w:r>
            <w:r>
              <w:t xml:space="preserve">reported by </w:t>
            </w:r>
            <w:r w:rsidR="00E92656">
              <w:t>workers exposed to both boric acid and boron oxide</w:t>
            </w:r>
            <w:r w:rsidR="00CE690F">
              <w:t xml:space="preserve"> </w:t>
            </w:r>
            <w:r>
              <w:t>(1.2–8.5 mg/m</w:t>
            </w:r>
            <w:r w:rsidRPr="00072A28">
              <w:rPr>
                <w:vertAlign w:val="superscript"/>
              </w:rPr>
              <w:t>3</w:t>
            </w:r>
            <w:r>
              <w:t>)</w:t>
            </w:r>
          </w:p>
          <w:p w14:paraId="5383E8A7" w14:textId="77777777" w:rsidR="00151392" w:rsidRDefault="00D503B5" w:rsidP="00072A28">
            <w:pPr>
              <w:pStyle w:val="ListBullet"/>
              <w:numPr>
                <w:ilvl w:val="0"/>
                <w:numId w:val="4"/>
              </w:numPr>
            </w:pPr>
            <w:r>
              <w:t>Exposed workers</w:t>
            </w:r>
            <w:r w:rsidR="00D23EA8">
              <w:t xml:space="preserve"> (n=113)</w:t>
            </w:r>
            <w:r>
              <w:t xml:space="preserve"> reported eye and respiratory tract symptoms significantly more frequently than control group workers (n =214</w:t>
            </w:r>
            <w:r w:rsidR="00D23EA8">
              <w:t>)</w:t>
            </w:r>
          </w:p>
          <w:p w14:paraId="06811EFF" w14:textId="77777777" w:rsidR="005A5D0D" w:rsidRDefault="004D48FF" w:rsidP="00B33B2B">
            <w:pPr>
              <w:pStyle w:val="ListBullet"/>
              <w:numPr>
                <w:ilvl w:val="0"/>
                <w:numId w:val="4"/>
              </w:numPr>
            </w:pPr>
            <w:r>
              <w:t xml:space="preserve">Uncertainty regarding self-reported symptoms in workers and relationship to airborne concentration.  </w:t>
            </w:r>
          </w:p>
          <w:p w14:paraId="228EC553" w14:textId="77777777" w:rsidR="00151392" w:rsidRDefault="00151392" w:rsidP="003365A5">
            <w:pPr>
              <w:pStyle w:val="Tabletextprimarysource"/>
            </w:pPr>
            <w:r>
              <w:t>Animal data:</w:t>
            </w:r>
          </w:p>
          <w:p w14:paraId="5A34CCD4" w14:textId="77777777" w:rsidR="00D23EA8" w:rsidRDefault="00072A28" w:rsidP="00E92656">
            <w:pPr>
              <w:pStyle w:val="ListBullet"/>
              <w:ind w:left="720"/>
            </w:pPr>
            <w:r>
              <w:t>No adverse effects, apart from mild nasal irritation, following exposure to boron oxide aerosols (rats, 6 h/d, 5 d/</w:t>
            </w:r>
            <w:proofErr w:type="spellStart"/>
            <w:r>
              <w:t>wk</w:t>
            </w:r>
            <w:proofErr w:type="spellEnd"/>
            <w:r w:rsidR="00D23EA8">
              <w:t>). Reported exposures:</w:t>
            </w:r>
          </w:p>
          <w:p w14:paraId="36A2CC64" w14:textId="77777777" w:rsidR="00072A28" w:rsidRDefault="00D23EA8" w:rsidP="00B33B2B">
            <w:pPr>
              <w:pStyle w:val="ListBullet"/>
              <w:numPr>
                <w:ilvl w:val="0"/>
                <w:numId w:val="4"/>
              </w:numPr>
            </w:pPr>
            <w:r>
              <w:t>470 mg/m</w:t>
            </w:r>
            <w:r w:rsidRPr="00B379D7">
              <w:rPr>
                <w:vertAlign w:val="superscript"/>
              </w:rPr>
              <w:t>3</w:t>
            </w:r>
            <w:r>
              <w:t xml:space="preserve">, 10 </w:t>
            </w:r>
            <w:proofErr w:type="spellStart"/>
            <w:r>
              <w:t>wk</w:t>
            </w:r>
            <w:proofErr w:type="spellEnd"/>
          </w:p>
          <w:p w14:paraId="1E87D6F8" w14:textId="77777777" w:rsidR="00D23EA8" w:rsidRDefault="00D23EA8" w:rsidP="00B33B2B">
            <w:pPr>
              <w:pStyle w:val="ListBullet"/>
              <w:numPr>
                <w:ilvl w:val="0"/>
                <w:numId w:val="4"/>
              </w:numPr>
            </w:pPr>
            <w:r>
              <w:t>175 mg/m</w:t>
            </w:r>
            <w:r w:rsidRPr="00B379D7">
              <w:rPr>
                <w:vertAlign w:val="superscript"/>
              </w:rPr>
              <w:t>3</w:t>
            </w:r>
            <w:r>
              <w:t xml:space="preserve">, 12 </w:t>
            </w:r>
            <w:proofErr w:type="spellStart"/>
            <w:r>
              <w:t>wk</w:t>
            </w:r>
            <w:proofErr w:type="spellEnd"/>
          </w:p>
          <w:p w14:paraId="5C4EBC3D" w14:textId="77777777" w:rsidR="00D23EA8" w:rsidRDefault="00D23EA8" w:rsidP="00B33B2B">
            <w:pPr>
              <w:pStyle w:val="ListBullet"/>
              <w:numPr>
                <w:ilvl w:val="0"/>
                <w:numId w:val="4"/>
              </w:numPr>
            </w:pPr>
            <w:r>
              <w:t>57 mg/m</w:t>
            </w:r>
            <w:r w:rsidRPr="00B379D7">
              <w:rPr>
                <w:vertAlign w:val="superscript"/>
              </w:rPr>
              <w:t>3</w:t>
            </w:r>
            <w:r>
              <w:t xml:space="preserve">, 24 </w:t>
            </w:r>
            <w:proofErr w:type="spellStart"/>
            <w:r>
              <w:t>wk</w:t>
            </w:r>
            <w:proofErr w:type="spellEnd"/>
          </w:p>
          <w:p w14:paraId="53984953" w14:textId="77777777" w:rsidR="009A5ECD" w:rsidRDefault="00E92656" w:rsidP="00E92656">
            <w:pPr>
              <w:pStyle w:val="ListBullet"/>
              <w:ind w:left="720"/>
            </w:pPr>
            <w:r>
              <w:t>Low order</w:t>
            </w:r>
            <w:r w:rsidR="005A5D0D">
              <w:t xml:space="preserve"> acute</w:t>
            </w:r>
            <w:r>
              <w:t xml:space="preserve"> toxicity noted</w:t>
            </w:r>
            <w:r w:rsidR="009A5ECD">
              <w:t xml:space="preserve">: </w:t>
            </w:r>
          </w:p>
          <w:p w14:paraId="1441D4D7" w14:textId="77777777" w:rsidR="009A5ECD" w:rsidRDefault="00E92656" w:rsidP="009A5ECD">
            <w:pPr>
              <w:pStyle w:val="ListBullet"/>
              <w:numPr>
                <w:ilvl w:val="0"/>
                <w:numId w:val="4"/>
              </w:numPr>
            </w:pPr>
            <w:r>
              <w:t>LD</w:t>
            </w:r>
            <w:r w:rsidRPr="00E92656">
              <w:rPr>
                <w:vertAlign w:val="subscript"/>
              </w:rPr>
              <w:t>50</w:t>
            </w:r>
            <w:r w:rsidR="009A5ECD">
              <w:t>:</w:t>
            </w:r>
            <w:r>
              <w:t xml:space="preserve"> 3</w:t>
            </w:r>
            <w:r w:rsidR="002C349B">
              <w:t>,</w:t>
            </w:r>
            <w:r>
              <w:t xml:space="preserve">163 mg/kg (mice, oral) </w:t>
            </w:r>
          </w:p>
          <w:p w14:paraId="3C8EEDDC" w14:textId="77777777" w:rsidR="00E92656" w:rsidRDefault="00E92656" w:rsidP="009A5ECD">
            <w:pPr>
              <w:pStyle w:val="ListBullet"/>
              <w:numPr>
                <w:ilvl w:val="0"/>
                <w:numId w:val="4"/>
              </w:numPr>
            </w:pPr>
            <w:r>
              <w:t>LD</w:t>
            </w:r>
            <w:r w:rsidRPr="00E92656">
              <w:rPr>
                <w:vertAlign w:val="subscript"/>
              </w:rPr>
              <w:t>50</w:t>
            </w:r>
            <w:r w:rsidR="009A5ECD">
              <w:t>:</w:t>
            </w:r>
            <w:r>
              <w:t xml:space="preserve"> 1</w:t>
            </w:r>
            <w:r w:rsidR="002C349B">
              <w:t>,</w:t>
            </w:r>
            <w:r>
              <w:t>868 mg/kg (mice, intraperitoneal)</w:t>
            </w:r>
          </w:p>
          <w:p w14:paraId="5247DBC6" w14:textId="77777777" w:rsidR="00E92656" w:rsidRDefault="009A5ECD" w:rsidP="00B33B2B">
            <w:pPr>
              <w:pStyle w:val="ListBullet"/>
              <w:ind w:firstLine="0"/>
            </w:pPr>
            <w:r>
              <w:t xml:space="preserve">Caused </w:t>
            </w:r>
            <w:r w:rsidR="00E92656">
              <w:t>conjunctivitis and skin erythema in rabbits (</w:t>
            </w:r>
            <w:r w:rsidR="005A5D0D">
              <w:t xml:space="preserve">ocular instillation and </w:t>
            </w:r>
            <w:r w:rsidR="00E92656">
              <w:t>topical application</w:t>
            </w:r>
            <w:r w:rsidR="005A5D0D">
              <w:t xml:space="preserve"> respectively</w:t>
            </w:r>
            <w:r w:rsidR="00E92656">
              <w:t>)</w:t>
            </w:r>
            <w:r w:rsidR="008C2B74">
              <w:t>.</w:t>
            </w:r>
          </w:p>
          <w:p w14:paraId="29C72661" w14:textId="77777777" w:rsidR="005A5D0D" w:rsidRPr="00DA352E" w:rsidRDefault="005A5D0D" w:rsidP="00072A28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10B72B1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1780D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B6109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64CEC">
                  <w:t>Not assigned</w:t>
                </w:r>
              </w:sdtContent>
            </w:sdt>
          </w:p>
        </w:tc>
      </w:tr>
      <w:tr w:rsidR="00C978F0" w:rsidRPr="00DA352E" w14:paraId="1C1C831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FD3A3E" w14:textId="77777777" w:rsidR="00C978F0" w:rsidRDefault="00CE690F" w:rsidP="003365A5">
            <w:pPr>
              <w:pStyle w:val="Tabletextprimarysource"/>
            </w:pPr>
            <w:r>
              <w:t>Insufficient data to establish a value.</w:t>
            </w:r>
          </w:p>
          <w:p w14:paraId="56B04665" w14:textId="77777777" w:rsidR="00CE690F" w:rsidRDefault="00CE690F" w:rsidP="003365A5">
            <w:pPr>
              <w:pStyle w:val="Tabletextprimarysource"/>
            </w:pPr>
            <w:r>
              <w:t xml:space="preserve">No NOAEL able to be determined from animal data available. </w:t>
            </w:r>
          </w:p>
          <w:p w14:paraId="438983C8" w14:textId="77777777" w:rsidR="00CE690F" w:rsidRDefault="00CE690F" w:rsidP="00CE690F">
            <w:pPr>
              <w:pStyle w:val="Tabletextprimarysource"/>
            </w:pPr>
            <w:r>
              <w:t>Summary of data:</w:t>
            </w:r>
          </w:p>
          <w:p w14:paraId="0D916980" w14:textId="77777777" w:rsidR="00CE690F" w:rsidRDefault="00CE690F" w:rsidP="00CE690F">
            <w:pPr>
              <w:pStyle w:val="Tabletextprimarysource"/>
            </w:pPr>
            <w:r>
              <w:t>Animal data:</w:t>
            </w:r>
          </w:p>
          <w:p w14:paraId="1E88FED0" w14:textId="77777777" w:rsidR="00CE690F" w:rsidRDefault="00EE26D3" w:rsidP="00EE26D3">
            <w:pPr>
              <w:pStyle w:val="Tabletextprimarysource"/>
              <w:numPr>
                <w:ilvl w:val="0"/>
                <w:numId w:val="5"/>
              </w:numPr>
            </w:pPr>
            <w:r>
              <w:t>I</w:t>
            </w:r>
            <w:r w:rsidR="00740F5A">
              <w:t>ncreased urinary creatinine and volume effects from prolonged inhalation in rats (</w:t>
            </w:r>
            <w:r w:rsidR="00B33B2B">
              <w:t>77 </w:t>
            </w:r>
            <w:r w:rsidR="00740F5A">
              <w:t>mg/m</w:t>
            </w:r>
            <w:r w:rsidR="00740F5A">
              <w:rPr>
                <w:vertAlign w:val="superscript"/>
              </w:rPr>
              <w:t xml:space="preserve">3 </w:t>
            </w:r>
            <w:r w:rsidR="00740F5A">
              <w:t xml:space="preserve">for 24 </w:t>
            </w:r>
            <w:proofErr w:type="spellStart"/>
            <w:r w:rsidR="009A5ECD">
              <w:t>wk</w:t>
            </w:r>
            <w:proofErr w:type="spellEnd"/>
            <w:r w:rsidR="00740F5A">
              <w:t>)</w:t>
            </w:r>
            <w:r w:rsidR="008C2B74">
              <w:t>.</w:t>
            </w:r>
          </w:p>
          <w:p w14:paraId="08A42498" w14:textId="77777777" w:rsidR="000A30DC" w:rsidRPr="00DA352E" w:rsidRDefault="000A30DC" w:rsidP="00B33B2B">
            <w:pPr>
              <w:pStyle w:val="Tabletextprimarysource"/>
            </w:pPr>
          </w:p>
        </w:tc>
      </w:tr>
      <w:tr w:rsidR="00C978F0" w:rsidRPr="00DA352E" w14:paraId="29C5E39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CDD886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52C3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52C35">
                  <w:t>NA</w:t>
                </w:r>
                <w:proofErr w:type="spellEnd"/>
              </w:sdtContent>
            </w:sdt>
          </w:p>
        </w:tc>
      </w:tr>
      <w:tr w:rsidR="00C978F0" w:rsidRPr="00DA352E" w14:paraId="6CEC05D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B885A6" w14:textId="77777777" w:rsidR="00C978F0" w:rsidRPr="00DA352E" w:rsidRDefault="00952C35" w:rsidP="003365A5">
            <w:pPr>
              <w:pStyle w:val="Tabletextprimarysource"/>
            </w:pPr>
            <w:r>
              <w:t>No report</w:t>
            </w:r>
            <w:r w:rsidR="00B33B2B">
              <w:t>.</w:t>
            </w:r>
          </w:p>
        </w:tc>
      </w:tr>
      <w:tr w:rsidR="00DA352E" w:rsidRPr="00DA352E" w14:paraId="13773FC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A8454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52C3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52C35">
                  <w:t>NA</w:t>
                </w:r>
                <w:proofErr w:type="spellEnd"/>
              </w:sdtContent>
            </w:sdt>
          </w:p>
        </w:tc>
      </w:tr>
      <w:tr w:rsidR="00DA352E" w:rsidRPr="00DA352E" w14:paraId="0C4FF99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D5FCCC" w14:textId="77777777" w:rsidR="00DA352E" w:rsidRPr="00DA352E" w:rsidRDefault="00952C35" w:rsidP="003365A5">
            <w:pPr>
              <w:pStyle w:val="Tabletextprimarysource"/>
            </w:pPr>
            <w:r>
              <w:t>No report</w:t>
            </w:r>
            <w:r w:rsidR="00B33B2B">
              <w:t>.</w:t>
            </w:r>
          </w:p>
        </w:tc>
      </w:tr>
      <w:tr w:rsidR="00DA352E" w:rsidRPr="00DA352E" w14:paraId="4206BB4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27341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5526C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5526C">
                  <w:t>TWA: 10 mg/m</w:t>
                </w:r>
                <w:r w:rsidR="0055526C" w:rsidRPr="0055526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50C00F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4ACFE3" w14:textId="77777777" w:rsidR="00740F5A" w:rsidRDefault="008B22CD" w:rsidP="003365A5">
            <w:pPr>
              <w:pStyle w:val="Tabletextprimarysource"/>
            </w:pPr>
            <w:r>
              <w:t>A health based recommended occupational exposure limit (HBROEL) review identifie</w:t>
            </w:r>
            <w:r w:rsidR="00D503B5">
              <w:t>d</w:t>
            </w:r>
            <w:r>
              <w:t xml:space="preserve"> the </w:t>
            </w:r>
            <w:proofErr w:type="spellStart"/>
            <w:r w:rsidR="001E0BA5">
              <w:t>Garabrant</w:t>
            </w:r>
            <w:proofErr w:type="spellEnd"/>
            <w:r w:rsidR="001E0BA5" w:rsidRPr="001E0BA5">
              <w:rPr>
                <w:i/>
              </w:rPr>
              <w:t xml:space="preserve"> et al</w:t>
            </w:r>
            <w:r w:rsidR="001E0BA5">
              <w:t xml:space="preserve"> (1984) worker study </w:t>
            </w:r>
            <w:r>
              <w:t>as a base for deriving a revised exposure limit, but states the effects identified “</w:t>
            </w:r>
            <w:r w:rsidR="001E0BA5">
              <w:t xml:space="preserve">cannot be ascribed to </w:t>
            </w:r>
            <w:proofErr w:type="spellStart"/>
            <w:r w:rsidR="001E0BA5">
              <w:t>diboron</w:t>
            </w:r>
            <w:proofErr w:type="spellEnd"/>
            <w:r w:rsidR="001E0BA5">
              <w:t xml:space="preserve"> trioxide exposures alone</w:t>
            </w:r>
            <w:r>
              <w:t>”</w:t>
            </w:r>
            <w:r w:rsidR="001E0BA5">
              <w:t xml:space="preserve"> with </w:t>
            </w:r>
            <w:r w:rsidR="00101F3B">
              <w:t xml:space="preserve">the </w:t>
            </w:r>
            <w:r w:rsidR="001E0BA5">
              <w:t>contribution to total dust concentrations unknown.</w:t>
            </w:r>
          </w:p>
          <w:p w14:paraId="2C15E313" w14:textId="159E9A5B" w:rsidR="001E0BA5" w:rsidRDefault="00B33B2B" w:rsidP="003365A5">
            <w:pPr>
              <w:pStyle w:val="Tabletextprimarysource"/>
            </w:pPr>
            <w:r>
              <w:t xml:space="preserve">TWA </w:t>
            </w:r>
            <w:r w:rsidR="009739C5">
              <w:t xml:space="preserve">of </w:t>
            </w:r>
            <w:r w:rsidR="008B22CD">
              <w:t>1 mg/m</w:t>
            </w:r>
            <w:r w:rsidR="008B22CD" w:rsidRPr="008B22CD">
              <w:rPr>
                <w:vertAlign w:val="superscript"/>
              </w:rPr>
              <w:t>3</w:t>
            </w:r>
            <w:r>
              <w:t xml:space="preserve"> </w:t>
            </w:r>
            <w:r w:rsidR="008B22CD">
              <w:t xml:space="preserve">and </w:t>
            </w:r>
            <w:r>
              <w:t>STEL of</w:t>
            </w:r>
            <w:r w:rsidR="008B22CD">
              <w:t xml:space="preserve"> 3</w:t>
            </w:r>
            <w:r w:rsidR="002C349B">
              <w:t xml:space="preserve"> </w:t>
            </w:r>
            <w:r w:rsidR="008B22CD">
              <w:t>mg/m</w:t>
            </w:r>
            <w:r w:rsidR="008B22CD" w:rsidRPr="008B22CD">
              <w:rPr>
                <w:vertAlign w:val="superscript"/>
              </w:rPr>
              <w:t>3</w:t>
            </w:r>
            <w:r w:rsidR="009739C5">
              <w:t xml:space="preserve"> for inhalable dust recommended based on an assessment factor of 4 applied with no available NOAEL and the uncertainty of the conclusions from the </w:t>
            </w:r>
            <w:proofErr w:type="spellStart"/>
            <w:r w:rsidR="009739C5">
              <w:t>Garabrant</w:t>
            </w:r>
            <w:proofErr w:type="spellEnd"/>
            <w:r w:rsidR="009739C5" w:rsidRPr="001E0BA5">
              <w:rPr>
                <w:i/>
              </w:rPr>
              <w:t xml:space="preserve"> et al</w:t>
            </w:r>
            <w:r w:rsidR="009739C5" w:rsidRPr="009739C5">
              <w:t xml:space="preserve"> study</w:t>
            </w:r>
            <w:r w:rsidR="008B22CD">
              <w:t>.</w:t>
            </w:r>
            <w:r w:rsidR="00F57289">
              <w:t xml:space="preserve"> However, there is limited evidence to support these recommendations.</w:t>
            </w:r>
          </w:p>
          <w:p w14:paraId="5EB51ECD" w14:textId="77777777" w:rsidR="009739C5" w:rsidRDefault="009739C5" w:rsidP="009739C5">
            <w:pPr>
              <w:pStyle w:val="Tabletextprimarysource"/>
            </w:pPr>
            <w:r>
              <w:t>No evidence of mutagenicity or genotoxicity studies.</w:t>
            </w:r>
          </w:p>
          <w:p w14:paraId="656B8293" w14:textId="77777777" w:rsidR="009739C5" w:rsidRDefault="009739C5" w:rsidP="009739C5">
            <w:pPr>
              <w:pStyle w:val="Tabletextprimarysource"/>
            </w:pPr>
            <w:r>
              <w:t>No evidence of reproductive toxicity studies.</w:t>
            </w:r>
          </w:p>
          <w:p w14:paraId="687D3504" w14:textId="77777777" w:rsidR="00740F5A" w:rsidRDefault="009739C5" w:rsidP="003365A5">
            <w:pPr>
              <w:pStyle w:val="Tabletextprimarysource"/>
            </w:pPr>
            <w:r>
              <w:t>Boron oxide (</w:t>
            </w:r>
            <w:proofErr w:type="spellStart"/>
            <w:r>
              <w:t>d</w:t>
            </w:r>
            <w:r w:rsidRPr="00740F5A">
              <w:t>iboron</w:t>
            </w:r>
            <w:proofErr w:type="spellEnd"/>
            <w:r w:rsidRPr="00740F5A">
              <w:t xml:space="preserve"> trioxide</w:t>
            </w:r>
            <w:r>
              <w:t>)</w:t>
            </w:r>
            <w:r w:rsidRPr="00740F5A">
              <w:t xml:space="preserve"> </w:t>
            </w:r>
            <w:r>
              <w:t xml:space="preserve">noted to </w:t>
            </w:r>
            <w:r w:rsidRPr="00740F5A">
              <w:t>react with water to form boric acid</w:t>
            </w:r>
            <w:r>
              <w:t xml:space="preserve"> which is absorbed through gastrointestinal tract and open wounds.</w:t>
            </w:r>
          </w:p>
          <w:p w14:paraId="2667BEB6" w14:textId="77777777" w:rsidR="00AD3DCE" w:rsidRPr="00DA352E" w:rsidRDefault="00AD3DCE" w:rsidP="003365A5">
            <w:pPr>
              <w:pStyle w:val="Tabletextprimarysource"/>
            </w:pPr>
          </w:p>
        </w:tc>
      </w:tr>
    </w:tbl>
    <w:p w14:paraId="688CF99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034EE541" w14:textId="77777777" w:rsidR="007E2A4B" w:rsidRDefault="001C771C">
      <w:r>
        <w:t>NIL</w:t>
      </w:r>
      <w:r w:rsidR="00B33B2B">
        <w:t>.</w:t>
      </w:r>
    </w:p>
    <w:bookmarkEnd w:id="0"/>
    <w:p w14:paraId="04BD9D3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E8A1D3A" w14:textId="77777777" w:rsidTr="00740F5A">
        <w:trPr>
          <w:trHeight w:val="454"/>
          <w:tblHeader/>
        </w:trPr>
        <w:tc>
          <w:tcPr>
            <w:tcW w:w="6597" w:type="dxa"/>
            <w:vAlign w:val="center"/>
          </w:tcPr>
          <w:p w14:paraId="7945466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1AC0008" w14:textId="77777777" w:rsidR="002E0D61" w:rsidRDefault="00740F5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21FE9B4" w14:textId="77777777" w:rsidTr="00740F5A">
        <w:trPr>
          <w:trHeight w:val="454"/>
        </w:trPr>
        <w:tc>
          <w:tcPr>
            <w:tcW w:w="6597" w:type="dxa"/>
            <w:vAlign w:val="center"/>
          </w:tcPr>
          <w:p w14:paraId="439030A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DA871BC" w14:textId="77777777" w:rsidR="008A36CF" w:rsidRDefault="00740F5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33B2B" w14:paraId="7F26ACD0" w14:textId="77777777" w:rsidTr="00BE321A">
        <w:trPr>
          <w:trHeight w:val="454"/>
        </w:trPr>
        <w:sdt>
          <w:sdtPr>
            <w:rPr>
              <w:b/>
            </w:rPr>
            <w:id w:val="1830936485"/>
            <w:placeholder>
              <w:docPart w:val="2CA2EC1409884FEEB253B53F8F1F9A4D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D555EE7" w14:textId="77777777" w:rsidR="00B33B2B" w:rsidRDefault="00B33B2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9C0B32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423AB2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0A5C84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301B90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D7F04C5" w14:textId="77777777" w:rsidTr="00812887">
        <w:trPr>
          <w:cantSplit/>
        </w:trPr>
        <w:tc>
          <w:tcPr>
            <w:tcW w:w="3227" w:type="dxa"/>
          </w:tcPr>
          <w:p w14:paraId="4769520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E7BC69B" w14:textId="77777777" w:rsidR="00687890" w:rsidRPr="00DD2F9B" w:rsidRDefault="00FE3C65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6416ED70" w14:textId="77777777" w:rsidTr="00812887">
        <w:trPr>
          <w:cantSplit/>
        </w:trPr>
        <w:tc>
          <w:tcPr>
            <w:tcW w:w="3227" w:type="dxa"/>
          </w:tcPr>
          <w:p w14:paraId="6CE6D8F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F1DC4E1" w14:textId="77777777" w:rsidR="007925F0" w:rsidRPr="00DD2F9B" w:rsidRDefault="00FE3C65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6D3CD41" w14:textId="77777777" w:rsidTr="00812887">
        <w:trPr>
          <w:cantSplit/>
        </w:trPr>
        <w:tc>
          <w:tcPr>
            <w:tcW w:w="3227" w:type="dxa"/>
          </w:tcPr>
          <w:p w14:paraId="5E9FCBB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356DFC8" w14:textId="77777777" w:rsidR="00AF483F" w:rsidRPr="00DD2F9B" w:rsidRDefault="00D958C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7FE28C7" w14:textId="77777777" w:rsidTr="00812887">
        <w:trPr>
          <w:cantSplit/>
        </w:trPr>
        <w:tc>
          <w:tcPr>
            <w:tcW w:w="3227" w:type="dxa"/>
          </w:tcPr>
          <w:p w14:paraId="2676090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945709E" w14:textId="77777777" w:rsidR="00687890" w:rsidRPr="00DD2F9B" w:rsidRDefault="00D958C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00A80A8" w14:textId="77777777" w:rsidTr="00812887">
        <w:trPr>
          <w:cantSplit/>
        </w:trPr>
        <w:tc>
          <w:tcPr>
            <w:tcW w:w="3227" w:type="dxa"/>
          </w:tcPr>
          <w:p w14:paraId="0C6F29C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FA31FDF" w14:textId="77777777" w:rsidR="00E41A26" w:rsidRPr="00DD2F9B" w:rsidRDefault="00DA3F9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4941F65" w14:textId="77777777" w:rsidTr="00812887">
        <w:trPr>
          <w:cantSplit/>
        </w:trPr>
        <w:tc>
          <w:tcPr>
            <w:tcW w:w="3227" w:type="dxa"/>
          </w:tcPr>
          <w:p w14:paraId="3DF6944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7A37389" w14:textId="77777777" w:rsidR="002E0D61" w:rsidRPr="00DD2F9B" w:rsidRDefault="00A2224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FB55DB5" w14:textId="77777777" w:rsidTr="00812887">
        <w:trPr>
          <w:cantSplit/>
        </w:trPr>
        <w:tc>
          <w:tcPr>
            <w:tcW w:w="3227" w:type="dxa"/>
          </w:tcPr>
          <w:p w14:paraId="11852A4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CB2BACF" w14:textId="77777777" w:rsidR="002E0D61" w:rsidRPr="00DD2F9B" w:rsidRDefault="00A2224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55D6C7B" w14:textId="77777777" w:rsidTr="00812887">
        <w:trPr>
          <w:cantSplit/>
        </w:trPr>
        <w:tc>
          <w:tcPr>
            <w:tcW w:w="3227" w:type="dxa"/>
          </w:tcPr>
          <w:p w14:paraId="5BD8BFA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53DF7F0" w14:textId="77777777" w:rsidR="002E0D61" w:rsidRPr="00DD2F9B" w:rsidRDefault="00A2224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7AB8A5F" w14:textId="77777777" w:rsidTr="00812887">
        <w:trPr>
          <w:cantSplit/>
        </w:trPr>
        <w:tc>
          <w:tcPr>
            <w:tcW w:w="3227" w:type="dxa"/>
          </w:tcPr>
          <w:p w14:paraId="7C1790A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F158567" w14:textId="77777777" w:rsidR="002E0D61" w:rsidRPr="00DD2F9B" w:rsidRDefault="00A2224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E3E63E6" w14:textId="77777777" w:rsidTr="00812887">
        <w:trPr>
          <w:cantSplit/>
        </w:trPr>
        <w:tc>
          <w:tcPr>
            <w:tcW w:w="3227" w:type="dxa"/>
          </w:tcPr>
          <w:p w14:paraId="3AE8431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B61B3DF" w14:textId="77777777" w:rsidR="00386093" w:rsidRPr="00DD2F9B" w:rsidRDefault="00BB604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80877D2" w14:textId="77777777" w:rsidTr="00812887">
        <w:trPr>
          <w:cantSplit/>
        </w:trPr>
        <w:tc>
          <w:tcPr>
            <w:tcW w:w="3227" w:type="dxa"/>
          </w:tcPr>
          <w:p w14:paraId="6A8B725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2AED405" w14:textId="77777777" w:rsidR="00386093" w:rsidRPr="00DD2F9B" w:rsidRDefault="00BB604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7E9690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06E91F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D29DEC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CE375C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1ED6CF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A538A4D" w14:textId="77777777" w:rsidR="00932DCE" w:rsidRPr="004C23F4" w:rsidRDefault="009739C5" w:rsidP="00F9496B">
            <w:pPr>
              <w:pStyle w:val="Tablefont"/>
            </w:pPr>
            <w:r w:rsidRPr="009739C5">
              <w:t>Insufficient data to assign a skin notation</w:t>
            </w:r>
            <w:r w:rsidR="00B33B2B">
              <w:t>.</w:t>
            </w:r>
          </w:p>
        </w:tc>
      </w:tr>
    </w:tbl>
    <w:bookmarkEnd w:id="3"/>
    <w:p w14:paraId="5C78F92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D7DEF0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7FBD97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3D35559" w14:textId="77777777" w:rsidR="00EB3D1B" w:rsidRDefault="00A2224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346D1A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A29675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E4E64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E6314FF" w14:textId="77777777" w:rsidR="001B79E5" w:rsidRDefault="004104C9" w:rsidP="001B79E5">
                <w:pPr>
                  <w:pStyle w:val="Tablefont"/>
                </w:pPr>
                <w:r>
                  <w:t>69.64</w:t>
                </w:r>
              </w:p>
            </w:tc>
          </w:sdtContent>
        </w:sdt>
      </w:tr>
      <w:tr w:rsidR="00A31D99" w:rsidRPr="004C23F4" w14:paraId="48EE8EF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16EFD7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9FF0EF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8FB3BE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2EFAD9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FE2559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0C47130" w14:textId="77777777" w:rsidTr="00EA6243">
        <w:trPr>
          <w:cantSplit/>
        </w:trPr>
        <w:tc>
          <w:tcPr>
            <w:tcW w:w="4077" w:type="dxa"/>
            <w:vAlign w:val="center"/>
          </w:tcPr>
          <w:p w14:paraId="0935216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64F06C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768A71E" w14:textId="77777777" w:rsidTr="00EA6243">
        <w:trPr>
          <w:cantSplit/>
        </w:trPr>
        <w:tc>
          <w:tcPr>
            <w:tcW w:w="4077" w:type="dxa"/>
            <w:vAlign w:val="center"/>
          </w:tcPr>
          <w:p w14:paraId="7B37174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B85CF2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28E7D3B" w14:textId="77777777" w:rsidTr="00EA6243">
        <w:trPr>
          <w:cantSplit/>
        </w:trPr>
        <w:tc>
          <w:tcPr>
            <w:tcW w:w="4077" w:type="dxa"/>
            <w:vAlign w:val="center"/>
          </w:tcPr>
          <w:p w14:paraId="74DFFA3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F8F2BC1" w14:textId="77777777" w:rsidR="00E06F40" w:rsidRPr="00A006A0" w:rsidRDefault="009F68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F670C6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D46595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F53F90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385562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53D73E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EDDB27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A14A65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1933B4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8560A00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7CAA1D5" w14:textId="77777777" w:rsidR="00151392" w:rsidRPr="00351FE0" w:rsidRDefault="00151392" w:rsidP="00151392">
      <w:r>
        <w:rPr>
          <w:rFonts w:cs="Arial"/>
          <w:color w:val="000000"/>
          <w:szCs w:val="20"/>
        </w:rPr>
        <w:t xml:space="preserve">Deutsche </w:t>
      </w:r>
      <w:proofErr w:type="spellStart"/>
      <w:r>
        <w:rPr>
          <w:rFonts w:cs="Arial"/>
          <w:color w:val="000000"/>
          <w:szCs w:val="20"/>
        </w:rPr>
        <w:t>Forschungsgemeinschaft</w:t>
      </w:r>
      <w:proofErr w:type="spellEnd"/>
      <w:r>
        <w:rPr>
          <w:rFonts w:cs="Arial"/>
          <w:color w:val="000000"/>
          <w:szCs w:val="20"/>
        </w:rPr>
        <w:t xml:space="preserve"> (DFG) (</w:t>
      </w:r>
      <w:r w:rsidRPr="00151392">
        <w:rPr>
          <w:rFonts w:cs="Arial"/>
          <w:szCs w:val="20"/>
        </w:rPr>
        <w:t>199</w:t>
      </w:r>
      <w:r>
        <w:rPr>
          <w:rFonts w:cs="Arial"/>
          <w:szCs w:val="20"/>
        </w:rPr>
        <w:t>9</w:t>
      </w:r>
      <w:r w:rsidRPr="00151392">
        <w:rPr>
          <w:rFonts w:cs="Arial"/>
          <w:szCs w:val="20"/>
        </w:rPr>
        <w:t xml:space="preserve">) Boron oxide </w:t>
      </w:r>
      <w:r>
        <w:rPr>
          <w:rFonts w:ascii="ArialMT" w:eastAsia="ArialMT" w:cs="ArialMT" w:hint="eastAsia"/>
          <w:color w:val="000000"/>
          <w:szCs w:val="20"/>
        </w:rPr>
        <w:t>–</w:t>
      </w:r>
      <w:r>
        <w:rPr>
          <w:rFonts w:ascii="ArialMT" w:eastAsia="ArialMT" w:cs="ArialMT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>MAK value documentation.</w:t>
      </w:r>
    </w:p>
    <w:p w14:paraId="53AF175C" w14:textId="77777777" w:rsidR="009B388C" w:rsidRDefault="009B388C" w:rsidP="00084859">
      <w:r w:rsidRPr="002022B6">
        <w:t>Health Council of the Netherlands</w:t>
      </w:r>
      <w:r>
        <w:t xml:space="preserve"> (HCOTN) (2005) </w:t>
      </w:r>
      <w:proofErr w:type="spellStart"/>
      <w:r>
        <w:t>Diboron</w:t>
      </w:r>
      <w:proofErr w:type="spellEnd"/>
      <w:r>
        <w:t xml:space="preserve"> trioxide</w:t>
      </w:r>
      <w:r w:rsidRPr="005F7416">
        <w:t xml:space="preserve">. Health-based </w:t>
      </w:r>
      <w:r>
        <w:t>reassessment of administrative occupational exposures limits</w:t>
      </w:r>
      <w:r w:rsidRPr="005F7416">
        <w:t xml:space="preserve">. The Hague: Health Council of the Netherlands; publication no. </w:t>
      </w:r>
      <w:r>
        <w:t>2000/15OSH/145.</w:t>
      </w:r>
    </w:p>
    <w:p w14:paraId="7F1FF9FD" w14:textId="77777777" w:rsidR="00151392" w:rsidRPr="00351FE0" w:rsidRDefault="009A5ECD">
      <w:r>
        <w:t xml:space="preserve">US National Institute for Occupational Safety and Health (NIOSH) (1994) Immediately dangerous to life or health concentrations – boron oxide. </w:t>
      </w:r>
    </w:p>
    <w:sectPr w:rsidR="0015139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DB243" w14:textId="77777777" w:rsidR="00CE50D5" w:rsidRDefault="00CE50D5" w:rsidP="00F43AD5">
      <w:pPr>
        <w:spacing w:after="0" w:line="240" w:lineRule="auto"/>
      </w:pPr>
      <w:r>
        <w:separator/>
      </w:r>
    </w:p>
  </w:endnote>
  <w:endnote w:type="continuationSeparator" w:id="0">
    <w:p w14:paraId="415907FC" w14:textId="77777777" w:rsidR="00CE50D5" w:rsidRDefault="00CE50D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2FE533D" w14:textId="77777777" w:rsidR="008A36CF" w:rsidRDefault="00767B6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Boron oxide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1303-86-2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1CC24DA" w14:textId="6E1B7CB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713E7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B89CA" w14:textId="77777777" w:rsidR="00CE50D5" w:rsidRDefault="00CE50D5" w:rsidP="00F43AD5">
      <w:pPr>
        <w:spacing w:after="0" w:line="240" w:lineRule="auto"/>
      </w:pPr>
      <w:r>
        <w:separator/>
      </w:r>
    </w:p>
  </w:footnote>
  <w:footnote w:type="continuationSeparator" w:id="0">
    <w:p w14:paraId="14976016" w14:textId="77777777" w:rsidR="00CE50D5" w:rsidRDefault="00CE50D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E09A0" w14:textId="7E576BA9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6001A15" wp14:editId="2CF57537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1C617" w14:textId="031ADAA5" w:rsidR="008A36CF" w:rsidRPr="007A07EF" w:rsidRDefault="008A36CF" w:rsidP="007A07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D10CD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692BEC"/>
    <w:multiLevelType w:val="hybridMultilevel"/>
    <w:tmpl w:val="8264D7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052C3"/>
    <w:multiLevelType w:val="hybridMultilevel"/>
    <w:tmpl w:val="B1EE8B9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96921084">
    <w:abstractNumId w:val="0"/>
  </w:num>
  <w:num w:numId="2" w16cid:durableId="319384500">
    <w:abstractNumId w:val="0"/>
  </w:num>
  <w:num w:numId="3" w16cid:durableId="2091535998">
    <w:abstractNumId w:val="0"/>
  </w:num>
  <w:num w:numId="4" w16cid:durableId="363215642">
    <w:abstractNumId w:val="2"/>
  </w:num>
  <w:num w:numId="5" w16cid:durableId="1440223414">
    <w:abstractNumId w:val="1"/>
  </w:num>
  <w:num w:numId="6" w16cid:durableId="1145438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2A28"/>
    <w:rsid w:val="000803E1"/>
    <w:rsid w:val="00084513"/>
    <w:rsid w:val="00084859"/>
    <w:rsid w:val="00092D94"/>
    <w:rsid w:val="000A30DC"/>
    <w:rsid w:val="000A72DA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343D"/>
    <w:rsid w:val="000E5A54"/>
    <w:rsid w:val="000E63D3"/>
    <w:rsid w:val="000E67CF"/>
    <w:rsid w:val="00101F3B"/>
    <w:rsid w:val="0010461E"/>
    <w:rsid w:val="00106FAA"/>
    <w:rsid w:val="00113443"/>
    <w:rsid w:val="001269A7"/>
    <w:rsid w:val="00131092"/>
    <w:rsid w:val="00140E6A"/>
    <w:rsid w:val="00146545"/>
    <w:rsid w:val="00146B75"/>
    <w:rsid w:val="00150271"/>
    <w:rsid w:val="00151392"/>
    <w:rsid w:val="0015266D"/>
    <w:rsid w:val="0015288A"/>
    <w:rsid w:val="00160F47"/>
    <w:rsid w:val="00161668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771C"/>
    <w:rsid w:val="001D0273"/>
    <w:rsid w:val="001D56F0"/>
    <w:rsid w:val="001D663B"/>
    <w:rsid w:val="001D7B41"/>
    <w:rsid w:val="001E0BA5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13E7"/>
    <w:rsid w:val="00276494"/>
    <w:rsid w:val="00277B0C"/>
    <w:rsid w:val="00295CC1"/>
    <w:rsid w:val="002B1A2C"/>
    <w:rsid w:val="002C349B"/>
    <w:rsid w:val="002C34F2"/>
    <w:rsid w:val="002C58FF"/>
    <w:rsid w:val="002C7AFE"/>
    <w:rsid w:val="002D05D2"/>
    <w:rsid w:val="002E0D61"/>
    <w:rsid w:val="002E4C7B"/>
    <w:rsid w:val="002F2452"/>
    <w:rsid w:val="0030740C"/>
    <w:rsid w:val="00312709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253C"/>
    <w:rsid w:val="00386093"/>
    <w:rsid w:val="0038614A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04C9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4F00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8FF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526C"/>
    <w:rsid w:val="005677AE"/>
    <w:rsid w:val="00581055"/>
    <w:rsid w:val="00591E38"/>
    <w:rsid w:val="005A19C5"/>
    <w:rsid w:val="005A3034"/>
    <w:rsid w:val="005A462D"/>
    <w:rsid w:val="005A5D0D"/>
    <w:rsid w:val="005B253B"/>
    <w:rsid w:val="005B771D"/>
    <w:rsid w:val="005C5D16"/>
    <w:rsid w:val="005D3193"/>
    <w:rsid w:val="005D4A6E"/>
    <w:rsid w:val="005E2D26"/>
    <w:rsid w:val="005E6979"/>
    <w:rsid w:val="005E75CB"/>
    <w:rsid w:val="006013C1"/>
    <w:rsid w:val="0060669E"/>
    <w:rsid w:val="00610F2E"/>
    <w:rsid w:val="00611399"/>
    <w:rsid w:val="00612429"/>
    <w:rsid w:val="00624C4E"/>
    <w:rsid w:val="00625200"/>
    <w:rsid w:val="00630AC6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6A25"/>
    <w:rsid w:val="006B160A"/>
    <w:rsid w:val="006B4E6C"/>
    <w:rsid w:val="006B50B6"/>
    <w:rsid w:val="006B6109"/>
    <w:rsid w:val="006D79EA"/>
    <w:rsid w:val="006E5D05"/>
    <w:rsid w:val="006E7CCA"/>
    <w:rsid w:val="00701053"/>
    <w:rsid w:val="00701507"/>
    <w:rsid w:val="00714021"/>
    <w:rsid w:val="00716A0F"/>
    <w:rsid w:val="00717D45"/>
    <w:rsid w:val="007208F7"/>
    <w:rsid w:val="007218AF"/>
    <w:rsid w:val="0073478A"/>
    <w:rsid w:val="007365D1"/>
    <w:rsid w:val="00740E0E"/>
    <w:rsid w:val="00740F5A"/>
    <w:rsid w:val="00750212"/>
    <w:rsid w:val="00754779"/>
    <w:rsid w:val="0075716D"/>
    <w:rsid w:val="00764CEC"/>
    <w:rsid w:val="00765F14"/>
    <w:rsid w:val="00767B62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07EF"/>
    <w:rsid w:val="007A5060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2CEB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166E"/>
    <w:rsid w:val="0088798F"/>
    <w:rsid w:val="00887E4B"/>
    <w:rsid w:val="008915C8"/>
    <w:rsid w:val="008A36CF"/>
    <w:rsid w:val="008A3BC4"/>
    <w:rsid w:val="008B22CD"/>
    <w:rsid w:val="008B403C"/>
    <w:rsid w:val="008B7983"/>
    <w:rsid w:val="008C2511"/>
    <w:rsid w:val="008C2B74"/>
    <w:rsid w:val="008D026D"/>
    <w:rsid w:val="008D23AB"/>
    <w:rsid w:val="008D4B8B"/>
    <w:rsid w:val="008D5A78"/>
    <w:rsid w:val="008E7B64"/>
    <w:rsid w:val="008F4DE2"/>
    <w:rsid w:val="008F5DCD"/>
    <w:rsid w:val="00900951"/>
    <w:rsid w:val="009118A6"/>
    <w:rsid w:val="00916909"/>
    <w:rsid w:val="00916EC0"/>
    <w:rsid w:val="009174C0"/>
    <w:rsid w:val="00920467"/>
    <w:rsid w:val="00921DE7"/>
    <w:rsid w:val="00926CB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2C35"/>
    <w:rsid w:val="009578DD"/>
    <w:rsid w:val="00961124"/>
    <w:rsid w:val="009621B6"/>
    <w:rsid w:val="00963E8F"/>
    <w:rsid w:val="009739C5"/>
    <w:rsid w:val="00974F2D"/>
    <w:rsid w:val="00977524"/>
    <w:rsid w:val="00977E88"/>
    <w:rsid w:val="00984920"/>
    <w:rsid w:val="0099303A"/>
    <w:rsid w:val="009971C2"/>
    <w:rsid w:val="009A1254"/>
    <w:rsid w:val="009A5ECD"/>
    <w:rsid w:val="009B2FF2"/>
    <w:rsid w:val="009B380C"/>
    <w:rsid w:val="009B388C"/>
    <w:rsid w:val="009B4843"/>
    <w:rsid w:val="009B4EAF"/>
    <w:rsid w:val="009B6543"/>
    <w:rsid w:val="009C199D"/>
    <w:rsid w:val="009C24A5"/>
    <w:rsid w:val="009C278F"/>
    <w:rsid w:val="009C2B94"/>
    <w:rsid w:val="009C5550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6800"/>
    <w:rsid w:val="00A01D0C"/>
    <w:rsid w:val="00A0643F"/>
    <w:rsid w:val="00A067EE"/>
    <w:rsid w:val="00A10FCE"/>
    <w:rsid w:val="00A16D91"/>
    <w:rsid w:val="00A174CC"/>
    <w:rsid w:val="00A2073D"/>
    <w:rsid w:val="00A20751"/>
    <w:rsid w:val="00A22249"/>
    <w:rsid w:val="00A27E2D"/>
    <w:rsid w:val="00A31D99"/>
    <w:rsid w:val="00A357BA"/>
    <w:rsid w:val="00A35ADC"/>
    <w:rsid w:val="00A402A3"/>
    <w:rsid w:val="00A53681"/>
    <w:rsid w:val="00A6134C"/>
    <w:rsid w:val="00A619F6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3DCE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3B2B"/>
    <w:rsid w:val="00B379D7"/>
    <w:rsid w:val="00B40C60"/>
    <w:rsid w:val="00B41C51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4E9B"/>
    <w:rsid w:val="00BA529A"/>
    <w:rsid w:val="00BB6045"/>
    <w:rsid w:val="00BB612A"/>
    <w:rsid w:val="00BD499F"/>
    <w:rsid w:val="00BD56DE"/>
    <w:rsid w:val="00BF2406"/>
    <w:rsid w:val="00C06E43"/>
    <w:rsid w:val="00C16315"/>
    <w:rsid w:val="00C3091E"/>
    <w:rsid w:val="00C35BE2"/>
    <w:rsid w:val="00C40FF1"/>
    <w:rsid w:val="00C419E2"/>
    <w:rsid w:val="00C470C6"/>
    <w:rsid w:val="00C5020E"/>
    <w:rsid w:val="00C52AAE"/>
    <w:rsid w:val="00C57452"/>
    <w:rsid w:val="00C61EDF"/>
    <w:rsid w:val="00C6239D"/>
    <w:rsid w:val="00C65429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3D6C"/>
    <w:rsid w:val="00CE50D5"/>
    <w:rsid w:val="00CE5AD6"/>
    <w:rsid w:val="00CE617F"/>
    <w:rsid w:val="00CE690F"/>
    <w:rsid w:val="00CE78EF"/>
    <w:rsid w:val="00CF2716"/>
    <w:rsid w:val="00D03D2F"/>
    <w:rsid w:val="00D048F7"/>
    <w:rsid w:val="00D0517E"/>
    <w:rsid w:val="00D140FC"/>
    <w:rsid w:val="00D21D8C"/>
    <w:rsid w:val="00D23EA8"/>
    <w:rsid w:val="00D300FE"/>
    <w:rsid w:val="00D31357"/>
    <w:rsid w:val="00D33220"/>
    <w:rsid w:val="00D334D1"/>
    <w:rsid w:val="00D44C89"/>
    <w:rsid w:val="00D503B5"/>
    <w:rsid w:val="00D516CD"/>
    <w:rsid w:val="00D668E6"/>
    <w:rsid w:val="00D70670"/>
    <w:rsid w:val="00D74D80"/>
    <w:rsid w:val="00D76624"/>
    <w:rsid w:val="00D87570"/>
    <w:rsid w:val="00D91CB9"/>
    <w:rsid w:val="00D958C1"/>
    <w:rsid w:val="00D97989"/>
    <w:rsid w:val="00D97D8D"/>
    <w:rsid w:val="00DA352E"/>
    <w:rsid w:val="00DA3F9B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2A63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2656"/>
    <w:rsid w:val="00E928D5"/>
    <w:rsid w:val="00E949AF"/>
    <w:rsid w:val="00E96077"/>
    <w:rsid w:val="00EA0A06"/>
    <w:rsid w:val="00EA6243"/>
    <w:rsid w:val="00EA74AB"/>
    <w:rsid w:val="00EB3D1B"/>
    <w:rsid w:val="00ED1D89"/>
    <w:rsid w:val="00ED66BC"/>
    <w:rsid w:val="00EE26D3"/>
    <w:rsid w:val="00EF149F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5E0"/>
    <w:rsid w:val="00F236DF"/>
    <w:rsid w:val="00F43AD5"/>
    <w:rsid w:val="00F4402E"/>
    <w:rsid w:val="00F46E84"/>
    <w:rsid w:val="00F56DD0"/>
    <w:rsid w:val="00F57289"/>
    <w:rsid w:val="00F6491C"/>
    <w:rsid w:val="00F67BBB"/>
    <w:rsid w:val="00F82EC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3C65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98EAA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9265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3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9C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9C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9C5"/>
    <w:rPr>
      <w:b/>
      <w:bCs/>
      <w:szCs w:val="20"/>
    </w:rPr>
  </w:style>
  <w:style w:type="paragraph" w:styleId="Revision">
    <w:name w:val="Revision"/>
    <w:hidden/>
    <w:uiPriority w:val="99"/>
    <w:semiHidden/>
    <w:rsid w:val="005E2D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CA2EC1409884FEEB253B53F8F1F9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E1189-D8C6-4A86-83BC-DD803DB55A56}"/>
      </w:docPartPr>
      <w:docPartBody>
        <w:p w:rsidR="00D744AD" w:rsidRDefault="00B9670E" w:rsidP="00B9670E">
          <w:pPr>
            <w:pStyle w:val="2CA2EC1409884FEEB253B53F8F1F9A4D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55DD"/>
    <w:rsid w:val="00484F00"/>
    <w:rsid w:val="006979B4"/>
    <w:rsid w:val="007E6E78"/>
    <w:rsid w:val="008A25C3"/>
    <w:rsid w:val="00A6134C"/>
    <w:rsid w:val="00B9670E"/>
    <w:rsid w:val="00D21A9F"/>
    <w:rsid w:val="00D7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670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CA2EC1409884FEEB253B53F8F1F9A4D">
    <w:name w:val="2CA2EC1409884FEEB253B53F8F1F9A4D"/>
    <w:rsid w:val="00B967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FA2EEE-C66E-4D92-A3EA-41978C6FB3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ED668-67A6-41ED-AE15-C56619CD9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0509f21-ed56-4150-9955-96be669e5f2d"/>
    <ds:schemaRef ds:uri="http://schemas.microsoft.com/office/2006/metadata/properties"/>
    <ds:schemaRef ds:uri="http://purl.org/dc/dcmitype/"/>
    <ds:schemaRef ds:uri="http://schemas.microsoft.com/office/2006/documentManagement/types"/>
    <ds:schemaRef ds:uri="1c567317-0c4d-4a62-8516-c22afd1b5354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4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62</cp:revision>
  <cp:lastPrinted>2018-10-22T22:41:00Z</cp:lastPrinted>
  <dcterms:created xsi:type="dcterms:W3CDTF">2019-04-14T23:55:00Z</dcterms:created>
  <dcterms:modified xsi:type="dcterms:W3CDTF">2026-01-08T23:28:00Z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2025-12-17T05:39:54Z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33337bcf-4d65-4830-8d07-b9100be72b3e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