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7BA2596" w14:textId="77777777" w:rsidR="00BD499F" w:rsidRPr="004C23F4" w:rsidRDefault="001D0E3E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Borate c</w:t>
          </w:r>
          <w:r w:rsidR="003837F2">
            <w:rPr>
              <w:rFonts w:ascii="Arial" w:hAnsi="Arial" w:cs="Arial"/>
            </w:rPr>
            <w:t>ompounds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7"/>
        <w:gridCol w:w="5049"/>
      </w:tblGrid>
      <w:tr w:rsidR="00F43AD5" w:rsidRPr="004C23F4" w14:paraId="1515B4C2" w14:textId="77777777" w:rsidTr="00105C96">
        <w:trPr>
          <w:cantSplit/>
          <w:tblHeader/>
        </w:trPr>
        <w:tc>
          <w:tcPr>
            <w:tcW w:w="3977" w:type="dxa"/>
          </w:tcPr>
          <w:p w14:paraId="2B40A12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9" w:type="dxa"/>
          </w:tcPr>
          <w:p w14:paraId="6972BE03" w14:textId="77DF7DF8" w:rsidR="00F43AD5" w:rsidRDefault="00E61606" w:rsidP="00B76A41">
            <w:pPr>
              <w:pStyle w:val="Tablefont"/>
            </w:pPr>
            <w:r>
              <w:t>1330-43-4</w:t>
            </w:r>
            <w:r w:rsidR="001D0E3E">
              <w:tab/>
            </w:r>
            <w:r w:rsidR="00817F4C">
              <w:t>(</w:t>
            </w:r>
            <w:r w:rsidR="00F3538D">
              <w:t>sodium borate, anhydrous</w:t>
            </w:r>
            <w:r w:rsidR="00817F4C">
              <w:t>)</w:t>
            </w:r>
          </w:p>
          <w:p w14:paraId="71F0746B" w14:textId="28CAF439" w:rsidR="00817F4C" w:rsidRDefault="00817F4C" w:rsidP="00B76A41">
            <w:pPr>
              <w:pStyle w:val="Tablefont"/>
            </w:pPr>
            <w:r>
              <w:t>12179-04-3</w:t>
            </w:r>
            <w:r w:rsidR="001D0E3E">
              <w:tab/>
            </w:r>
            <w:r>
              <w:t>(</w:t>
            </w:r>
            <w:r w:rsidR="00F3538D">
              <w:t>sodium borate, pentahydrate</w:t>
            </w:r>
            <w:r>
              <w:t>)</w:t>
            </w:r>
          </w:p>
          <w:p w14:paraId="30AF2C53" w14:textId="23F464EC" w:rsidR="00817F4C" w:rsidRDefault="001D0E3E" w:rsidP="00B76A41">
            <w:pPr>
              <w:pStyle w:val="Tablefont"/>
            </w:pPr>
            <w:r>
              <w:t>1303-96-4</w:t>
            </w:r>
            <w:r>
              <w:tab/>
            </w:r>
            <w:r w:rsidR="00817F4C">
              <w:t>(</w:t>
            </w:r>
            <w:r w:rsidR="00F3538D">
              <w:t>sodium borate, decahydrate</w:t>
            </w:r>
            <w:r w:rsidR="00817F4C">
              <w:t>)</w:t>
            </w:r>
          </w:p>
          <w:p w14:paraId="4B4444F1" w14:textId="09C89D9A" w:rsidR="00817F4C" w:rsidRPr="00717D45" w:rsidRDefault="001D0E3E" w:rsidP="00B76A41">
            <w:pPr>
              <w:pStyle w:val="Tablefont"/>
            </w:pPr>
            <w:r>
              <w:t>10043-35-3</w:t>
            </w:r>
            <w:r>
              <w:tab/>
            </w:r>
            <w:r w:rsidR="00817F4C">
              <w:t>(</w:t>
            </w:r>
            <w:r w:rsidR="00F3538D">
              <w:t>boric acid</w:t>
            </w:r>
            <w:r w:rsidR="00817F4C">
              <w:t>)</w:t>
            </w:r>
          </w:p>
        </w:tc>
      </w:tr>
      <w:tr w:rsidR="00F43AD5" w:rsidRPr="004C23F4" w14:paraId="4A096034" w14:textId="77777777" w:rsidTr="00105C96">
        <w:trPr>
          <w:cantSplit/>
        </w:trPr>
        <w:tc>
          <w:tcPr>
            <w:tcW w:w="3977" w:type="dxa"/>
          </w:tcPr>
          <w:p w14:paraId="7CC43CD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9" w:type="dxa"/>
          </w:tcPr>
          <w:p w14:paraId="0F5EA6BA" w14:textId="77777777" w:rsidR="006701D3" w:rsidRDefault="006701D3" w:rsidP="00FC492C">
            <w:pPr>
              <w:pStyle w:val="Tablefont"/>
            </w:pPr>
            <w:r>
              <w:t xml:space="preserve">Sodium </w:t>
            </w:r>
            <w:r w:rsidR="001D0E3E">
              <w:t>b</w:t>
            </w:r>
            <w:r>
              <w:t xml:space="preserve">orate: </w:t>
            </w:r>
            <w:r w:rsidR="001D0E3E">
              <w:t>b</w:t>
            </w:r>
            <w:r w:rsidR="00911D11">
              <w:t>orax a</w:t>
            </w:r>
            <w:r w:rsidR="00911D11" w:rsidRPr="00911D11">
              <w:t>nhydrous</w:t>
            </w:r>
            <w:r w:rsidR="00911D11">
              <w:t>, d</w:t>
            </w:r>
            <w:r w:rsidR="00FC492C">
              <w:t>is</w:t>
            </w:r>
            <w:r w:rsidR="00911D11" w:rsidRPr="00911D11">
              <w:t>odium borate</w:t>
            </w:r>
            <w:r w:rsidR="00E41B2C">
              <w:t>,</w:t>
            </w:r>
            <w:r w:rsidR="00911D11" w:rsidRPr="00911D11">
              <w:t xml:space="preserve"> </w:t>
            </w:r>
            <w:r w:rsidR="001D0E3E">
              <w:t>s</w:t>
            </w:r>
            <w:r w:rsidR="00FC492C">
              <w:t>odium tetraborate decahydrate, sodium pyroborate, boron sodium oxide</w:t>
            </w:r>
          </w:p>
          <w:p w14:paraId="3D2EDE0D" w14:textId="77777777" w:rsidR="00817F4C" w:rsidRPr="00717D45" w:rsidRDefault="006701D3" w:rsidP="007C69F9">
            <w:pPr>
              <w:pStyle w:val="Tablefont"/>
            </w:pPr>
            <w:r>
              <w:t xml:space="preserve">Boric </w:t>
            </w:r>
            <w:r w:rsidR="001D0E3E">
              <w:t>a</w:t>
            </w:r>
            <w:r>
              <w:t xml:space="preserve">cid: </w:t>
            </w:r>
            <w:proofErr w:type="spellStart"/>
            <w:r w:rsidR="001D0E3E">
              <w:t>t</w:t>
            </w:r>
            <w:r w:rsidR="00911D11" w:rsidRPr="00911D11">
              <w:t>rihydrooxidoboron</w:t>
            </w:r>
            <w:proofErr w:type="spellEnd"/>
            <w:r w:rsidR="00911D11">
              <w:t xml:space="preserve">, </w:t>
            </w:r>
            <w:r w:rsidR="00FC492C">
              <w:t>b</w:t>
            </w:r>
            <w:r w:rsidR="00911D11" w:rsidRPr="00911D11">
              <w:t>oracic acid,</w:t>
            </w:r>
            <w:r w:rsidR="00911D11">
              <w:t xml:space="preserve"> </w:t>
            </w:r>
            <w:r w:rsidR="00E41B2C">
              <w:br/>
            </w:r>
            <w:r w:rsidR="001D0E3E">
              <w:t xml:space="preserve">boron </w:t>
            </w:r>
            <w:proofErr w:type="spellStart"/>
            <w:r w:rsidR="001D0E3E">
              <w:t>trihydroxide</w:t>
            </w:r>
            <w:proofErr w:type="spellEnd"/>
          </w:p>
        </w:tc>
      </w:tr>
      <w:tr w:rsidR="00F43AD5" w:rsidRPr="003B5CD5" w14:paraId="2134A8DC" w14:textId="77777777" w:rsidTr="00105C96">
        <w:trPr>
          <w:cantSplit/>
        </w:trPr>
        <w:tc>
          <w:tcPr>
            <w:tcW w:w="3977" w:type="dxa"/>
          </w:tcPr>
          <w:p w14:paraId="64BC8FA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9" w:type="dxa"/>
          </w:tcPr>
          <w:p w14:paraId="30E078BA" w14:textId="3AA5C0CC" w:rsidR="006701D3" w:rsidRPr="003B5CD5" w:rsidRDefault="006701D3" w:rsidP="006701D3">
            <w:pPr>
              <w:pStyle w:val="Tablefont"/>
              <w:rPr>
                <w:rFonts w:cs="Arial"/>
                <w:color w:val="222222"/>
                <w:szCs w:val="20"/>
                <w:shd w:val="clear" w:color="auto" w:fill="FFFFFF"/>
                <w:lang w:val="it-IT"/>
              </w:rPr>
            </w:pPr>
            <w:r w:rsidRPr="003B5CD5">
              <w:rPr>
                <w:rFonts w:cs="Arial"/>
                <w:color w:val="222222"/>
                <w:szCs w:val="20"/>
                <w:shd w:val="clear" w:color="auto" w:fill="FFFFFF"/>
                <w:lang w:val="it-IT"/>
              </w:rPr>
              <w:t>Na</w:t>
            </w:r>
            <w:r w:rsidRPr="003B5CD5">
              <w:rPr>
                <w:rFonts w:cs="Arial"/>
                <w:color w:val="222222"/>
                <w:szCs w:val="20"/>
                <w:shd w:val="clear" w:color="auto" w:fill="FFFFFF"/>
                <w:vertAlign w:val="subscript"/>
                <w:lang w:val="it-IT"/>
              </w:rPr>
              <w:t>2</w:t>
            </w:r>
            <w:r w:rsidRPr="003B5CD5">
              <w:rPr>
                <w:rFonts w:cs="Arial"/>
                <w:color w:val="222222"/>
                <w:szCs w:val="20"/>
                <w:shd w:val="clear" w:color="auto" w:fill="FFFFFF"/>
                <w:lang w:val="it-IT"/>
              </w:rPr>
              <w:t>B</w:t>
            </w:r>
            <w:r w:rsidRPr="003B5CD5">
              <w:rPr>
                <w:rFonts w:cs="Arial"/>
                <w:color w:val="222222"/>
                <w:szCs w:val="20"/>
                <w:shd w:val="clear" w:color="auto" w:fill="FFFFFF"/>
                <w:vertAlign w:val="subscript"/>
                <w:lang w:val="it-IT"/>
              </w:rPr>
              <w:t>4</w:t>
            </w:r>
            <w:r w:rsidRPr="003B5CD5">
              <w:rPr>
                <w:rFonts w:cs="Arial"/>
                <w:color w:val="222222"/>
                <w:szCs w:val="20"/>
                <w:shd w:val="clear" w:color="auto" w:fill="FFFFFF"/>
                <w:lang w:val="it-IT"/>
              </w:rPr>
              <w:t>O</w:t>
            </w:r>
            <w:r w:rsidRPr="003B5CD5">
              <w:rPr>
                <w:rFonts w:cs="Arial"/>
                <w:color w:val="222222"/>
                <w:szCs w:val="20"/>
                <w:shd w:val="clear" w:color="auto" w:fill="FFFFFF"/>
                <w:vertAlign w:val="subscript"/>
                <w:lang w:val="it-IT"/>
              </w:rPr>
              <w:t>7</w:t>
            </w:r>
            <w:r w:rsidRPr="003B5CD5">
              <w:rPr>
                <w:rFonts w:cs="Arial"/>
                <w:color w:val="222222"/>
                <w:szCs w:val="20"/>
                <w:shd w:val="clear" w:color="auto" w:fill="FFFFFF"/>
                <w:lang w:val="it-IT"/>
              </w:rPr>
              <w:t>.XH</w:t>
            </w:r>
            <w:r w:rsidRPr="003B5CD5">
              <w:rPr>
                <w:rFonts w:cs="Arial"/>
                <w:color w:val="222222"/>
                <w:szCs w:val="20"/>
                <w:shd w:val="clear" w:color="auto" w:fill="FFFFFF"/>
                <w:vertAlign w:val="subscript"/>
                <w:lang w:val="it-IT"/>
              </w:rPr>
              <w:t>2</w:t>
            </w:r>
            <w:r w:rsidRPr="003B5CD5">
              <w:rPr>
                <w:rFonts w:cs="Arial"/>
                <w:color w:val="222222"/>
                <w:szCs w:val="20"/>
                <w:shd w:val="clear" w:color="auto" w:fill="FFFFFF"/>
                <w:lang w:val="it-IT"/>
              </w:rPr>
              <w:t>O</w:t>
            </w:r>
            <w:r w:rsidR="001D0E3E" w:rsidRPr="003B5CD5">
              <w:rPr>
                <w:vertAlign w:val="subscript"/>
                <w:lang w:val="it-IT"/>
              </w:rPr>
              <w:tab/>
            </w:r>
            <w:r w:rsidRPr="003B5CD5">
              <w:rPr>
                <w:lang w:val="it-IT"/>
              </w:rPr>
              <w:t>(</w:t>
            </w:r>
            <w:r w:rsidR="00F3538D" w:rsidRPr="003B5CD5">
              <w:rPr>
                <w:lang w:val="it-IT"/>
              </w:rPr>
              <w:t>sodium borate</w:t>
            </w:r>
            <w:r w:rsidR="00FC492C" w:rsidRPr="003B5CD5">
              <w:rPr>
                <w:lang w:val="it-IT"/>
              </w:rPr>
              <w:t>)</w:t>
            </w:r>
            <w:r w:rsidR="00911D11" w:rsidRPr="003B5CD5">
              <w:rPr>
                <w:lang w:val="it-IT"/>
              </w:rPr>
              <w:t xml:space="preserve"> </w:t>
            </w:r>
          </w:p>
          <w:p w14:paraId="2E8436BC" w14:textId="68E7B6F0" w:rsidR="006701D3" w:rsidRPr="003B5CD5" w:rsidRDefault="006701D3" w:rsidP="006701D3">
            <w:pPr>
              <w:pStyle w:val="Tablefont"/>
              <w:rPr>
                <w:lang w:val="it-IT"/>
              </w:rPr>
            </w:pPr>
            <w:r w:rsidRPr="003B5CD5">
              <w:rPr>
                <w:lang w:val="it-IT"/>
              </w:rPr>
              <w:t>H</w:t>
            </w:r>
            <w:r w:rsidRPr="003B5CD5">
              <w:rPr>
                <w:vertAlign w:val="subscript"/>
                <w:lang w:val="it-IT"/>
              </w:rPr>
              <w:t>3</w:t>
            </w:r>
            <w:r w:rsidRPr="003B5CD5">
              <w:rPr>
                <w:lang w:val="it-IT"/>
              </w:rPr>
              <w:t>BO</w:t>
            </w:r>
            <w:r w:rsidRPr="003B5CD5">
              <w:rPr>
                <w:vertAlign w:val="subscript"/>
                <w:lang w:val="it-IT"/>
              </w:rPr>
              <w:t>3</w:t>
            </w:r>
            <w:r w:rsidR="001D0E3E" w:rsidRPr="003B5CD5">
              <w:rPr>
                <w:vertAlign w:val="subscript"/>
                <w:lang w:val="it-IT"/>
              </w:rPr>
              <w:tab/>
            </w:r>
            <w:r w:rsidR="001D0E3E" w:rsidRPr="003B5CD5">
              <w:rPr>
                <w:vertAlign w:val="subscript"/>
                <w:lang w:val="it-IT"/>
              </w:rPr>
              <w:tab/>
            </w:r>
            <w:r w:rsidRPr="003B5CD5">
              <w:rPr>
                <w:lang w:val="it-IT"/>
              </w:rPr>
              <w:t>(</w:t>
            </w:r>
            <w:r w:rsidR="00F3538D" w:rsidRPr="003B5CD5">
              <w:rPr>
                <w:lang w:val="it-IT"/>
              </w:rPr>
              <w:t>boric acid)</w:t>
            </w:r>
          </w:p>
        </w:tc>
      </w:tr>
    </w:tbl>
    <w:p w14:paraId="69CD6484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8723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2C7AFE" w:rsidRPr="004C23F4" w14:paraId="7743FF6E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796148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39DC965" w14:textId="77777777" w:rsidR="002C7AFE" w:rsidRPr="00C8723F" w:rsidRDefault="00C8723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0.75 mg/m</w:t>
            </w:r>
            <w:r w:rsidRPr="00C8723F">
              <w:rPr>
                <w:b/>
                <w:vertAlign w:val="superscript"/>
              </w:rPr>
              <w:t>3</w:t>
            </w:r>
          </w:p>
        </w:tc>
      </w:tr>
      <w:tr w:rsidR="002C7AFE" w:rsidRPr="004C23F4" w14:paraId="12787D53" w14:textId="77777777" w:rsidTr="00921DE7">
        <w:trPr>
          <w:cantSplit/>
        </w:trPr>
        <w:tc>
          <w:tcPr>
            <w:tcW w:w="4077" w:type="dxa"/>
            <w:vAlign w:val="center"/>
          </w:tcPr>
          <w:p w14:paraId="06AB13B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C1F93DD" w14:textId="77777777" w:rsidR="002C7AFE" w:rsidRPr="00F3538D" w:rsidRDefault="00310F0D" w:rsidP="00017C82">
            <w:pPr>
              <w:pStyle w:val="Tablefont"/>
            </w:pPr>
            <w:r w:rsidRPr="00F3538D">
              <w:t>—</w:t>
            </w:r>
          </w:p>
        </w:tc>
      </w:tr>
      <w:tr w:rsidR="002C7AFE" w:rsidRPr="004C23F4" w14:paraId="31E72CB9" w14:textId="77777777" w:rsidTr="00921DE7">
        <w:trPr>
          <w:cantSplit/>
        </w:trPr>
        <w:tc>
          <w:tcPr>
            <w:tcW w:w="4077" w:type="dxa"/>
            <w:vAlign w:val="center"/>
          </w:tcPr>
          <w:p w14:paraId="336C8C5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66504EAD" w14:textId="77777777" w:rsidR="002C7AFE" w:rsidRPr="00F3538D" w:rsidRDefault="001D0E3E" w:rsidP="00017C82">
            <w:pPr>
              <w:pStyle w:val="Tablefont"/>
            </w:pPr>
            <w:r w:rsidRPr="00F3538D">
              <w:t>—</w:t>
            </w:r>
          </w:p>
        </w:tc>
      </w:tr>
      <w:tr w:rsidR="002C7AFE" w:rsidRPr="004C23F4" w14:paraId="04F5566F" w14:textId="77777777" w:rsidTr="00A2073D">
        <w:trPr>
          <w:cantSplit/>
        </w:trPr>
        <w:tc>
          <w:tcPr>
            <w:tcW w:w="4077" w:type="dxa"/>
          </w:tcPr>
          <w:p w14:paraId="0CAB81F0" w14:textId="77777777" w:rsidR="002C7AFE" w:rsidRPr="002C58FF" w:rsidRDefault="00921DE7" w:rsidP="003241A8">
            <w:pPr>
              <w:pStyle w:val="Tablerowright"/>
            </w:pPr>
            <w:r w:rsidRPr="003241A8">
              <w:t>Notations</w:t>
            </w:r>
            <w:r>
              <w:t>:</w:t>
            </w:r>
          </w:p>
        </w:tc>
        <w:tc>
          <w:tcPr>
            <w:tcW w:w="5165" w:type="dxa"/>
          </w:tcPr>
          <w:p w14:paraId="2AA487AA" w14:textId="77777777" w:rsidR="002C7AFE" w:rsidRPr="00F3538D" w:rsidRDefault="001D0E3E" w:rsidP="008A36CF">
            <w:pPr>
              <w:pStyle w:val="Tablefont"/>
            </w:pPr>
            <w:r w:rsidRPr="00F3538D">
              <w:t>—</w:t>
            </w:r>
          </w:p>
        </w:tc>
      </w:tr>
      <w:tr w:rsidR="002C7AFE" w:rsidRPr="004C23F4" w14:paraId="5D7C767C" w14:textId="77777777" w:rsidTr="00921DE7">
        <w:trPr>
          <w:cantSplit/>
        </w:trPr>
        <w:tc>
          <w:tcPr>
            <w:tcW w:w="4077" w:type="dxa"/>
            <w:vAlign w:val="center"/>
          </w:tcPr>
          <w:p w14:paraId="53019359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E7EB1EB" w14:textId="77777777" w:rsidR="002C7AFE" w:rsidRPr="00F3538D" w:rsidRDefault="001D0E3E" w:rsidP="00017C82">
            <w:pPr>
              <w:pStyle w:val="Tablefont"/>
            </w:pPr>
            <w:r w:rsidRPr="00F3538D">
              <w:t>—</w:t>
            </w:r>
          </w:p>
        </w:tc>
      </w:tr>
      <w:tr w:rsidR="009F04D2" w:rsidRPr="004C23F4" w14:paraId="1C932E3F" w14:textId="77777777" w:rsidTr="00921DE7">
        <w:trPr>
          <w:cantSplit/>
        </w:trPr>
        <w:tc>
          <w:tcPr>
            <w:tcW w:w="4077" w:type="dxa"/>
            <w:vAlign w:val="center"/>
          </w:tcPr>
          <w:p w14:paraId="0ADA6577" w14:textId="77777777" w:rsidR="009F04D2" w:rsidRDefault="009F04D2" w:rsidP="00105C96">
            <w:pPr>
              <w:pStyle w:val="Tablerowright"/>
              <w:jc w:val="both"/>
            </w:pPr>
            <w:r>
              <w:t>Sampling and analysis:</w:t>
            </w:r>
          </w:p>
        </w:tc>
        <w:tc>
          <w:tcPr>
            <w:tcW w:w="5165" w:type="dxa"/>
          </w:tcPr>
          <w:p w14:paraId="777347B7" w14:textId="391B64CE" w:rsidR="009F04D2" w:rsidRPr="00EB3D1B" w:rsidRDefault="006A73CB" w:rsidP="00017C82">
            <w:pPr>
              <w:pStyle w:val="Tablefont"/>
              <w:rPr>
                <w:b/>
              </w:rPr>
            </w:pPr>
            <w:r w:rsidRPr="000652CA">
              <w:t>The recommended value is quantifiable through available sampling and analysis techniques.</w:t>
            </w:r>
          </w:p>
        </w:tc>
      </w:tr>
    </w:tbl>
    <w:p w14:paraId="5561D69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081FA5C" w14:textId="47E9E023" w:rsidR="00163CB8" w:rsidRDefault="0093633A" w:rsidP="000C139A">
      <w:pPr>
        <w:rPr>
          <w:rFonts w:cs="Arial"/>
        </w:rPr>
      </w:pPr>
      <w:r w:rsidRPr="0093633A">
        <w:rPr>
          <w:rFonts w:cs="Arial"/>
        </w:rPr>
        <w:t xml:space="preserve">A TWA of </w:t>
      </w:r>
      <w:r>
        <w:rPr>
          <w:rFonts w:cs="Arial"/>
        </w:rPr>
        <w:t>0.75</w:t>
      </w:r>
      <w:r w:rsidRPr="0093633A">
        <w:rPr>
          <w:rFonts w:cs="Arial"/>
        </w:rPr>
        <w:t xml:space="preserve"> mg/m</w:t>
      </w:r>
      <w:r w:rsidRPr="0093633A">
        <w:rPr>
          <w:rFonts w:cs="Arial"/>
          <w:vertAlign w:val="superscript"/>
        </w:rPr>
        <w:t>3</w:t>
      </w:r>
      <w:r w:rsidR="00FD02BC">
        <w:rPr>
          <w:rFonts w:cs="Arial"/>
        </w:rPr>
        <w:t xml:space="preserve"> for </w:t>
      </w:r>
      <w:r w:rsidR="00A4310E">
        <w:rPr>
          <w:rFonts w:cs="Arial"/>
        </w:rPr>
        <w:t xml:space="preserve">borate </w:t>
      </w:r>
      <w:r w:rsidR="00FD02BC">
        <w:rPr>
          <w:rFonts w:cs="Arial"/>
        </w:rPr>
        <w:t xml:space="preserve">compounds </w:t>
      </w:r>
      <w:r w:rsidR="00C24B6F">
        <w:rPr>
          <w:rFonts w:cs="Arial"/>
        </w:rPr>
        <w:t xml:space="preserve">(as </w:t>
      </w:r>
      <w:r w:rsidR="00FD02BC">
        <w:rPr>
          <w:rFonts w:cs="Arial"/>
        </w:rPr>
        <w:t>b</w:t>
      </w:r>
      <w:r w:rsidR="00C24B6F">
        <w:rPr>
          <w:rFonts w:cs="Arial"/>
        </w:rPr>
        <w:t xml:space="preserve">oron) </w:t>
      </w:r>
      <w:r w:rsidRPr="0093633A">
        <w:rPr>
          <w:rFonts w:cs="Arial"/>
        </w:rPr>
        <w:t xml:space="preserve">is recommended to protect for </w:t>
      </w:r>
      <w:r w:rsidR="001149C9">
        <w:rPr>
          <w:rFonts w:cs="Arial"/>
        </w:rPr>
        <w:t>irritation of the mucous membranes</w:t>
      </w:r>
      <w:r w:rsidRPr="0093633A">
        <w:rPr>
          <w:rFonts w:cs="Arial"/>
        </w:rPr>
        <w:t xml:space="preserve"> in </w:t>
      </w:r>
      <w:r w:rsidR="00FD02BC" w:rsidRPr="0093633A">
        <w:rPr>
          <w:rFonts w:cs="Arial"/>
        </w:rPr>
        <w:t xml:space="preserve">exposed </w:t>
      </w:r>
      <w:r w:rsidRPr="0093633A">
        <w:rPr>
          <w:rFonts w:cs="Arial"/>
        </w:rPr>
        <w:t xml:space="preserve">workers. The TWA is also expected to reduce the risk of </w:t>
      </w:r>
      <w:r w:rsidR="00C24B6F">
        <w:rPr>
          <w:rFonts w:cs="Arial"/>
        </w:rPr>
        <w:t>possible</w:t>
      </w:r>
      <w:r w:rsidR="00667521">
        <w:rPr>
          <w:rFonts w:cs="Arial"/>
        </w:rPr>
        <w:t xml:space="preserve"> r</w:t>
      </w:r>
      <w:r>
        <w:rPr>
          <w:rFonts w:cs="Arial"/>
        </w:rPr>
        <w:t>eproductive</w:t>
      </w:r>
      <w:r w:rsidR="00667521">
        <w:rPr>
          <w:rFonts w:cs="Arial"/>
        </w:rPr>
        <w:t xml:space="preserve"> (birth rate) effects</w:t>
      </w:r>
      <w:r w:rsidR="00C8723F">
        <w:rPr>
          <w:rFonts w:cs="Arial"/>
        </w:rPr>
        <w:t xml:space="preserve"> in humans</w:t>
      </w:r>
      <w:r w:rsidR="00667521">
        <w:rPr>
          <w:rFonts w:cs="Arial"/>
        </w:rPr>
        <w:t>.</w:t>
      </w:r>
    </w:p>
    <w:p w14:paraId="256E7D4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98C57C8" w14:textId="22BA09D1" w:rsidR="00D1414B" w:rsidRDefault="00C8723F" w:rsidP="00D1414B">
      <w:pPr>
        <w:rPr>
          <w:rFonts w:cs="Arial"/>
        </w:rPr>
      </w:pPr>
      <w:r w:rsidRPr="00C8723F">
        <w:rPr>
          <w:rFonts w:cs="Arial"/>
        </w:rPr>
        <w:t xml:space="preserve">Anhydrous borates </w:t>
      </w:r>
      <w:r>
        <w:rPr>
          <w:rFonts w:cs="Arial"/>
        </w:rPr>
        <w:t xml:space="preserve">are </w:t>
      </w:r>
      <w:r w:rsidRPr="00C8723F">
        <w:rPr>
          <w:rFonts w:cs="Arial"/>
        </w:rPr>
        <w:t xml:space="preserve">commonly used in the glass industry and as an algicide. Pentahydrate and decahydrate forms </w:t>
      </w:r>
      <w:r w:rsidR="001D0E3E">
        <w:rPr>
          <w:rFonts w:cs="Arial"/>
        </w:rPr>
        <w:t xml:space="preserve">are </w:t>
      </w:r>
      <w:r w:rsidRPr="00C8723F">
        <w:rPr>
          <w:rFonts w:cs="Arial"/>
        </w:rPr>
        <w:t>used mostly in herbicides and household cleaning products.</w:t>
      </w:r>
      <w:r w:rsidR="00FD5AFA">
        <w:rPr>
          <w:rFonts w:cs="Arial"/>
        </w:rPr>
        <w:t xml:space="preserve"> </w:t>
      </w:r>
      <w:r w:rsidR="002F62EA">
        <w:rPr>
          <w:rFonts w:cs="Arial"/>
        </w:rPr>
        <w:t xml:space="preserve">Boric acid is commonly used as a pesticide. </w:t>
      </w:r>
      <w:r w:rsidR="00C379B3">
        <w:rPr>
          <w:rFonts w:cs="Arial"/>
        </w:rPr>
        <w:t xml:space="preserve">Borate salts and boric acid have been grouped for this recommendation </w:t>
      </w:r>
      <w:r w:rsidR="00E41B2C">
        <w:rPr>
          <w:rFonts w:cs="Arial"/>
        </w:rPr>
        <w:t>based on</w:t>
      </w:r>
      <w:r w:rsidR="00C379B3">
        <w:rPr>
          <w:rFonts w:cs="Arial"/>
        </w:rPr>
        <w:t xml:space="preserve"> commonalities of applications, </w:t>
      </w:r>
      <w:r w:rsidR="00E41B2C">
        <w:rPr>
          <w:rFonts w:cs="Arial"/>
        </w:rPr>
        <w:t xml:space="preserve">the </w:t>
      </w:r>
      <w:r w:rsidR="00C379B3">
        <w:rPr>
          <w:rFonts w:cs="Arial"/>
        </w:rPr>
        <w:t xml:space="preserve">parent compound (boron), hydrolysis to related ions and critical effects. </w:t>
      </w:r>
    </w:p>
    <w:p w14:paraId="0810639C" w14:textId="172C9C2E" w:rsidR="001149C9" w:rsidRDefault="00DC7B88" w:rsidP="00667521">
      <w:pPr>
        <w:rPr>
          <w:rFonts w:cs="Arial"/>
        </w:rPr>
      </w:pPr>
      <w:r>
        <w:rPr>
          <w:rFonts w:cs="Arial"/>
        </w:rPr>
        <w:t xml:space="preserve">A </w:t>
      </w:r>
      <w:r w:rsidR="00667521" w:rsidRPr="00EF3891">
        <w:rPr>
          <w:rFonts w:cs="Arial"/>
        </w:rPr>
        <w:t xml:space="preserve">NOAEC </w:t>
      </w:r>
      <w:r w:rsidR="00163CB8">
        <w:rPr>
          <w:rFonts w:cs="Arial"/>
        </w:rPr>
        <w:t xml:space="preserve">for irritant nasal symptoms </w:t>
      </w:r>
      <w:r w:rsidR="001149C9">
        <w:rPr>
          <w:rFonts w:cs="Arial"/>
        </w:rPr>
        <w:t>is reported</w:t>
      </w:r>
      <w:r w:rsidR="00163CB8">
        <w:rPr>
          <w:rFonts w:cs="Arial"/>
        </w:rPr>
        <w:t xml:space="preserve"> at</w:t>
      </w:r>
      <w:r w:rsidR="00163CB8" w:rsidRPr="00EF3891">
        <w:rPr>
          <w:rFonts w:cs="Arial"/>
        </w:rPr>
        <w:t xml:space="preserve"> </w:t>
      </w:r>
      <w:r w:rsidR="00667521" w:rsidRPr="00EF3891">
        <w:rPr>
          <w:rFonts w:cs="Arial"/>
        </w:rPr>
        <w:t>5 mg/m</w:t>
      </w:r>
      <w:r w:rsidR="00667521" w:rsidRPr="00667521">
        <w:rPr>
          <w:rFonts w:cs="Arial"/>
          <w:vertAlign w:val="superscript"/>
        </w:rPr>
        <w:t>3</w:t>
      </w:r>
      <w:r w:rsidR="00667521" w:rsidRPr="00EF3891">
        <w:rPr>
          <w:rFonts w:cs="Arial"/>
        </w:rPr>
        <w:t xml:space="preserve"> </w:t>
      </w:r>
      <w:r w:rsidR="005C4079">
        <w:rPr>
          <w:rFonts w:cs="Arial"/>
        </w:rPr>
        <w:t xml:space="preserve">for </w:t>
      </w:r>
      <w:r w:rsidR="00163CB8" w:rsidRPr="00EF3891">
        <w:rPr>
          <w:rFonts w:cs="Arial"/>
        </w:rPr>
        <w:t xml:space="preserve">sodium tetraborate (pentahydrate) </w:t>
      </w:r>
      <w:r w:rsidR="00C04310">
        <w:rPr>
          <w:rFonts w:cs="Arial"/>
        </w:rPr>
        <w:t xml:space="preserve">which equates to </w:t>
      </w:r>
      <w:r w:rsidR="00667521" w:rsidRPr="00EF3891">
        <w:rPr>
          <w:rFonts w:cs="Arial"/>
        </w:rPr>
        <w:t>0.75 mg/m</w:t>
      </w:r>
      <w:r w:rsidR="00667521" w:rsidRPr="00667521">
        <w:rPr>
          <w:rFonts w:cs="Arial"/>
          <w:vertAlign w:val="superscript"/>
        </w:rPr>
        <w:t>3</w:t>
      </w:r>
      <w:r w:rsidR="00490387">
        <w:rPr>
          <w:rFonts w:cs="Arial"/>
        </w:rPr>
        <w:t xml:space="preserve"> of </w:t>
      </w:r>
      <w:r w:rsidR="00490387" w:rsidRPr="00EF3891">
        <w:rPr>
          <w:rFonts w:cs="Arial"/>
        </w:rPr>
        <w:t>boron</w:t>
      </w:r>
      <w:r w:rsidR="00163CB8">
        <w:rPr>
          <w:rFonts w:cs="Arial"/>
        </w:rPr>
        <w:t xml:space="preserve">. </w:t>
      </w:r>
      <w:r>
        <w:rPr>
          <w:rFonts w:cs="Arial"/>
        </w:rPr>
        <w:t xml:space="preserve">This concentration </w:t>
      </w:r>
      <w:proofErr w:type="gramStart"/>
      <w:r>
        <w:rPr>
          <w:rFonts w:cs="Arial"/>
        </w:rPr>
        <w:t>is considered to be</w:t>
      </w:r>
      <w:proofErr w:type="gramEnd"/>
      <w:r>
        <w:rPr>
          <w:rFonts w:cs="Arial"/>
        </w:rPr>
        <w:t xml:space="preserve"> sufficiently low to protect for nasal</w:t>
      </w:r>
      <w:r w:rsidR="00C04310">
        <w:rPr>
          <w:rFonts w:cs="Arial"/>
        </w:rPr>
        <w:t xml:space="preserve"> irritation</w:t>
      </w:r>
      <w:r>
        <w:rPr>
          <w:rFonts w:cs="Arial"/>
        </w:rPr>
        <w:t xml:space="preserve"> in exposed workers and therefor</w:t>
      </w:r>
      <w:r w:rsidR="00E41B2C">
        <w:rPr>
          <w:rFonts w:cs="Arial"/>
        </w:rPr>
        <w:t>e</w:t>
      </w:r>
      <w:r>
        <w:rPr>
          <w:rFonts w:cs="Arial"/>
        </w:rPr>
        <w:t xml:space="preserve"> recommended </w:t>
      </w:r>
      <w:r w:rsidR="00E41B2C">
        <w:rPr>
          <w:rFonts w:cs="Arial"/>
        </w:rPr>
        <w:t xml:space="preserve">as a </w:t>
      </w:r>
      <w:r>
        <w:rPr>
          <w:rFonts w:cs="Arial"/>
        </w:rPr>
        <w:t>TWA</w:t>
      </w:r>
      <w:r w:rsidR="001149C9">
        <w:rPr>
          <w:rFonts w:cs="Arial"/>
        </w:rPr>
        <w:t xml:space="preserve"> for all borate compounds</w:t>
      </w:r>
      <w:r>
        <w:rPr>
          <w:rFonts w:cs="Arial"/>
        </w:rPr>
        <w:t xml:space="preserve">. </w:t>
      </w:r>
    </w:p>
    <w:p w14:paraId="77CA03E0" w14:textId="77777777" w:rsidR="00667521" w:rsidRDefault="001149C9" w:rsidP="00667521">
      <w:pPr>
        <w:rPr>
          <w:rFonts w:cs="Arial"/>
        </w:rPr>
      </w:pPr>
      <w:r>
        <w:rPr>
          <w:rFonts w:cs="Arial"/>
        </w:rPr>
        <w:t xml:space="preserve">While the ACGIH (2018) recommend a STEL of 6 </w:t>
      </w:r>
      <w:r w:rsidRPr="007B657C">
        <w:rPr>
          <w:rFonts w:cs="Arial"/>
        </w:rPr>
        <w:t>mg/m</w:t>
      </w:r>
      <w:r w:rsidRPr="007B657C">
        <w:rPr>
          <w:rFonts w:cs="Arial"/>
          <w:vertAlign w:val="superscript"/>
        </w:rPr>
        <w:t>3</w:t>
      </w:r>
      <w:r w:rsidR="00310F0D">
        <w:rPr>
          <w:rFonts w:cs="Arial"/>
        </w:rPr>
        <w:t>, there is no evidence the irritation leads to a severe, chronic health effect and little evidence to suggest the irritation as acutely severe or</w:t>
      </w:r>
      <w:r w:rsidRPr="0010164F">
        <w:rPr>
          <w:rFonts w:cs="Arial"/>
        </w:rPr>
        <w:t xml:space="preserve"> </w:t>
      </w:r>
      <w:r w:rsidR="00310F0D">
        <w:rPr>
          <w:rFonts w:cs="Arial"/>
        </w:rPr>
        <w:t xml:space="preserve">intolerable. Therefore, the TWA is considered </w:t>
      </w:r>
      <w:proofErr w:type="gramStart"/>
      <w:r w:rsidR="00310F0D">
        <w:rPr>
          <w:rFonts w:cs="Arial"/>
        </w:rPr>
        <w:t>protective</w:t>
      </w:r>
      <w:proofErr w:type="gramEnd"/>
      <w:r w:rsidR="00310F0D">
        <w:rPr>
          <w:rFonts w:cs="Arial"/>
        </w:rPr>
        <w:t xml:space="preserve"> and a STEL is not recommended.</w:t>
      </w:r>
    </w:p>
    <w:p w14:paraId="1C03AF06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545E3C64" w14:textId="77777777" w:rsidR="00667521" w:rsidRDefault="00667521" w:rsidP="004529F0">
      <w:pPr>
        <w:rPr>
          <w:rFonts w:cs="Arial"/>
        </w:rPr>
      </w:pPr>
      <w:r>
        <w:rPr>
          <w:rFonts w:cs="Arial"/>
        </w:rPr>
        <w:t xml:space="preserve">Not </w:t>
      </w:r>
      <w:r w:rsidRPr="00667521">
        <w:rPr>
          <w:rFonts w:cs="Arial"/>
        </w:rPr>
        <w:t xml:space="preserve">classified as </w:t>
      </w:r>
      <w:r>
        <w:rPr>
          <w:rFonts w:cs="Arial"/>
        </w:rPr>
        <w:t xml:space="preserve">a </w:t>
      </w:r>
      <w:r w:rsidRPr="00667521">
        <w:rPr>
          <w:rFonts w:cs="Arial"/>
        </w:rPr>
        <w:t>carcinogen according to the Globally Harmonized System of Classification and La</w:t>
      </w:r>
      <w:r>
        <w:rPr>
          <w:rFonts w:cs="Arial"/>
        </w:rPr>
        <w:t>belling of Chemicals (GHS).</w:t>
      </w:r>
    </w:p>
    <w:p w14:paraId="3E3F9F8C" w14:textId="77777777" w:rsidR="00667521" w:rsidRDefault="00667521" w:rsidP="004529F0">
      <w:pPr>
        <w:rPr>
          <w:rFonts w:cs="Arial"/>
        </w:rPr>
      </w:pPr>
      <w:r w:rsidRPr="00667521">
        <w:rPr>
          <w:rFonts w:cs="Arial"/>
        </w:rPr>
        <w:t>Not classified as a skin</w:t>
      </w:r>
      <w:r w:rsidR="00A4310E">
        <w:rPr>
          <w:rFonts w:cs="Arial"/>
        </w:rPr>
        <w:t xml:space="preserve"> sensitiser</w:t>
      </w:r>
      <w:r w:rsidRPr="00667521">
        <w:rPr>
          <w:rFonts w:cs="Arial"/>
        </w:rPr>
        <w:t xml:space="preserve"> or respiratory sensitiser according to the GHS</w:t>
      </w:r>
      <w:r>
        <w:rPr>
          <w:rFonts w:cs="Arial"/>
        </w:rPr>
        <w:t>.</w:t>
      </w:r>
    </w:p>
    <w:p w14:paraId="29D881D2" w14:textId="3E1BB86F" w:rsidR="00E41B2C" w:rsidRPr="004C23F4" w:rsidRDefault="00F3538D" w:rsidP="00E41B2C">
      <w:pPr>
        <w:rPr>
          <w:rFonts w:cs="Arial"/>
        </w:rPr>
      </w:pPr>
      <w:r>
        <w:rPr>
          <w:rFonts w:cs="Arial"/>
        </w:rPr>
        <w:t>A skin notation is not recommend</w:t>
      </w:r>
      <w:r w:rsidR="00667521" w:rsidRPr="00667521">
        <w:rPr>
          <w:rFonts w:cs="Arial"/>
        </w:rPr>
        <w:t>ed based on the available evidence.</w:t>
      </w:r>
      <w:r w:rsidR="00E41B2C" w:rsidRPr="00E41B2C">
        <w:rPr>
          <w:rFonts w:cs="Arial"/>
        </w:rPr>
        <w:t xml:space="preserve"> </w:t>
      </w:r>
      <w:r w:rsidR="00E41B2C">
        <w:rPr>
          <w:rFonts w:cs="Arial"/>
        </w:rPr>
        <w:t xml:space="preserve">Acute dermal toxicity effects are </w:t>
      </w:r>
      <w:r w:rsidR="00121039">
        <w:rPr>
          <w:rFonts w:cs="Arial"/>
        </w:rPr>
        <w:t>low.</w:t>
      </w:r>
      <w:r w:rsidR="00E41B2C">
        <w:rPr>
          <w:rFonts w:cs="Arial"/>
        </w:rPr>
        <w:t xml:space="preserve"> </w:t>
      </w:r>
      <w:r w:rsidR="00121039">
        <w:rPr>
          <w:rFonts w:cs="Arial"/>
        </w:rPr>
        <w:t>C</w:t>
      </w:r>
      <w:r w:rsidR="00E41B2C">
        <w:rPr>
          <w:rFonts w:cs="Arial"/>
        </w:rPr>
        <w:t xml:space="preserve">aution is advised where exposed skin is damaged due to increased uptake. </w:t>
      </w:r>
    </w:p>
    <w:p w14:paraId="71F92576" w14:textId="77777777" w:rsidR="004529F0" w:rsidRPr="004C23F4" w:rsidRDefault="004529F0" w:rsidP="004529F0">
      <w:pPr>
        <w:rPr>
          <w:rFonts w:cs="Arial"/>
        </w:rPr>
      </w:pPr>
    </w:p>
    <w:p w14:paraId="7E1F0757" w14:textId="77777777" w:rsidR="0025734A" w:rsidRPr="004C23F4" w:rsidRDefault="0025734A">
      <w:pPr>
        <w:rPr>
          <w:rFonts w:cs="Arial"/>
        </w:rPr>
      </w:pPr>
    </w:p>
    <w:p w14:paraId="07698EF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79E650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296D2C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010C61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F21D5B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9A9775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E8D314E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E1C9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E1C97">
                  <w:t>TWA</w:t>
                </w:r>
                <w:r w:rsidR="001024D8">
                  <w:t>:</w:t>
                </w:r>
                <w:r w:rsidR="009E1C97">
                  <w:t xml:space="preserve"> 1</w:t>
                </w:r>
                <w:r w:rsidR="00166FE5">
                  <w:t xml:space="preserve"> </w:t>
                </w:r>
                <w:r w:rsidR="009E1C97">
                  <w:t>mg/m</w:t>
                </w:r>
                <w:r w:rsidR="009E1C97" w:rsidRPr="00166FE5">
                  <w:rPr>
                    <w:vertAlign w:val="superscript"/>
                  </w:rPr>
                  <w:t>3</w:t>
                </w:r>
                <w:r w:rsidR="00166FE5">
                  <w:rPr>
                    <w:vertAlign w:val="superscript"/>
                  </w:rPr>
                  <w:t xml:space="preserve"> </w:t>
                </w:r>
                <w:r w:rsidR="00166FE5">
                  <w:t>(Anhydrous);</w:t>
                </w:r>
                <w:r w:rsidR="00166FE5">
                  <w:br/>
                </w:r>
                <w:r w:rsidR="00166FE5">
                  <w:tab/>
                </w:r>
                <w:r w:rsidR="00166FE5">
                  <w:tab/>
                </w:r>
                <w:r w:rsidR="00166FE5">
                  <w:tab/>
                  <w:t>TWA</w:t>
                </w:r>
                <w:r w:rsidR="001024D8">
                  <w:t>:</w:t>
                </w:r>
                <w:r w:rsidR="00166FE5">
                  <w:t xml:space="preserve"> 1 mg/m</w:t>
                </w:r>
                <w:r w:rsidR="00166FE5" w:rsidRPr="00166FE5">
                  <w:rPr>
                    <w:vertAlign w:val="superscript"/>
                  </w:rPr>
                  <w:t>3</w:t>
                </w:r>
                <w:r w:rsidR="00166FE5">
                  <w:t xml:space="preserve"> (Pentahydrates);</w:t>
                </w:r>
                <w:r w:rsidR="00166FE5">
                  <w:br/>
                </w:r>
                <w:r w:rsidR="00166FE5">
                  <w:tab/>
                </w:r>
                <w:r w:rsidR="00166FE5">
                  <w:tab/>
                </w:r>
                <w:r w:rsidR="00166FE5">
                  <w:tab/>
                  <w:t>TWA</w:t>
                </w:r>
                <w:r w:rsidR="001024D8">
                  <w:t>:</w:t>
                </w:r>
                <w:r w:rsidR="00166FE5">
                  <w:t xml:space="preserve"> 5 mg/m</w:t>
                </w:r>
                <w:r w:rsidR="00166FE5" w:rsidRPr="00166FE5">
                  <w:rPr>
                    <w:vertAlign w:val="superscript"/>
                  </w:rPr>
                  <w:t>3</w:t>
                </w:r>
                <w:r w:rsidR="00166FE5">
                  <w:t xml:space="preserve"> (Decahydrates)</w:t>
                </w:r>
              </w:sdtContent>
            </w:sdt>
          </w:p>
        </w:tc>
      </w:tr>
      <w:tr w:rsidR="00C978F0" w:rsidRPr="00DA352E" w14:paraId="58B8AB4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53538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5507EB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907E7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66FE5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66FE5">
                  <w:t>TLV-TWA</w:t>
                </w:r>
                <w:r w:rsidR="001024D8">
                  <w:t>:</w:t>
                </w:r>
                <w:r w:rsidR="00166FE5">
                  <w:t xml:space="preserve"> 2 mg/m</w:t>
                </w:r>
                <w:r w:rsidR="00166FE5" w:rsidRPr="00166FE5">
                  <w:rPr>
                    <w:vertAlign w:val="superscript"/>
                  </w:rPr>
                  <w:t>3</w:t>
                </w:r>
                <w:r w:rsidR="00166FE5">
                  <w:t>; TLV-STEL</w:t>
                </w:r>
                <w:r w:rsidR="001024D8">
                  <w:t>:</w:t>
                </w:r>
                <w:r w:rsidR="00166FE5">
                  <w:t xml:space="preserve"> 6 mg/m</w:t>
                </w:r>
                <w:r w:rsidR="00166FE5" w:rsidRPr="00166FE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F82CBD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1AD488" w14:textId="77777777" w:rsidR="00F42502" w:rsidRDefault="00D371B5" w:rsidP="003365A5">
            <w:pPr>
              <w:pStyle w:val="Tabletextprimarysource"/>
            </w:pPr>
            <w:r>
              <w:t>TLV-TWA recommended to minimise acute irritant effects of borate</w:t>
            </w:r>
            <w:r w:rsidR="00AD6AB5">
              <w:t xml:space="preserve"> compounds (inorganic)</w:t>
            </w:r>
            <w:r w:rsidR="00B52198">
              <w:t xml:space="preserve"> when in contact with mucous membranes</w:t>
            </w:r>
            <w:r w:rsidR="00121039">
              <w:t>,</w:t>
            </w:r>
            <w:r w:rsidR="00B52198">
              <w:t xml:space="preserve"> respiratory tract and skin. </w:t>
            </w:r>
            <w:r w:rsidR="008237AA">
              <w:t xml:space="preserve">The TLV-TWA value is also </w:t>
            </w:r>
            <w:r w:rsidR="00C04310">
              <w:t xml:space="preserve">considered </w:t>
            </w:r>
            <w:r w:rsidR="008237AA">
              <w:t xml:space="preserve">to be </w:t>
            </w:r>
            <w:r w:rsidR="00B52198">
              <w:t xml:space="preserve">protective </w:t>
            </w:r>
            <w:r w:rsidR="00C04310">
              <w:t xml:space="preserve">for </w:t>
            </w:r>
            <w:r w:rsidR="008237AA">
              <w:t xml:space="preserve">any </w:t>
            </w:r>
            <w:r w:rsidR="00B52198">
              <w:t xml:space="preserve">potential reproductive and developmental effects </w:t>
            </w:r>
            <w:r w:rsidR="00C04310">
              <w:t xml:space="preserve">following </w:t>
            </w:r>
            <w:r w:rsidR="00B52198">
              <w:t>systemic absorption.</w:t>
            </w:r>
            <w:r w:rsidR="00F42502">
              <w:t xml:space="preserve"> </w:t>
            </w:r>
          </w:p>
          <w:p w14:paraId="4C581DE7" w14:textId="77777777" w:rsidR="00C978F0" w:rsidRDefault="00F42502" w:rsidP="003365A5">
            <w:pPr>
              <w:pStyle w:val="Tabletextprimarysource"/>
            </w:pPr>
            <w:r>
              <w:t>TLV-TWA based on calculations of potential underestimation of boron exposures during testing</w:t>
            </w:r>
            <w:r w:rsidR="00FD02BC">
              <w:t>.</w:t>
            </w:r>
            <w:r>
              <w:t xml:space="preserve"> </w:t>
            </w:r>
          </w:p>
          <w:p w14:paraId="6B7FFF1B" w14:textId="1EAA8100" w:rsidR="00B52198" w:rsidRDefault="00F3538D" w:rsidP="003365A5">
            <w:pPr>
              <w:pStyle w:val="Tabletextprimarysource"/>
            </w:pPr>
            <w:r>
              <w:t>TLV-STEL</w:t>
            </w:r>
            <w:r w:rsidR="00B52198">
              <w:t xml:space="preserve"> specifically </w:t>
            </w:r>
            <w:r w:rsidR="00B25CC6">
              <w:t xml:space="preserve">assigned </w:t>
            </w:r>
            <w:r w:rsidR="00AD6AB5">
              <w:t xml:space="preserve">for </w:t>
            </w:r>
            <w:r w:rsidR="00B52198">
              <w:t xml:space="preserve">minimising </w:t>
            </w:r>
            <w:r w:rsidR="00F42502">
              <w:t xml:space="preserve">upper </w:t>
            </w:r>
            <w:r w:rsidR="00B52198">
              <w:t xml:space="preserve">respiratory </w:t>
            </w:r>
            <w:r w:rsidR="00F42502">
              <w:t xml:space="preserve">tract </w:t>
            </w:r>
            <w:r w:rsidR="00B52198">
              <w:t>symptoms</w:t>
            </w:r>
            <w:r w:rsidR="00FD02BC">
              <w:t>.</w:t>
            </w:r>
          </w:p>
          <w:p w14:paraId="286AA6FF" w14:textId="77777777" w:rsidR="00F42502" w:rsidRDefault="00F42502" w:rsidP="001B05DC">
            <w:pPr>
              <w:pStyle w:val="Tabletextprimarysource"/>
            </w:pPr>
            <w:r>
              <w:t>Sufficient a</w:t>
            </w:r>
            <w:r w:rsidR="001B05DC">
              <w:t xml:space="preserve">nalytical methods for </w:t>
            </w:r>
            <w:r>
              <w:t xml:space="preserve">speciation of borate compounds in </w:t>
            </w:r>
            <w:r w:rsidR="001B05DC">
              <w:t xml:space="preserve">airborne field samples </w:t>
            </w:r>
            <w:r w:rsidR="005C4079">
              <w:t xml:space="preserve">are </w:t>
            </w:r>
            <w:r w:rsidR="001B05DC">
              <w:t>not available</w:t>
            </w:r>
            <w:r>
              <w:t xml:space="preserve"> to enable separation of borate compounds.</w:t>
            </w:r>
          </w:p>
          <w:p w14:paraId="1E95459A" w14:textId="77777777" w:rsidR="00B52198" w:rsidRDefault="00B52198" w:rsidP="00B52198">
            <w:pPr>
              <w:pStyle w:val="Tabletextprimarysource"/>
            </w:pPr>
            <w:r>
              <w:t>Summary of data:</w:t>
            </w:r>
          </w:p>
          <w:p w14:paraId="5F9BEAED" w14:textId="77777777" w:rsidR="00CB5E9A" w:rsidRDefault="00CB5E9A" w:rsidP="00CB5E9A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</w:p>
          <w:p w14:paraId="7B9078F6" w14:textId="77777777" w:rsidR="00CB5E9A" w:rsidRDefault="0027594B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Inorganic borate compounds rapidly absorbed by oral routes with half-life </w:t>
            </w:r>
            <w:r w:rsidR="00C34D49">
              <w:t xml:space="preserve">of </w:t>
            </w:r>
            <w:r w:rsidR="00963EBF" w:rsidRPr="008D5486">
              <w:t>≈</w:t>
            </w:r>
            <w:r>
              <w:t xml:space="preserve">20 h </w:t>
            </w:r>
          </w:p>
          <w:p w14:paraId="707D60A9" w14:textId="042127DA" w:rsidR="001B05DC" w:rsidRDefault="001B05DC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Chronic exposure</w:t>
            </w:r>
            <w:r w:rsidR="00121039">
              <w:t xml:space="preserve"> (oral)</w:t>
            </w:r>
            <w:r>
              <w:t xml:space="preserve"> to </w:t>
            </w:r>
            <w:r w:rsidR="00F3538D" w:rsidRPr="003B5CD5">
              <w:rPr>
                <w:lang w:val="it-IT"/>
              </w:rPr>
              <w:t>H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 w:rsidR="00F3538D" w:rsidRPr="003B5CD5">
              <w:rPr>
                <w:lang w:val="it-IT"/>
              </w:rPr>
              <w:t>BO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 w:rsidR="00F3538D" w:rsidRPr="00F3538D">
              <w:rPr>
                <w:lang w:val="it-IT"/>
              </w:rPr>
              <w:t xml:space="preserve"> </w:t>
            </w:r>
            <w:r>
              <w:t>may result in dermatitis, loss of appetite, nausea or vomiting</w:t>
            </w:r>
          </w:p>
          <w:p w14:paraId="14F237CC" w14:textId="25221600" w:rsidR="0027594B" w:rsidRDefault="0027594B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Airborne </w:t>
            </w:r>
            <w:r w:rsidR="00F3538D" w:rsidRPr="003B5CD5">
              <w:rPr>
                <w:lang w:val="it-IT"/>
              </w:rPr>
              <w:t>H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 w:rsidR="00F3538D" w:rsidRPr="003B5CD5">
              <w:rPr>
                <w:lang w:val="it-IT"/>
              </w:rPr>
              <w:t>BO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 w:rsidR="00F3538D" w:rsidRPr="00F3538D">
              <w:rPr>
                <w:lang w:val="it-IT"/>
              </w:rPr>
              <w:t xml:space="preserve"> </w:t>
            </w:r>
            <w:r>
              <w:t xml:space="preserve">and dusts </w:t>
            </w:r>
            <w:r w:rsidR="00121039">
              <w:t>are</w:t>
            </w:r>
            <w:r>
              <w:t xml:space="preserve"> irritating to the respiratory tract and eyes in acute and chronic exposures</w:t>
            </w:r>
          </w:p>
          <w:p w14:paraId="2B533F17" w14:textId="1EC7128D" w:rsidR="001B05DC" w:rsidRDefault="001B05DC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Infrequent irritation observed at 1.1 mg/m</w:t>
            </w:r>
            <w:r w:rsidRPr="001F68FB">
              <w:rPr>
                <w:vertAlign w:val="superscript"/>
              </w:rPr>
              <w:t>3</w:t>
            </w:r>
            <w:r w:rsidRPr="001B05DC">
              <w:t xml:space="preserve"> </w:t>
            </w:r>
            <w:r>
              <w:t xml:space="preserve">with significant increase in symptoms when total dust concentrations </w:t>
            </w:r>
            <w:r w:rsidR="00963EBF">
              <w:t>&gt;</w:t>
            </w:r>
            <w:r>
              <w:t>4 mg/m</w:t>
            </w:r>
            <w:r w:rsidRPr="001F68FB">
              <w:rPr>
                <w:vertAlign w:val="superscript"/>
              </w:rPr>
              <w:t>3</w:t>
            </w:r>
          </w:p>
          <w:p w14:paraId="33A80EC0" w14:textId="77777777" w:rsidR="0027594B" w:rsidRDefault="001B05DC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No relationship found between chronic exposures </w:t>
            </w:r>
            <w:r w:rsidR="00121039">
              <w:t xml:space="preserve">(7 yr) </w:t>
            </w:r>
            <w:r>
              <w:t xml:space="preserve">and pulmonary functions </w:t>
            </w:r>
          </w:p>
          <w:p w14:paraId="514ABAD5" w14:textId="77777777" w:rsidR="00F42502" w:rsidRDefault="00F42502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Suggestion</w:t>
            </w:r>
            <w:r w:rsidR="00121039">
              <w:t xml:space="preserve"> of </w:t>
            </w:r>
            <w:r>
              <w:t>reproductive effects (birth numbers) observed in one study at high exposures (mean 23 mg/m</w:t>
            </w:r>
            <w:r w:rsidRPr="001F68FB">
              <w:rPr>
                <w:vertAlign w:val="superscript"/>
              </w:rPr>
              <w:t>3</w:t>
            </w:r>
            <w:r>
              <w:t xml:space="preserve">) </w:t>
            </w:r>
          </w:p>
          <w:p w14:paraId="67778FC7" w14:textId="04AF8A12" w:rsidR="0019548A" w:rsidRDefault="00EF3891" w:rsidP="00F3538D">
            <w:pPr>
              <w:pStyle w:val="ListBullet"/>
              <w:spacing w:before="60" w:after="60"/>
              <w:ind w:left="720" w:hanging="357"/>
              <w:contextualSpacing w:val="0"/>
            </w:pPr>
            <w:r>
              <w:t>Data not available to assign a skin or sensitiser notation</w:t>
            </w:r>
            <w:r w:rsidR="001D0E3E">
              <w:t>.</w:t>
            </w:r>
          </w:p>
          <w:p w14:paraId="70D3ADBE" w14:textId="77777777" w:rsidR="00B25CC6" w:rsidRDefault="00CB5E9A" w:rsidP="00CB5E9A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14:paraId="03BD33CF" w14:textId="0EFD6656" w:rsidR="00CB5E9A" w:rsidRPr="00B25CC6" w:rsidRDefault="00CB5E9A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Negative mutagenicity tests of boric acid </w:t>
            </w:r>
            <w:r w:rsidR="0086653F">
              <w:t xml:space="preserve">with </w:t>
            </w:r>
            <w:r w:rsidRPr="008D5486">
              <w:t>Salmonella typhimuri</w:t>
            </w:r>
            <w:r w:rsidR="00D113E3" w:rsidRPr="008D5486">
              <w:t>u</w:t>
            </w:r>
            <w:r w:rsidRPr="008D5486">
              <w:t>m</w:t>
            </w:r>
          </w:p>
          <w:p w14:paraId="0C794154" w14:textId="77777777" w:rsidR="00CB5E9A" w:rsidRDefault="00CB5E9A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Negative animal (mouse, rat and hamster) mutagenicity testing</w:t>
            </w:r>
            <w:r w:rsidR="0086653F">
              <w:t xml:space="preserve"> for borax</w:t>
            </w:r>
          </w:p>
          <w:p w14:paraId="22CBDEAD" w14:textId="77777777" w:rsidR="00CB5E9A" w:rsidRDefault="00CB5E9A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Decahydrate noted to cause mild skin irritation</w:t>
            </w:r>
            <w:r w:rsidR="0086653F">
              <w:t xml:space="preserve"> (24 h)</w:t>
            </w:r>
          </w:p>
          <w:p w14:paraId="022A5E4E" w14:textId="77777777" w:rsidR="00CB5E9A" w:rsidRDefault="00CB5E9A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Pentahydrate skin tests (guinea pigs and rabbits) considered non-irritating</w:t>
            </w:r>
            <w:r w:rsidR="0086653F">
              <w:t xml:space="preserve"> (24 h)</w:t>
            </w:r>
          </w:p>
          <w:p w14:paraId="2E708671" w14:textId="77777777" w:rsidR="006854A8" w:rsidRDefault="006854A8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No evidence for carcinogenicity of boric acid in mice at either 2</w:t>
            </w:r>
            <w:r w:rsidR="001E4EF4">
              <w:t>,</w:t>
            </w:r>
            <w:r>
              <w:t>500 ppm (0.25%) or 5</w:t>
            </w:r>
            <w:r w:rsidR="001E4EF4">
              <w:t>,</w:t>
            </w:r>
            <w:r w:rsidR="001149C9">
              <w:t>000 </w:t>
            </w:r>
            <w:r>
              <w:t>ppm (0.5%) doses</w:t>
            </w:r>
            <w:r w:rsidR="00BA0AAC">
              <w:t xml:space="preserve"> </w:t>
            </w:r>
          </w:p>
          <w:p w14:paraId="2DE2680F" w14:textId="77777777" w:rsidR="00F42502" w:rsidRDefault="006854A8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In mice and rats NOAEL (o</w:t>
            </w:r>
            <w:r w:rsidR="00F42502">
              <w:t>ral exposures</w:t>
            </w:r>
            <w:r>
              <w:t xml:space="preserve">) for reproductive toxicity range between </w:t>
            </w:r>
            <w:r w:rsidR="00A41C66">
              <w:t xml:space="preserve">         </w:t>
            </w:r>
            <w:r>
              <w:t>9.6</w:t>
            </w:r>
            <w:r w:rsidR="00963EBF">
              <w:t>–</w:t>
            </w:r>
            <w:r>
              <w:t>21.8</w:t>
            </w:r>
            <w:r w:rsidR="00163CB8">
              <w:t xml:space="preserve"> </w:t>
            </w:r>
            <w:r>
              <w:t xml:space="preserve">mg/kg </w:t>
            </w:r>
            <w:proofErr w:type="spellStart"/>
            <w:r w:rsidR="001149C9">
              <w:t>bw</w:t>
            </w:r>
            <w:proofErr w:type="spellEnd"/>
            <w:r w:rsidR="001D0E3E">
              <w:t>.</w:t>
            </w:r>
          </w:p>
          <w:p w14:paraId="61BECB1C" w14:textId="77777777" w:rsidR="0019548A" w:rsidRPr="00DA352E" w:rsidRDefault="0019548A" w:rsidP="005A2955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4E18DCC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7D2A258" w14:textId="77777777" w:rsidR="007F29FD" w:rsidRDefault="00DA352E" w:rsidP="0034457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574" w:hanging="2552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371B5">
                  <w:t>201</w:t>
                </w:r>
                <w:r w:rsidR="00E520C6">
                  <w:t>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024D8">
                  <w:t>MAK: 5 mg/m</w:t>
                </w:r>
                <w:r w:rsidR="001024D8" w:rsidRPr="001024D8">
                  <w:rPr>
                    <w:vertAlign w:val="superscript"/>
                  </w:rPr>
                  <w:t>3</w:t>
                </w:r>
                <w:r w:rsidR="0034457C">
                  <w:t xml:space="preserve"> for </w:t>
                </w:r>
                <w:r w:rsidR="007F29FD">
                  <w:t>sodium tetraborate pentahydrate</w:t>
                </w:r>
                <w:r w:rsidR="0034457C">
                  <w:t xml:space="preserve"> (0.75 </w:t>
                </w:r>
                <w:r w:rsidR="007F29FD">
                  <w:t>mg/m</w:t>
                </w:r>
                <w:r w:rsidR="007F29FD" w:rsidRPr="001024D8">
                  <w:rPr>
                    <w:vertAlign w:val="superscript"/>
                  </w:rPr>
                  <w:t>3</w:t>
                </w:r>
                <w:r w:rsidR="007F29FD">
                  <w:t xml:space="preserve"> </w:t>
                </w:r>
                <w:r w:rsidR="001024D8">
                  <w:t>as boron);</w:t>
                </w:r>
                <w:r w:rsidR="001024D8">
                  <w:br/>
                  <w:t>MAK: 10 mg/m</w:t>
                </w:r>
                <w:r w:rsidR="001024D8" w:rsidRPr="001024D8">
                  <w:rPr>
                    <w:vertAlign w:val="superscript"/>
                  </w:rPr>
                  <w:t>3</w:t>
                </w:r>
                <w:r w:rsidR="001024D8">
                  <w:t xml:space="preserve"> (</w:t>
                </w:r>
                <w:r w:rsidR="007F29FD">
                  <w:t>boric acid, 1.8 mg/m</w:t>
                </w:r>
                <w:r w:rsidR="007F29FD" w:rsidRPr="001024D8">
                  <w:rPr>
                    <w:vertAlign w:val="superscript"/>
                  </w:rPr>
                  <w:t>3</w:t>
                </w:r>
                <w:r w:rsidR="007F29FD">
                  <w:t xml:space="preserve"> </w:t>
                </w:r>
                <w:r w:rsidR="001024D8">
                  <w:t>as boron</w:t>
                </w:r>
                <w:r w:rsidR="007F29FD">
                  <w:t>)</w:t>
                </w:r>
              </w:sdtContent>
            </w:sdt>
            <w:r w:rsidR="007F29FD">
              <w:t xml:space="preserve"> </w:t>
            </w:r>
          </w:p>
          <w:p w14:paraId="36AAB61A" w14:textId="77777777" w:rsidR="00C978F0" w:rsidRPr="00DA352E" w:rsidRDefault="007F29F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>
              <w:t xml:space="preserve">                                             </w:t>
            </w:r>
            <w:r w:rsidR="0034457C">
              <w:t xml:space="preserve"> </w:t>
            </w:r>
            <w:r>
              <w:t>MAK: 0.75 mg/m</w:t>
            </w:r>
            <w:r w:rsidRPr="001024D8">
              <w:rPr>
                <w:vertAlign w:val="superscript"/>
              </w:rPr>
              <w:t>3</w:t>
            </w:r>
            <w:r>
              <w:t xml:space="preserve"> (other tetraborates and hydrates as boron);</w:t>
            </w:r>
          </w:p>
        </w:tc>
      </w:tr>
      <w:tr w:rsidR="00C978F0" w:rsidRPr="00DA352E" w14:paraId="716C7ABC" w14:textId="77777777" w:rsidTr="005A2955">
        <w:trPr>
          <w:gridAfter w:val="1"/>
          <w:wAfter w:w="8" w:type="pct"/>
        </w:trPr>
        <w:tc>
          <w:tcPr>
            <w:tcW w:w="0" w:type="pct"/>
          </w:tcPr>
          <w:p w14:paraId="2AD9EC19" w14:textId="77777777" w:rsidR="00601C55" w:rsidRDefault="00601C55" w:rsidP="00601C55">
            <w:pPr>
              <w:pStyle w:val="Tabletextprimarysource"/>
            </w:pPr>
            <w:r>
              <w:t>MAK recommended to protect for acute irritant effects.</w:t>
            </w:r>
          </w:p>
          <w:p w14:paraId="05434AF6" w14:textId="6606DF34" w:rsidR="00955586" w:rsidRDefault="00955586" w:rsidP="00955586">
            <w:pPr>
              <w:pStyle w:val="Tabletextprimarysource"/>
            </w:pPr>
            <w:r>
              <w:lastRenderedPageBreak/>
              <w:t xml:space="preserve">Studies with sodium tetraborates (anhydrous or as pentahydrate or decahydrate) may also be used for the assessment of the systemic effects of boric acid as undissociated </w:t>
            </w:r>
            <w:r w:rsidR="00F3538D" w:rsidRPr="003B5CD5">
              <w:rPr>
                <w:lang w:val="it-IT"/>
              </w:rPr>
              <w:t>H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 w:rsidR="00F3538D" w:rsidRPr="003B5CD5">
              <w:rPr>
                <w:lang w:val="it-IT"/>
              </w:rPr>
              <w:t>BO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>
              <w:t xml:space="preserve"> is formed when tetraborate anions are hydrolysed in water. </w:t>
            </w:r>
          </w:p>
          <w:p w14:paraId="019F649C" w14:textId="04005A32" w:rsidR="00955586" w:rsidRDefault="00601C55" w:rsidP="00955586">
            <w:pPr>
              <w:pStyle w:val="Tabletextprimarysource"/>
            </w:pPr>
            <w:r>
              <w:t>C</w:t>
            </w:r>
            <w:r w:rsidR="00955586">
              <w:t xml:space="preserve">oncentration of 1 mg </w:t>
            </w:r>
            <w:r w:rsidR="00F3538D" w:rsidRPr="003B5CD5">
              <w:rPr>
                <w:lang w:val="it-IT"/>
              </w:rPr>
              <w:t>H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 w:rsidR="00F3538D" w:rsidRPr="003B5CD5">
              <w:rPr>
                <w:lang w:val="it-IT"/>
              </w:rPr>
              <w:t>BO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 w:rsidR="00955586">
              <w:t xml:space="preserve"> contains 0.18 mg boron; 1 mg sodium tetraborate pentahydrate contains 0.15 mg boron, the boron content is used as the reference.</w:t>
            </w:r>
          </w:p>
          <w:p w14:paraId="5AE372B6" w14:textId="2A110555" w:rsidR="00C15531" w:rsidRDefault="00C15531" w:rsidP="00393643">
            <w:pPr>
              <w:pStyle w:val="Tabletextprimarysource"/>
            </w:pPr>
            <w:r>
              <w:t xml:space="preserve">Summary of </w:t>
            </w:r>
            <w:r w:rsidR="00622250">
              <w:t xml:space="preserve">additional </w:t>
            </w:r>
            <w:r>
              <w:t>data:</w:t>
            </w:r>
          </w:p>
          <w:p w14:paraId="62B4993E" w14:textId="70693E1E" w:rsidR="00816CD9" w:rsidRDefault="00816CD9" w:rsidP="00C34D49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No evidence of sensitisation to </w:t>
            </w:r>
            <w:r w:rsidR="00F3538D" w:rsidRPr="003B5CD5">
              <w:rPr>
                <w:lang w:val="it-IT"/>
              </w:rPr>
              <w:t>H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 w:rsidR="00F3538D" w:rsidRPr="003B5CD5">
              <w:rPr>
                <w:lang w:val="it-IT"/>
              </w:rPr>
              <w:t>BO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>
              <w:t xml:space="preserve"> and tetraborates in humans or animal studies</w:t>
            </w:r>
            <w:r w:rsidR="00601C55">
              <w:t>.</w:t>
            </w:r>
          </w:p>
          <w:p w14:paraId="4567BEC2" w14:textId="77777777" w:rsidR="00601C55" w:rsidRDefault="00393643" w:rsidP="00601C55">
            <w:pPr>
              <w:pStyle w:val="Tabletextprimarysource"/>
            </w:pPr>
            <w:r>
              <w:t>No evidence of carcinogenicity or mutagenicity</w:t>
            </w:r>
            <w:r w:rsidR="00601C55">
              <w:t xml:space="preserve">. </w:t>
            </w:r>
          </w:p>
          <w:p w14:paraId="380DED25" w14:textId="08C53B7F" w:rsidR="00393643" w:rsidRDefault="00F3538D" w:rsidP="00C34D49">
            <w:pPr>
              <w:pStyle w:val="Tabletextprimarysource"/>
            </w:pPr>
            <w:r w:rsidRPr="003B5CD5">
              <w:rPr>
                <w:lang w:val="it-IT"/>
              </w:rPr>
              <w:t>H</w:t>
            </w:r>
            <w:r w:rsidRPr="003B5CD5">
              <w:rPr>
                <w:vertAlign w:val="subscript"/>
                <w:lang w:val="it-IT"/>
              </w:rPr>
              <w:t>3</w:t>
            </w:r>
            <w:r w:rsidRPr="003B5CD5">
              <w:rPr>
                <w:lang w:val="it-IT"/>
              </w:rPr>
              <w:t>BO</w:t>
            </w:r>
            <w:r w:rsidRPr="003B5CD5">
              <w:rPr>
                <w:vertAlign w:val="subscript"/>
                <w:lang w:val="it-IT"/>
              </w:rPr>
              <w:t>3</w:t>
            </w:r>
            <w:r w:rsidR="00601C55">
              <w:t xml:space="preserve"> and borates are poorly absorbed through the skin and are not sensitising, genotoxic or carcinogenic.</w:t>
            </w:r>
          </w:p>
          <w:p w14:paraId="094F8806" w14:textId="77777777" w:rsidR="0032030A" w:rsidRDefault="00EF3891" w:rsidP="00C34D49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Skin notation not </w:t>
            </w:r>
            <w:r w:rsidR="00601C55">
              <w:t>warranted</w:t>
            </w:r>
            <w:r w:rsidR="00121039">
              <w:t>;</w:t>
            </w:r>
            <w:r w:rsidR="00601C55">
              <w:t xml:space="preserve"> </w:t>
            </w:r>
            <w:proofErr w:type="gramStart"/>
            <w:r>
              <w:t>however</w:t>
            </w:r>
            <w:proofErr w:type="gramEnd"/>
            <w:r>
              <w:t xml:space="preserve"> caution</w:t>
            </w:r>
            <w:r w:rsidR="00601C55">
              <w:t xml:space="preserve"> </w:t>
            </w:r>
            <w:r>
              <w:t>to avoid contact with damaged skin</w:t>
            </w:r>
            <w:r w:rsidR="00601C55">
              <w:t>.</w:t>
            </w:r>
          </w:p>
          <w:p w14:paraId="313C8210" w14:textId="77777777" w:rsidR="00622250" w:rsidRDefault="00622250" w:rsidP="00EF3891">
            <w:pPr>
              <w:pStyle w:val="ListBullet"/>
              <w:numPr>
                <w:ilvl w:val="0"/>
                <w:numId w:val="0"/>
              </w:numPr>
            </w:pPr>
          </w:p>
          <w:p w14:paraId="4B221104" w14:textId="2F82351E" w:rsidR="00C15531" w:rsidRDefault="00C15531" w:rsidP="00EF3891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</w:p>
          <w:p w14:paraId="74F3A130" w14:textId="110BB3B6" w:rsidR="00816CD9" w:rsidRDefault="00816CD9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No irritation found among 12 subjects exposed</w:t>
            </w:r>
            <w:r w:rsidR="00C34D49">
              <w:t xml:space="preserve"> to </w:t>
            </w:r>
            <w:r w:rsidR="00F3538D" w:rsidRPr="003B5CD5">
              <w:rPr>
                <w:lang w:val="it-IT"/>
              </w:rPr>
              <w:t>H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 w:rsidR="00F3538D" w:rsidRPr="003B5CD5">
              <w:rPr>
                <w:lang w:val="it-IT"/>
              </w:rPr>
              <w:t>BO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 w:rsidR="00C34D49">
              <w:t xml:space="preserve"> concentrations</w:t>
            </w:r>
            <w:r>
              <w:t xml:space="preserve"> up to 10 mg/m</w:t>
            </w:r>
            <w:r w:rsidRPr="008D5486">
              <w:rPr>
                <w:vertAlign w:val="superscript"/>
              </w:rPr>
              <w:t>3</w:t>
            </w:r>
            <w:r>
              <w:t xml:space="preserve"> (1.8 mg/m</w:t>
            </w:r>
            <w:r w:rsidRPr="008D5486">
              <w:rPr>
                <w:vertAlign w:val="superscript"/>
              </w:rPr>
              <w:t>3</w:t>
            </w:r>
            <w:r w:rsidR="00F3538D">
              <w:t>, as B</w:t>
            </w:r>
            <w:r>
              <w:t>)</w:t>
            </w:r>
          </w:p>
          <w:p w14:paraId="40B6BD99" w14:textId="25820CD8" w:rsidR="0019548A" w:rsidRDefault="00B8634E" w:rsidP="00F3538D">
            <w:pPr>
              <w:pStyle w:val="ListBullet"/>
              <w:spacing w:before="60" w:after="60"/>
              <w:ind w:left="720" w:hanging="357"/>
              <w:contextualSpacing w:val="0"/>
            </w:pPr>
            <w:r w:rsidRPr="00B8634E">
              <w:t>NOAEC of 5</w:t>
            </w:r>
            <w:r>
              <w:t xml:space="preserve"> mg/m</w:t>
            </w:r>
            <w:r w:rsidRPr="001F68FB">
              <w:rPr>
                <w:vertAlign w:val="superscript"/>
              </w:rPr>
              <w:t>3</w:t>
            </w:r>
            <w:r w:rsidRPr="00816CD9">
              <w:t xml:space="preserve"> </w:t>
            </w:r>
            <w:r w:rsidR="00816CD9">
              <w:t xml:space="preserve">(0.75 </w:t>
            </w:r>
            <w:r w:rsidR="00490387">
              <w:t>mg/m</w:t>
            </w:r>
            <w:r w:rsidR="00490387" w:rsidRPr="008D5486">
              <w:rPr>
                <w:vertAlign w:val="superscript"/>
              </w:rPr>
              <w:t>3</w:t>
            </w:r>
            <w:r w:rsidR="00F3538D">
              <w:t>, as B</w:t>
            </w:r>
            <w:r w:rsidR="00816CD9">
              <w:t>)</w:t>
            </w:r>
            <w:r w:rsidR="00816CD9" w:rsidRPr="00B8634E">
              <w:t xml:space="preserve"> </w:t>
            </w:r>
            <w:r w:rsidRPr="00B8634E">
              <w:t>derived from</w:t>
            </w:r>
            <w:r>
              <w:t xml:space="preserve"> evidence of n</w:t>
            </w:r>
            <w:r w:rsidR="00C15531">
              <w:t>asal discharge significantly increased (compared with control condition) from sodium tetraborate (pentahydrate)</w:t>
            </w:r>
            <w:r>
              <w:t xml:space="preserve"> inhalation</w:t>
            </w:r>
            <w:r w:rsidR="001A18EA">
              <w:t>.</w:t>
            </w:r>
          </w:p>
          <w:p w14:paraId="3D94773D" w14:textId="77777777" w:rsidR="00C15531" w:rsidRDefault="00C15531" w:rsidP="00C34D49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03AF4524" w14:textId="3700005D" w:rsidR="00121039" w:rsidRDefault="00F3538D" w:rsidP="008D5486">
            <w:pPr>
              <w:pStyle w:val="ListBullet"/>
              <w:spacing w:before="60" w:after="60"/>
              <w:ind w:left="720" w:hanging="357"/>
              <w:contextualSpacing w:val="0"/>
            </w:pPr>
            <w:r w:rsidRPr="003B5CD5">
              <w:rPr>
                <w:lang w:val="it-IT"/>
              </w:rPr>
              <w:t>H</w:t>
            </w:r>
            <w:r w:rsidRPr="003B5CD5">
              <w:rPr>
                <w:vertAlign w:val="subscript"/>
                <w:lang w:val="it-IT"/>
              </w:rPr>
              <w:t>3</w:t>
            </w:r>
            <w:r w:rsidRPr="003B5CD5">
              <w:rPr>
                <w:lang w:val="it-IT"/>
              </w:rPr>
              <w:t>BO</w:t>
            </w:r>
            <w:r w:rsidRPr="003B5CD5">
              <w:rPr>
                <w:vertAlign w:val="subscript"/>
                <w:lang w:val="it-IT"/>
              </w:rPr>
              <w:t>3</w:t>
            </w:r>
            <w:r w:rsidR="00816CD9">
              <w:t xml:space="preserve"> teratogenic in mice, rabbits and rats</w:t>
            </w:r>
          </w:p>
          <w:p w14:paraId="75FC31B8" w14:textId="77777777" w:rsidR="00816CD9" w:rsidRDefault="00816CD9" w:rsidP="008D5486">
            <w:pPr>
              <w:pStyle w:val="ListBullet"/>
              <w:numPr>
                <w:ilvl w:val="0"/>
                <w:numId w:val="4"/>
              </w:numPr>
              <w:spacing w:before="60" w:after="60"/>
              <w:ind w:left="1156" w:hanging="357"/>
              <w:contextualSpacing w:val="0"/>
            </w:pPr>
            <w:r>
              <w:t>mechanism of action for fertility effects is unclear</w:t>
            </w:r>
          </w:p>
          <w:p w14:paraId="670C5029" w14:textId="34DF815D" w:rsidR="00C978F0" w:rsidRDefault="00955586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Absent (or shortened) 13</w:t>
            </w:r>
            <w:r w:rsidRPr="00055B39">
              <w:rPr>
                <w:vertAlign w:val="superscript"/>
              </w:rPr>
              <w:t>th</w:t>
            </w:r>
            <w:r w:rsidR="001D0E3E">
              <w:t xml:space="preserve"> </w:t>
            </w:r>
            <w:r>
              <w:t xml:space="preserve">ribs in offspring is </w:t>
            </w:r>
            <w:r w:rsidR="001D0E3E">
              <w:t xml:space="preserve">an </w:t>
            </w:r>
            <w:r>
              <w:t xml:space="preserve">observed developmental toxicity effect from doses of boric acid </w:t>
            </w:r>
            <w:r w:rsidR="0051763F">
              <w:t>(as boron</w:t>
            </w:r>
            <w:r w:rsidR="0051763F">
              <w:rPr>
                <w:b/>
                <w:bCs/>
              </w:rPr>
              <w:t xml:space="preserve">) </w:t>
            </w:r>
            <w:r>
              <w:t>at 13.3 and 176 mg/kg/d (rats and mice)</w:t>
            </w:r>
            <w:r w:rsidR="00C15531">
              <w:t xml:space="preserve"> </w:t>
            </w:r>
          </w:p>
          <w:p w14:paraId="5E6C1986" w14:textId="52EF8C6D" w:rsidR="00955586" w:rsidRDefault="00B8634E" w:rsidP="008D5486">
            <w:pPr>
              <w:pStyle w:val="ListBullet"/>
              <w:spacing w:before="60" w:after="60"/>
              <w:ind w:left="720" w:hanging="357"/>
              <w:contextualSpacing w:val="0"/>
            </w:pPr>
            <w:r>
              <w:t>LD</w:t>
            </w:r>
            <w:r w:rsidRPr="00B8634E">
              <w:rPr>
                <w:vertAlign w:val="subscript"/>
              </w:rPr>
              <w:t>50</w:t>
            </w:r>
            <w:r w:rsidR="00601C55">
              <w:t>: &gt;</w:t>
            </w:r>
            <w:r w:rsidR="00816CD9">
              <w:t>2</w:t>
            </w:r>
            <w:r w:rsidR="001E4EF4">
              <w:t>,</w:t>
            </w:r>
            <w:r w:rsidR="00816CD9">
              <w:t>000 mg/kg (</w:t>
            </w:r>
            <w:r>
              <w:t>rabbits</w:t>
            </w:r>
            <w:r w:rsidR="00601C55">
              <w:t>, dermal</w:t>
            </w:r>
            <w:r w:rsidR="00816CD9">
              <w:t>)</w:t>
            </w:r>
            <w:r w:rsidR="00601C55">
              <w:t xml:space="preserve">; borax and </w:t>
            </w:r>
            <w:r w:rsidR="00F3538D" w:rsidRPr="003B5CD5">
              <w:rPr>
                <w:lang w:val="it-IT"/>
              </w:rPr>
              <w:t>H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 w:rsidR="00F3538D" w:rsidRPr="003B5CD5">
              <w:rPr>
                <w:lang w:val="it-IT"/>
              </w:rPr>
              <w:t>BO</w:t>
            </w:r>
            <w:r w:rsidR="00F3538D" w:rsidRPr="003B5CD5">
              <w:rPr>
                <w:vertAlign w:val="subscript"/>
                <w:lang w:val="it-IT"/>
              </w:rPr>
              <w:t>3</w:t>
            </w:r>
            <w:r w:rsidR="00601C55">
              <w:t xml:space="preserve">. </w:t>
            </w:r>
          </w:p>
          <w:p w14:paraId="741C0158" w14:textId="77777777" w:rsidR="0019548A" w:rsidRPr="00DA352E" w:rsidRDefault="0019548A" w:rsidP="005A2955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4075FF4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AD828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52BB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52BBB">
                  <w:t>NA</w:t>
                </w:r>
                <w:proofErr w:type="spellEnd"/>
              </w:sdtContent>
            </w:sdt>
          </w:p>
        </w:tc>
      </w:tr>
      <w:tr w:rsidR="00C978F0" w:rsidRPr="00DA352E" w14:paraId="554408F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CE9558" w14:textId="77777777" w:rsidR="00C978F0" w:rsidRPr="00DA352E" w:rsidRDefault="00D52BBB" w:rsidP="003365A5">
            <w:pPr>
              <w:pStyle w:val="Tabletextprimarysource"/>
            </w:pPr>
            <w:r>
              <w:t>No report</w:t>
            </w:r>
            <w:r w:rsidR="00121039">
              <w:t>.</w:t>
            </w:r>
          </w:p>
        </w:tc>
      </w:tr>
      <w:tr w:rsidR="00DA352E" w:rsidRPr="00DA352E" w14:paraId="631305D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17D354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52BB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52BBB">
                  <w:t>NA</w:t>
                </w:r>
                <w:proofErr w:type="spellEnd"/>
              </w:sdtContent>
            </w:sdt>
          </w:p>
        </w:tc>
      </w:tr>
      <w:tr w:rsidR="00DA352E" w:rsidRPr="00DA352E" w14:paraId="1F9847E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D32DFE" w14:textId="77777777" w:rsidR="00DA352E" w:rsidRPr="00DA352E" w:rsidRDefault="00D52BBB" w:rsidP="003365A5">
            <w:pPr>
              <w:pStyle w:val="Tabletextprimarysource"/>
            </w:pPr>
            <w:r>
              <w:t>No report</w:t>
            </w:r>
            <w:r w:rsidR="00121039">
              <w:t>.</w:t>
            </w:r>
          </w:p>
        </w:tc>
      </w:tr>
      <w:tr w:rsidR="00DA352E" w:rsidRPr="00DA352E" w14:paraId="432E008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0B790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52BB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D52BBB">
                  <w:t>NA</w:t>
                </w:r>
                <w:proofErr w:type="spellEnd"/>
              </w:sdtContent>
            </w:sdt>
          </w:p>
        </w:tc>
      </w:tr>
      <w:tr w:rsidR="00DA352E" w:rsidRPr="00DA352E" w14:paraId="0445EC3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D6AA08" w14:textId="77777777" w:rsidR="00DA352E" w:rsidRPr="00DA352E" w:rsidRDefault="00D52BBB" w:rsidP="003365A5">
            <w:pPr>
              <w:pStyle w:val="Tabletextprimarysource"/>
            </w:pPr>
            <w:r>
              <w:t>No report</w:t>
            </w:r>
            <w:r w:rsidR="00121039">
              <w:t>.</w:t>
            </w:r>
          </w:p>
        </w:tc>
      </w:tr>
    </w:tbl>
    <w:p w14:paraId="0982F43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4CFBCF7D" w14:textId="77777777" w:rsidTr="00C34D49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7FE072D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0A39D0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FCB91B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3FA235E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B87C6BC" w14:textId="77777777" w:rsidTr="00C34D49">
        <w:trPr>
          <w:cantSplit/>
        </w:trPr>
        <w:tc>
          <w:tcPr>
            <w:tcW w:w="1492" w:type="dxa"/>
          </w:tcPr>
          <w:p w14:paraId="7353DB0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73079075" w14:textId="77777777" w:rsidR="004966BF" w:rsidRPr="00CE617F" w:rsidRDefault="0027790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06A9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43DD9C2" w14:textId="77777777" w:rsidR="004966BF" w:rsidRPr="004C23F4" w:rsidRDefault="00006A9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</w:t>
            </w:r>
            <w:r w:rsidR="00055B39">
              <w:rPr>
                <w:rStyle w:val="checkbox"/>
                <w:rFonts w:ascii="Arial" w:hAnsi="Arial" w:cs="Arial"/>
              </w:rPr>
              <w:t>9</w:t>
            </w:r>
          </w:p>
        </w:tc>
        <w:tc>
          <w:tcPr>
            <w:tcW w:w="6450" w:type="dxa"/>
          </w:tcPr>
          <w:p w14:paraId="53D7A7B0" w14:textId="77777777" w:rsidR="004966BF" w:rsidRDefault="00006A9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Human health tier II assessment</w:t>
            </w:r>
          </w:p>
          <w:p w14:paraId="1348FE55" w14:textId="77777777" w:rsidR="00E453B5" w:rsidRDefault="00E453B5" w:rsidP="008D548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</w:t>
            </w:r>
            <w:r w:rsidRPr="00E453B5">
              <w:rPr>
                <w:rStyle w:val="checkbox"/>
                <w:rFonts w:ascii="Arial" w:hAnsi="Arial" w:cs="Arial"/>
              </w:rPr>
              <w:t>norganic borate toxicity is driven predominantly by boron</w:t>
            </w:r>
          </w:p>
          <w:p w14:paraId="7251ABDD" w14:textId="77777777" w:rsidR="00006A95" w:rsidRDefault="00F16079" w:rsidP="008D548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Pr="00F16079">
              <w:rPr>
                <w:rStyle w:val="checkbox"/>
                <w:rFonts w:ascii="Arial" w:hAnsi="Arial" w:cs="Arial"/>
              </w:rPr>
              <w:t>ot likely to have a mutagenic or genotoxic potential</w:t>
            </w:r>
          </w:p>
          <w:p w14:paraId="423B24D6" w14:textId="77777777" w:rsidR="00F16079" w:rsidRDefault="00E453B5" w:rsidP="008D548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E453B5">
              <w:rPr>
                <w:rStyle w:val="checkbox"/>
                <w:rFonts w:ascii="Arial" w:hAnsi="Arial" w:cs="Arial"/>
              </w:rPr>
              <w:t>ritical health effects for risk characterisation include reproductive and developmental toxicity</w:t>
            </w:r>
          </w:p>
          <w:p w14:paraId="720100C7" w14:textId="77777777" w:rsidR="005231E8" w:rsidRPr="004C23F4" w:rsidRDefault="005231E8" w:rsidP="008D548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393643">
              <w:rPr>
                <w:rStyle w:val="checkbox"/>
                <w:rFonts w:ascii="Arial" w:hAnsi="Arial" w:cs="Arial"/>
              </w:rPr>
              <w:t>ot likely to be skin sensitiser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2DFD844" w14:textId="77777777" w:rsidR="007E2A4B" w:rsidRDefault="007E2A4B" w:rsidP="007B657C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3D3CCCDB" w14:textId="77777777" w:rsidTr="00C34D49">
        <w:trPr>
          <w:trHeight w:val="454"/>
          <w:tblHeader/>
        </w:trPr>
        <w:tc>
          <w:tcPr>
            <w:tcW w:w="6609" w:type="dxa"/>
            <w:vAlign w:val="center"/>
          </w:tcPr>
          <w:p w14:paraId="3078647F" w14:textId="77777777" w:rsidR="002E0D61" w:rsidRDefault="00B1422A" w:rsidP="007B657C">
            <w:pPr>
              <w:pStyle w:val="Tablefont"/>
              <w:keepLines/>
              <w:spacing w:before="40" w:after="40"/>
            </w:pPr>
            <w:bookmarkStart w:id="1" w:name="GCQuest"/>
            <w:r>
              <w:lastRenderedPageBreak/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15B43408" w14:textId="77777777" w:rsidR="002E0D61" w:rsidRDefault="00B25CC6" w:rsidP="007B657C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A161634" w14:textId="77777777" w:rsidTr="00C34D4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608BBF01" w14:textId="77777777" w:rsidR="008A36CF" w:rsidRPr="006901A2" w:rsidRDefault="00C15531" w:rsidP="007B657C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6C2B7435" w14:textId="77777777" w:rsidR="008A36CF" w:rsidRDefault="008A36CF" w:rsidP="007B657C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1C5EB9F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5B2A03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910C98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40F9AC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2DCDC97" w14:textId="77777777" w:rsidTr="00812887">
        <w:trPr>
          <w:cantSplit/>
        </w:trPr>
        <w:tc>
          <w:tcPr>
            <w:tcW w:w="3227" w:type="dxa"/>
          </w:tcPr>
          <w:p w14:paraId="20B812A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0AF5F03" w14:textId="77777777" w:rsidR="00687890" w:rsidRPr="00DD2F9B" w:rsidRDefault="002600D8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D7D0D63" w14:textId="77777777" w:rsidTr="00812887">
        <w:trPr>
          <w:cantSplit/>
        </w:trPr>
        <w:tc>
          <w:tcPr>
            <w:tcW w:w="3227" w:type="dxa"/>
          </w:tcPr>
          <w:p w14:paraId="1E07794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FC46C57" w14:textId="77777777" w:rsidR="007925F0" w:rsidRPr="00DD2F9B" w:rsidRDefault="00C34D49" w:rsidP="00DD2F9B">
            <w:pPr>
              <w:pStyle w:val="Tablefont"/>
            </w:pPr>
            <w:r>
              <w:t xml:space="preserve">— </w:t>
            </w:r>
          </w:p>
        </w:tc>
      </w:tr>
      <w:tr w:rsidR="00AF483F" w:rsidRPr="004C23F4" w14:paraId="424E67F6" w14:textId="77777777" w:rsidTr="00812887">
        <w:trPr>
          <w:cantSplit/>
        </w:trPr>
        <w:tc>
          <w:tcPr>
            <w:tcW w:w="3227" w:type="dxa"/>
          </w:tcPr>
          <w:p w14:paraId="5177694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D0DB7BB" w14:textId="77777777" w:rsidR="00AF483F" w:rsidRPr="00DD2F9B" w:rsidRDefault="00C34D49" w:rsidP="00DD2F9B">
            <w:pPr>
              <w:pStyle w:val="Tablefont"/>
            </w:pPr>
            <w:r>
              <w:t xml:space="preserve">— </w:t>
            </w:r>
          </w:p>
        </w:tc>
      </w:tr>
      <w:tr w:rsidR="00687890" w:rsidRPr="004C23F4" w14:paraId="248F3F0C" w14:textId="77777777" w:rsidTr="00812887">
        <w:trPr>
          <w:cantSplit/>
        </w:trPr>
        <w:tc>
          <w:tcPr>
            <w:tcW w:w="3227" w:type="dxa"/>
          </w:tcPr>
          <w:p w14:paraId="54F718E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683ACF7" w14:textId="77777777" w:rsidR="00687890" w:rsidRPr="00DD2F9B" w:rsidRDefault="002600D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6C323AD" w14:textId="77777777" w:rsidTr="00812887">
        <w:trPr>
          <w:cantSplit/>
        </w:trPr>
        <w:tc>
          <w:tcPr>
            <w:tcW w:w="3227" w:type="dxa"/>
          </w:tcPr>
          <w:p w14:paraId="2672757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0123D37" w14:textId="77777777" w:rsidR="00E41A26" w:rsidRPr="00DD2F9B" w:rsidRDefault="00C34D49" w:rsidP="00DD2F9B">
            <w:pPr>
              <w:pStyle w:val="Tablefont"/>
            </w:pPr>
            <w:r>
              <w:t xml:space="preserve">— </w:t>
            </w:r>
          </w:p>
        </w:tc>
      </w:tr>
      <w:tr w:rsidR="002E0D61" w:rsidRPr="004C23F4" w14:paraId="64C1B0D3" w14:textId="77777777" w:rsidTr="00812887">
        <w:trPr>
          <w:cantSplit/>
        </w:trPr>
        <w:tc>
          <w:tcPr>
            <w:tcW w:w="3227" w:type="dxa"/>
          </w:tcPr>
          <w:p w14:paraId="273C5C4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1AC944A" w14:textId="77777777" w:rsidR="002E0D61" w:rsidRPr="00DD2F9B" w:rsidRDefault="0059572B" w:rsidP="00DD2F9B">
            <w:pPr>
              <w:pStyle w:val="Tablefont"/>
            </w:pPr>
            <w:r>
              <w:t>Carcinogenicity – A4</w:t>
            </w:r>
          </w:p>
        </w:tc>
      </w:tr>
      <w:tr w:rsidR="002E0D61" w:rsidRPr="004C23F4" w14:paraId="182100BF" w14:textId="77777777" w:rsidTr="00812887">
        <w:trPr>
          <w:cantSplit/>
        </w:trPr>
        <w:tc>
          <w:tcPr>
            <w:tcW w:w="3227" w:type="dxa"/>
          </w:tcPr>
          <w:p w14:paraId="75A9759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11184D1" w14:textId="77777777" w:rsidR="002E0D61" w:rsidRPr="00DD2F9B" w:rsidRDefault="00601C55" w:rsidP="00DD2F9B">
            <w:pPr>
              <w:pStyle w:val="Tablefont"/>
            </w:pPr>
            <w:r>
              <w:t xml:space="preserve">— </w:t>
            </w:r>
          </w:p>
        </w:tc>
      </w:tr>
      <w:tr w:rsidR="002E0D61" w:rsidRPr="004C23F4" w14:paraId="3A7F82AB" w14:textId="77777777" w:rsidTr="00812887">
        <w:trPr>
          <w:cantSplit/>
        </w:trPr>
        <w:tc>
          <w:tcPr>
            <w:tcW w:w="3227" w:type="dxa"/>
          </w:tcPr>
          <w:p w14:paraId="4526696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DA6FE87" w14:textId="77777777" w:rsidR="002E0D61" w:rsidRPr="00DD2F9B" w:rsidRDefault="0059572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DC7C177" w14:textId="77777777" w:rsidTr="00812887">
        <w:trPr>
          <w:cantSplit/>
        </w:trPr>
        <w:tc>
          <w:tcPr>
            <w:tcW w:w="3227" w:type="dxa"/>
          </w:tcPr>
          <w:p w14:paraId="48C4BD4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E9D2601" w14:textId="77777777" w:rsidR="002E0D61" w:rsidRPr="00DD2F9B" w:rsidRDefault="0059572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85BA026" w14:textId="77777777" w:rsidTr="00812887">
        <w:trPr>
          <w:cantSplit/>
        </w:trPr>
        <w:tc>
          <w:tcPr>
            <w:tcW w:w="3227" w:type="dxa"/>
          </w:tcPr>
          <w:p w14:paraId="6355C88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CFB8649" w14:textId="77777777" w:rsidR="00386093" w:rsidRPr="00DD2F9B" w:rsidRDefault="0059572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DA9A4D9" w14:textId="77777777" w:rsidTr="00812887">
        <w:trPr>
          <w:cantSplit/>
        </w:trPr>
        <w:tc>
          <w:tcPr>
            <w:tcW w:w="3227" w:type="dxa"/>
          </w:tcPr>
          <w:p w14:paraId="3E1B8E9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2395CCB" w14:textId="77777777" w:rsidR="00386093" w:rsidRPr="00DD2F9B" w:rsidRDefault="0059572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025EF2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A54683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5429F6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32FA11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0D5BCA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7EB16C7" w14:textId="5E5C5CFA" w:rsidR="00932DCE" w:rsidRPr="004C23F4" w:rsidRDefault="0093633A" w:rsidP="00F9496B">
            <w:pPr>
              <w:pStyle w:val="Tablefont"/>
            </w:pPr>
            <w:r w:rsidRPr="0093633A">
              <w:t>Insufficient data to assign a skin notation</w:t>
            </w:r>
            <w:r w:rsidR="00F3538D">
              <w:t>.</w:t>
            </w:r>
          </w:p>
        </w:tc>
      </w:tr>
    </w:tbl>
    <w:bookmarkEnd w:id="3"/>
    <w:p w14:paraId="72B2AC3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7460EB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B86264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4785447" w14:textId="77777777" w:rsidR="00EB3D1B" w:rsidRDefault="0093633A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5B07F0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1"/>
        <w:gridCol w:w="5035"/>
      </w:tblGrid>
      <w:tr w:rsidR="001B79E5" w:rsidRPr="004C23F4" w14:paraId="3EEFABF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F0691A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A0F7B07" w14:textId="77777777" w:rsidR="001B79E5" w:rsidRDefault="00FC492C" w:rsidP="001B79E5">
                <w:pPr>
                  <w:pStyle w:val="Tablefont"/>
                </w:pPr>
                <w:r>
                  <w:t xml:space="preserve">201.22 (anhydrous) </w:t>
                </w:r>
              </w:p>
            </w:tc>
          </w:sdtContent>
        </w:sdt>
      </w:tr>
      <w:tr w:rsidR="00A31D99" w:rsidRPr="004C23F4" w14:paraId="5610038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A3DB5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822B1E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5E82D4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F64EBC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DB5E393" w14:textId="77777777" w:rsidR="00687890" w:rsidRPr="004C23F4" w:rsidRDefault="00AD6AB5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19F1E0A1" w14:textId="77777777" w:rsidTr="00EA6243">
        <w:trPr>
          <w:cantSplit/>
        </w:trPr>
        <w:tc>
          <w:tcPr>
            <w:tcW w:w="4077" w:type="dxa"/>
            <w:vAlign w:val="center"/>
          </w:tcPr>
          <w:p w14:paraId="171EFE4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B0E983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9F9EDDF" w14:textId="77777777" w:rsidTr="00EA6243">
        <w:trPr>
          <w:cantSplit/>
        </w:trPr>
        <w:tc>
          <w:tcPr>
            <w:tcW w:w="4077" w:type="dxa"/>
            <w:vAlign w:val="center"/>
          </w:tcPr>
          <w:p w14:paraId="6F433CE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836D0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E2D1B00" w14:textId="77777777" w:rsidTr="00EA6243">
        <w:trPr>
          <w:cantSplit/>
        </w:trPr>
        <w:tc>
          <w:tcPr>
            <w:tcW w:w="4077" w:type="dxa"/>
            <w:vAlign w:val="center"/>
          </w:tcPr>
          <w:p w14:paraId="74275F6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584AEA8" w14:textId="77777777" w:rsidR="00E06F40" w:rsidRPr="00A006A0" w:rsidRDefault="0027790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6110F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371C323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2B14AC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E58048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1B2C80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90E314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68D922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02C92F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084F85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838C887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5719420" w14:textId="77777777" w:rsidR="001A18EA" w:rsidRDefault="00454C39" w:rsidP="00D71ADF">
      <w:pPr>
        <w:autoSpaceDE w:val="0"/>
        <w:autoSpaceDN w:val="0"/>
        <w:adjustRightInd w:val="0"/>
        <w:spacing w:after="0" w:line="240" w:lineRule="auto"/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(2017) Boric acid and tetraborates – MAK value documentation.</w:t>
      </w:r>
    </w:p>
    <w:p w14:paraId="714C4DA0" w14:textId="77777777" w:rsidR="001A18EA" w:rsidRDefault="001A18EA" w:rsidP="00D71ADF">
      <w:pPr>
        <w:autoSpaceDE w:val="0"/>
        <w:autoSpaceDN w:val="0"/>
        <w:adjustRightInd w:val="0"/>
        <w:spacing w:after="0" w:line="240" w:lineRule="auto"/>
      </w:pPr>
    </w:p>
    <w:p w14:paraId="174AEBF3" w14:textId="77777777" w:rsidR="00055B39" w:rsidRDefault="005946A1" w:rsidP="00D71ADF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  <w:r>
        <w:rPr>
          <w:rFonts w:cs="Arial"/>
          <w:color w:val="000000"/>
          <w:szCs w:val="20"/>
        </w:rPr>
        <w:t>National Industrial Chemicals Notification and Assessment Scheme (</w:t>
      </w:r>
      <w:r w:rsidRPr="00D71ADF">
        <w:rPr>
          <w:rFonts w:cs="Arial"/>
          <w:szCs w:val="20"/>
        </w:rPr>
        <w:t xml:space="preserve">NICNAS) (2017) </w:t>
      </w:r>
      <w:r w:rsidR="00D71ADF" w:rsidRPr="00D71ADF">
        <w:rPr>
          <w:rFonts w:cs="Arial"/>
          <w:szCs w:val="20"/>
        </w:rPr>
        <w:t>Salts of boric acid</w:t>
      </w:r>
      <w:r w:rsidRPr="00D71ADF">
        <w:rPr>
          <w:rFonts w:cs="Arial"/>
          <w:szCs w:val="20"/>
        </w:rPr>
        <w:t xml:space="preserve">: Human health tier II assessment </w:t>
      </w:r>
      <w:r w:rsidRPr="00D71ADF">
        <w:rPr>
          <w:rFonts w:ascii="ArialMT" w:eastAsia="ArialMT" w:cs="ArialMT" w:hint="eastAsia"/>
          <w:szCs w:val="20"/>
        </w:rPr>
        <w:t>–</w:t>
      </w:r>
      <w:r w:rsidRPr="00D71ADF">
        <w:rPr>
          <w:rFonts w:ascii="ArialMT" w:eastAsia="ArialMT" w:cs="ArialMT"/>
          <w:szCs w:val="20"/>
        </w:rPr>
        <w:t xml:space="preserve"> </w:t>
      </w:r>
      <w:r w:rsidRPr="00D71ADF">
        <w:rPr>
          <w:rFonts w:cs="Arial"/>
          <w:szCs w:val="20"/>
        </w:rPr>
        <w:t>IMAP report.</w:t>
      </w:r>
    </w:p>
    <w:p w14:paraId="304A8C0A" w14:textId="77777777" w:rsidR="00055B39" w:rsidRDefault="00055B39" w:rsidP="00D71ADF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36EB2F67" w14:textId="77777777" w:rsidR="00055B39" w:rsidRDefault="00055B39" w:rsidP="00055B39">
      <w:r w:rsidRPr="00DB0A36">
        <w:t>National Industrial Chemicals Notification and Assessment Scheme (NICNAS) (201</w:t>
      </w:r>
      <w:r>
        <w:t>9) Boric acid and precursors to boric acid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sdt>
        <w:sdtPr>
          <w:id w:val="-1295753243"/>
          <w:temporary/>
          <w:showingPlcHdr/>
        </w:sdtPr>
        <w:sdtEndPr/>
        <w:sdtContent>
          <w:r w:rsidRPr="005F4305">
            <w:t>tier II</w:t>
          </w:r>
        </w:sdtContent>
      </w:sdt>
      <w:r w:rsidRPr="004633BA">
        <w:t xml:space="preserve"> assessment </w:t>
      </w:r>
      <w:r w:rsidRPr="00DB0A36">
        <w:t>– IMAP report.</w:t>
      </w:r>
    </w:p>
    <w:p w14:paraId="77865F1A" w14:textId="77777777" w:rsidR="00055B39" w:rsidRPr="00055B39" w:rsidRDefault="00055B39" w:rsidP="00D71ADF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sectPr w:rsidR="00055B39" w:rsidRPr="00055B39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75CFB" w14:textId="77777777" w:rsidR="00C06BCA" w:rsidRDefault="00C06BCA" w:rsidP="00F43AD5">
      <w:pPr>
        <w:spacing w:after="0" w:line="240" w:lineRule="auto"/>
      </w:pPr>
      <w:r>
        <w:separator/>
      </w:r>
    </w:p>
  </w:endnote>
  <w:endnote w:type="continuationSeparator" w:id="0">
    <w:p w14:paraId="4A33D0CE" w14:textId="77777777" w:rsidR="00C06BCA" w:rsidRDefault="00C06BC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8AF1A79" w14:textId="77777777" w:rsidR="005946A1" w:rsidRDefault="005946A1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Borate Compounds (1330-43-4, 12179-04-3, 1303-96-4, 10043-35-3)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40975A9D" w14:textId="66AD94A5" w:rsidR="005946A1" w:rsidRPr="00F43AD5" w:rsidRDefault="005946A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026EE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67569" w14:textId="77777777" w:rsidR="00C06BCA" w:rsidRDefault="00C06BCA" w:rsidP="00F43AD5">
      <w:pPr>
        <w:spacing w:after="0" w:line="240" w:lineRule="auto"/>
      </w:pPr>
      <w:r>
        <w:separator/>
      </w:r>
    </w:p>
  </w:footnote>
  <w:footnote w:type="continuationSeparator" w:id="0">
    <w:p w14:paraId="57375326" w14:textId="77777777" w:rsidR="00C06BCA" w:rsidRDefault="00C06BC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BAB45" w14:textId="043A1DFE" w:rsidR="005946A1" w:rsidRDefault="005946A1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49382D0" wp14:editId="0A0E59A1">
          <wp:extent cx="2938272" cy="594360"/>
          <wp:effectExtent l="0" t="0" r="0" b="0"/>
          <wp:docPr id="5" name="Picture 5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71CE3" w14:textId="47A3B855" w:rsidR="008026EE" w:rsidRDefault="008026EE" w:rsidP="008026EE">
    <w:pPr>
      <w:pStyle w:val="Header"/>
      <w:jc w:val="right"/>
    </w:pPr>
    <w:r>
      <w:rPr>
        <w:noProof/>
        <w:lang w:eastAsia="en-AU"/>
      </w:rPr>
      <w:drawing>
        <wp:inline distT="0" distB="0" distL="0" distR="0" wp14:anchorId="2F7C1385" wp14:editId="4605B41A">
          <wp:extent cx="2938272" cy="594360"/>
          <wp:effectExtent l="0" t="0" r="0" b="0"/>
          <wp:docPr id="6" name="Picture 6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937A08" w14:textId="77777777" w:rsidR="005946A1" w:rsidRPr="00BF28F7" w:rsidRDefault="005946A1" w:rsidP="00BF28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5AA67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5F63B64"/>
    <w:multiLevelType w:val="hybridMultilevel"/>
    <w:tmpl w:val="35349BBC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1099982">
    <w:abstractNumId w:val="0"/>
  </w:num>
  <w:num w:numId="2" w16cid:durableId="1411543476">
    <w:abstractNumId w:val="0"/>
  </w:num>
  <w:num w:numId="3" w16cid:durableId="901016266">
    <w:abstractNumId w:val="0"/>
  </w:num>
  <w:num w:numId="4" w16cid:durableId="1387218508">
    <w:abstractNumId w:val="1"/>
  </w:num>
  <w:num w:numId="5" w16cid:durableId="332875734">
    <w:abstractNumId w:val="0"/>
  </w:num>
  <w:num w:numId="6" w16cid:durableId="1572735824">
    <w:abstractNumId w:val="0"/>
  </w:num>
  <w:num w:numId="7" w16cid:durableId="688525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0DD"/>
    <w:rsid w:val="00006A95"/>
    <w:rsid w:val="00007B80"/>
    <w:rsid w:val="00013A22"/>
    <w:rsid w:val="00014C3F"/>
    <w:rsid w:val="00017C82"/>
    <w:rsid w:val="00017F94"/>
    <w:rsid w:val="00032B88"/>
    <w:rsid w:val="00046DF5"/>
    <w:rsid w:val="00052060"/>
    <w:rsid w:val="0005574A"/>
    <w:rsid w:val="00055B39"/>
    <w:rsid w:val="00055FE1"/>
    <w:rsid w:val="00056EC2"/>
    <w:rsid w:val="00060B48"/>
    <w:rsid w:val="00067F32"/>
    <w:rsid w:val="00071807"/>
    <w:rsid w:val="000803E1"/>
    <w:rsid w:val="00084513"/>
    <w:rsid w:val="00084859"/>
    <w:rsid w:val="000878FA"/>
    <w:rsid w:val="00092D94"/>
    <w:rsid w:val="000A40C3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164F"/>
    <w:rsid w:val="001024D8"/>
    <w:rsid w:val="0010461E"/>
    <w:rsid w:val="00105C96"/>
    <w:rsid w:val="00106FAA"/>
    <w:rsid w:val="00113443"/>
    <w:rsid w:val="001149C9"/>
    <w:rsid w:val="00121039"/>
    <w:rsid w:val="001269A7"/>
    <w:rsid w:val="00131092"/>
    <w:rsid w:val="00140E6A"/>
    <w:rsid w:val="00146545"/>
    <w:rsid w:val="00146B75"/>
    <w:rsid w:val="0015266D"/>
    <w:rsid w:val="0015288A"/>
    <w:rsid w:val="00160F47"/>
    <w:rsid w:val="0016110F"/>
    <w:rsid w:val="00163CB8"/>
    <w:rsid w:val="00166FE5"/>
    <w:rsid w:val="00173BFC"/>
    <w:rsid w:val="00177CA1"/>
    <w:rsid w:val="00182465"/>
    <w:rsid w:val="00183823"/>
    <w:rsid w:val="00183942"/>
    <w:rsid w:val="0019548A"/>
    <w:rsid w:val="001A009E"/>
    <w:rsid w:val="001A1287"/>
    <w:rsid w:val="001A18EA"/>
    <w:rsid w:val="001A3859"/>
    <w:rsid w:val="001A3C9D"/>
    <w:rsid w:val="001A43F8"/>
    <w:rsid w:val="001B05DC"/>
    <w:rsid w:val="001B79E5"/>
    <w:rsid w:val="001D0E3E"/>
    <w:rsid w:val="001D56F0"/>
    <w:rsid w:val="001D663B"/>
    <w:rsid w:val="001D6D49"/>
    <w:rsid w:val="001D7B41"/>
    <w:rsid w:val="001E46DA"/>
    <w:rsid w:val="001E4EF4"/>
    <w:rsid w:val="001E7D80"/>
    <w:rsid w:val="001F4B6C"/>
    <w:rsid w:val="001F62CB"/>
    <w:rsid w:val="001F68F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57B7D"/>
    <w:rsid w:val="002600D8"/>
    <w:rsid w:val="00263255"/>
    <w:rsid w:val="0027594B"/>
    <w:rsid w:val="00276494"/>
    <w:rsid w:val="0027790A"/>
    <w:rsid w:val="00277B0C"/>
    <w:rsid w:val="002B1A2C"/>
    <w:rsid w:val="002C34F2"/>
    <w:rsid w:val="002C58FF"/>
    <w:rsid w:val="002C7AFE"/>
    <w:rsid w:val="002D05D2"/>
    <w:rsid w:val="002E0D61"/>
    <w:rsid w:val="002E4C7B"/>
    <w:rsid w:val="002F62EA"/>
    <w:rsid w:val="0030740C"/>
    <w:rsid w:val="00310F0D"/>
    <w:rsid w:val="00315833"/>
    <w:rsid w:val="0032030A"/>
    <w:rsid w:val="003215EE"/>
    <w:rsid w:val="003224BF"/>
    <w:rsid w:val="003241A8"/>
    <w:rsid w:val="003253F0"/>
    <w:rsid w:val="003337DA"/>
    <w:rsid w:val="00334EFB"/>
    <w:rsid w:val="00335CDE"/>
    <w:rsid w:val="003365A5"/>
    <w:rsid w:val="0034457C"/>
    <w:rsid w:val="0034498A"/>
    <w:rsid w:val="00347192"/>
    <w:rsid w:val="0034744C"/>
    <w:rsid w:val="00351FE0"/>
    <w:rsid w:val="00352615"/>
    <w:rsid w:val="003527C6"/>
    <w:rsid w:val="0035412B"/>
    <w:rsid w:val="003567A8"/>
    <w:rsid w:val="00362895"/>
    <w:rsid w:val="00370DBF"/>
    <w:rsid w:val="003837F2"/>
    <w:rsid w:val="00386093"/>
    <w:rsid w:val="003904A4"/>
    <w:rsid w:val="00391841"/>
    <w:rsid w:val="00391B6D"/>
    <w:rsid w:val="00393643"/>
    <w:rsid w:val="00394922"/>
    <w:rsid w:val="003A0E32"/>
    <w:rsid w:val="003A2B94"/>
    <w:rsid w:val="003B387D"/>
    <w:rsid w:val="003B5CD5"/>
    <w:rsid w:val="003C0D58"/>
    <w:rsid w:val="003D4FA3"/>
    <w:rsid w:val="003D56E9"/>
    <w:rsid w:val="003E0807"/>
    <w:rsid w:val="003E13CE"/>
    <w:rsid w:val="003E51FB"/>
    <w:rsid w:val="003E6B39"/>
    <w:rsid w:val="003E7FAF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16A"/>
    <w:rsid w:val="00445E44"/>
    <w:rsid w:val="004509E2"/>
    <w:rsid w:val="004515EE"/>
    <w:rsid w:val="004529F0"/>
    <w:rsid w:val="00454C39"/>
    <w:rsid w:val="00460A03"/>
    <w:rsid w:val="00472A11"/>
    <w:rsid w:val="00472AAD"/>
    <w:rsid w:val="00474E33"/>
    <w:rsid w:val="00476803"/>
    <w:rsid w:val="00485BFD"/>
    <w:rsid w:val="004867A2"/>
    <w:rsid w:val="004873F2"/>
    <w:rsid w:val="00490387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14F7"/>
    <w:rsid w:val="004E5EDD"/>
    <w:rsid w:val="004F448A"/>
    <w:rsid w:val="004F493D"/>
    <w:rsid w:val="004F65E8"/>
    <w:rsid w:val="0050005E"/>
    <w:rsid w:val="00502B88"/>
    <w:rsid w:val="005142C4"/>
    <w:rsid w:val="0051509C"/>
    <w:rsid w:val="0051763F"/>
    <w:rsid w:val="005231E8"/>
    <w:rsid w:val="005272E2"/>
    <w:rsid w:val="0053108F"/>
    <w:rsid w:val="00532B56"/>
    <w:rsid w:val="00534B10"/>
    <w:rsid w:val="005446A2"/>
    <w:rsid w:val="00544D2F"/>
    <w:rsid w:val="00551BD8"/>
    <w:rsid w:val="00562E9C"/>
    <w:rsid w:val="00581055"/>
    <w:rsid w:val="00591E38"/>
    <w:rsid w:val="005946A1"/>
    <w:rsid w:val="0059572B"/>
    <w:rsid w:val="005A19C5"/>
    <w:rsid w:val="005A2955"/>
    <w:rsid w:val="005A3034"/>
    <w:rsid w:val="005A462D"/>
    <w:rsid w:val="005B253B"/>
    <w:rsid w:val="005B771D"/>
    <w:rsid w:val="005C4079"/>
    <w:rsid w:val="005C5D16"/>
    <w:rsid w:val="005D3193"/>
    <w:rsid w:val="005D4A6E"/>
    <w:rsid w:val="005E6979"/>
    <w:rsid w:val="005E75CB"/>
    <w:rsid w:val="006013C1"/>
    <w:rsid w:val="00601C55"/>
    <w:rsid w:val="0060669E"/>
    <w:rsid w:val="00610F2E"/>
    <w:rsid w:val="00611399"/>
    <w:rsid w:val="006214A3"/>
    <w:rsid w:val="00622250"/>
    <w:rsid w:val="00624C4E"/>
    <w:rsid w:val="00625200"/>
    <w:rsid w:val="006363A8"/>
    <w:rsid w:val="00636DB7"/>
    <w:rsid w:val="00646FDF"/>
    <w:rsid w:val="00650905"/>
    <w:rsid w:val="006532ED"/>
    <w:rsid w:val="006549F2"/>
    <w:rsid w:val="006567B7"/>
    <w:rsid w:val="00657BFB"/>
    <w:rsid w:val="0066333C"/>
    <w:rsid w:val="006639B4"/>
    <w:rsid w:val="006650FE"/>
    <w:rsid w:val="00667521"/>
    <w:rsid w:val="00667B36"/>
    <w:rsid w:val="006701D3"/>
    <w:rsid w:val="0067305D"/>
    <w:rsid w:val="00677D9B"/>
    <w:rsid w:val="006854A8"/>
    <w:rsid w:val="006867F3"/>
    <w:rsid w:val="00687890"/>
    <w:rsid w:val="006901A2"/>
    <w:rsid w:val="00690368"/>
    <w:rsid w:val="0069079C"/>
    <w:rsid w:val="00690B53"/>
    <w:rsid w:val="00695B72"/>
    <w:rsid w:val="006A73CB"/>
    <w:rsid w:val="006B160A"/>
    <w:rsid w:val="006B4E6C"/>
    <w:rsid w:val="006B50B6"/>
    <w:rsid w:val="006D6381"/>
    <w:rsid w:val="006D79EA"/>
    <w:rsid w:val="006E268F"/>
    <w:rsid w:val="006E5D05"/>
    <w:rsid w:val="006F7D8B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5CEF"/>
    <w:rsid w:val="00750212"/>
    <w:rsid w:val="00754779"/>
    <w:rsid w:val="0075716D"/>
    <w:rsid w:val="00762BF3"/>
    <w:rsid w:val="00765F14"/>
    <w:rsid w:val="00770E31"/>
    <w:rsid w:val="00772CA6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657C"/>
    <w:rsid w:val="007C30EB"/>
    <w:rsid w:val="007C69F9"/>
    <w:rsid w:val="007E063C"/>
    <w:rsid w:val="007E2A4B"/>
    <w:rsid w:val="007E307D"/>
    <w:rsid w:val="007E6A4E"/>
    <w:rsid w:val="007E6C94"/>
    <w:rsid w:val="007F1005"/>
    <w:rsid w:val="007F25E0"/>
    <w:rsid w:val="007F29FD"/>
    <w:rsid w:val="007F5328"/>
    <w:rsid w:val="008026EE"/>
    <w:rsid w:val="00804F5A"/>
    <w:rsid w:val="00810C6D"/>
    <w:rsid w:val="00812887"/>
    <w:rsid w:val="00816CD9"/>
    <w:rsid w:val="00817F4C"/>
    <w:rsid w:val="008237AA"/>
    <w:rsid w:val="00826F21"/>
    <w:rsid w:val="00833FDF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653F"/>
    <w:rsid w:val="00871CD5"/>
    <w:rsid w:val="008745A2"/>
    <w:rsid w:val="008768A8"/>
    <w:rsid w:val="0088798F"/>
    <w:rsid w:val="00887E4B"/>
    <w:rsid w:val="008915C8"/>
    <w:rsid w:val="0089463D"/>
    <w:rsid w:val="008A36CF"/>
    <w:rsid w:val="008A3BC4"/>
    <w:rsid w:val="008B403C"/>
    <w:rsid w:val="008B7983"/>
    <w:rsid w:val="008C2511"/>
    <w:rsid w:val="008D026D"/>
    <w:rsid w:val="008D23AB"/>
    <w:rsid w:val="008D4B8B"/>
    <w:rsid w:val="008D5486"/>
    <w:rsid w:val="008D5A78"/>
    <w:rsid w:val="008E7B64"/>
    <w:rsid w:val="008F5DCD"/>
    <w:rsid w:val="00900951"/>
    <w:rsid w:val="009118A6"/>
    <w:rsid w:val="00911D11"/>
    <w:rsid w:val="00916909"/>
    <w:rsid w:val="00916EC0"/>
    <w:rsid w:val="00917889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33A"/>
    <w:rsid w:val="0093760E"/>
    <w:rsid w:val="00942C5F"/>
    <w:rsid w:val="00946044"/>
    <w:rsid w:val="0094660B"/>
    <w:rsid w:val="00946A33"/>
    <w:rsid w:val="00951D34"/>
    <w:rsid w:val="0095260E"/>
    <w:rsid w:val="00955586"/>
    <w:rsid w:val="009578DD"/>
    <w:rsid w:val="00961124"/>
    <w:rsid w:val="009621B6"/>
    <w:rsid w:val="00963EBF"/>
    <w:rsid w:val="00967D34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C97"/>
    <w:rsid w:val="009E2214"/>
    <w:rsid w:val="009E355A"/>
    <w:rsid w:val="009E63E2"/>
    <w:rsid w:val="009F04D2"/>
    <w:rsid w:val="009F05CF"/>
    <w:rsid w:val="009F0F3A"/>
    <w:rsid w:val="00A01D0C"/>
    <w:rsid w:val="00A06341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1C66"/>
    <w:rsid w:val="00A4310E"/>
    <w:rsid w:val="00A436CB"/>
    <w:rsid w:val="00A53681"/>
    <w:rsid w:val="00A633D4"/>
    <w:rsid w:val="00A6461A"/>
    <w:rsid w:val="00A72B57"/>
    <w:rsid w:val="00A84504"/>
    <w:rsid w:val="00A8672F"/>
    <w:rsid w:val="00A93057"/>
    <w:rsid w:val="00A94843"/>
    <w:rsid w:val="00A968B0"/>
    <w:rsid w:val="00AB2672"/>
    <w:rsid w:val="00AB2817"/>
    <w:rsid w:val="00AB43C4"/>
    <w:rsid w:val="00AC32E7"/>
    <w:rsid w:val="00AC3A9F"/>
    <w:rsid w:val="00AC6D2F"/>
    <w:rsid w:val="00AD6AB5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5CC6"/>
    <w:rsid w:val="00B40C60"/>
    <w:rsid w:val="00B479A9"/>
    <w:rsid w:val="00B52198"/>
    <w:rsid w:val="00B52EDF"/>
    <w:rsid w:val="00B71188"/>
    <w:rsid w:val="00B76A41"/>
    <w:rsid w:val="00B8634E"/>
    <w:rsid w:val="00B87D4C"/>
    <w:rsid w:val="00B93646"/>
    <w:rsid w:val="00B9551C"/>
    <w:rsid w:val="00BA0AAC"/>
    <w:rsid w:val="00BA0B38"/>
    <w:rsid w:val="00BA1DBB"/>
    <w:rsid w:val="00BA4510"/>
    <w:rsid w:val="00BA4B29"/>
    <w:rsid w:val="00BA529A"/>
    <w:rsid w:val="00BB612A"/>
    <w:rsid w:val="00BD499F"/>
    <w:rsid w:val="00BD56DE"/>
    <w:rsid w:val="00BF2406"/>
    <w:rsid w:val="00BF28F7"/>
    <w:rsid w:val="00BF30C6"/>
    <w:rsid w:val="00C04310"/>
    <w:rsid w:val="00C06BCA"/>
    <w:rsid w:val="00C06E43"/>
    <w:rsid w:val="00C10656"/>
    <w:rsid w:val="00C15531"/>
    <w:rsid w:val="00C16315"/>
    <w:rsid w:val="00C223BA"/>
    <w:rsid w:val="00C24B6F"/>
    <w:rsid w:val="00C3091E"/>
    <w:rsid w:val="00C34D49"/>
    <w:rsid w:val="00C379B3"/>
    <w:rsid w:val="00C40FF1"/>
    <w:rsid w:val="00C419E2"/>
    <w:rsid w:val="00C5020E"/>
    <w:rsid w:val="00C57452"/>
    <w:rsid w:val="00C6145A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723F"/>
    <w:rsid w:val="00C978F0"/>
    <w:rsid w:val="00CA58FE"/>
    <w:rsid w:val="00CB1CB1"/>
    <w:rsid w:val="00CB5E9A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13E3"/>
    <w:rsid w:val="00D140FC"/>
    <w:rsid w:val="00D1414B"/>
    <w:rsid w:val="00D2033D"/>
    <w:rsid w:val="00D21D8C"/>
    <w:rsid w:val="00D31357"/>
    <w:rsid w:val="00D33220"/>
    <w:rsid w:val="00D334D1"/>
    <w:rsid w:val="00D371B5"/>
    <w:rsid w:val="00D44C89"/>
    <w:rsid w:val="00D516CD"/>
    <w:rsid w:val="00D52BBB"/>
    <w:rsid w:val="00D668E6"/>
    <w:rsid w:val="00D70670"/>
    <w:rsid w:val="00D71ADF"/>
    <w:rsid w:val="00D74D80"/>
    <w:rsid w:val="00D76624"/>
    <w:rsid w:val="00D87570"/>
    <w:rsid w:val="00D91CB9"/>
    <w:rsid w:val="00D97989"/>
    <w:rsid w:val="00D97D8D"/>
    <w:rsid w:val="00DA352E"/>
    <w:rsid w:val="00DC7694"/>
    <w:rsid w:val="00DC7B88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7B2A"/>
    <w:rsid w:val="00E26A07"/>
    <w:rsid w:val="00E32595"/>
    <w:rsid w:val="00E35F26"/>
    <w:rsid w:val="00E37CFD"/>
    <w:rsid w:val="00E41A26"/>
    <w:rsid w:val="00E41B2C"/>
    <w:rsid w:val="00E453B5"/>
    <w:rsid w:val="00E46BCB"/>
    <w:rsid w:val="00E51CAF"/>
    <w:rsid w:val="00E520C6"/>
    <w:rsid w:val="00E60F04"/>
    <w:rsid w:val="00E61606"/>
    <w:rsid w:val="00E62AAC"/>
    <w:rsid w:val="00E66C38"/>
    <w:rsid w:val="00E67C2F"/>
    <w:rsid w:val="00E67EF5"/>
    <w:rsid w:val="00E7055D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891"/>
    <w:rsid w:val="00EF3A40"/>
    <w:rsid w:val="00EF7F78"/>
    <w:rsid w:val="00F01B08"/>
    <w:rsid w:val="00F01C4D"/>
    <w:rsid w:val="00F053FA"/>
    <w:rsid w:val="00F10C97"/>
    <w:rsid w:val="00F11C71"/>
    <w:rsid w:val="00F16019"/>
    <w:rsid w:val="00F16079"/>
    <w:rsid w:val="00F20C31"/>
    <w:rsid w:val="00F20E68"/>
    <w:rsid w:val="00F22093"/>
    <w:rsid w:val="00F236DF"/>
    <w:rsid w:val="00F30EAF"/>
    <w:rsid w:val="00F3538D"/>
    <w:rsid w:val="00F42502"/>
    <w:rsid w:val="00F43AD5"/>
    <w:rsid w:val="00F4402E"/>
    <w:rsid w:val="00F449A4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B7EBB"/>
    <w:rsid w:val="00FC492C"/>
    <w:rsid w:val="00FC60A2"/>
    <w:rsid w:val="00FD02BC"/>
    <w:rsid w:val="00FD1871"/>
    <w:rsid w:val="00FD3110"/>
    <w:rsid w:val="00FD5AFA"/>
    <w:rsid w:val="00FE53DC"/>
    <w:rsid w:val="00FF5C3D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F12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06A9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71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1B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1B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1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1B5"/>
    <w:rPr>
      <w:b/>
      <w:bCs/>
      <w:szCs w:val="20"/>
    </w:rPr>
  </w:style>
  <w:style w:type="paragraph" w:styleId="Revision">
    <w:name w:val="Revision"/>
    <w:hidden/>
    <w:uiPriority w:val="99"/>
    <w:semiHidden/>
    <w:rsid w:val="007B65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B4534"/>
    <w:rsid w:val="00667B36"/>
    <w:rsid w:val="007009A6"/>
    <w:rsid w:val="00823206"/>
    <w:rsid w:val="008C5142"/>
    <w:rsid w:val="00A65E76"/>
    <w:rsid w:val="00D21A9F"/>
    <w:rsid w:val="00EE0362"/>
    <w:rsid w:val="00F3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036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A34118-37DE-430F-B49B-4F143A7F65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A155D6-F6E8-4F5D-91B4-A61B7CC8CB90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1c567317-0c4d-4a62-8516-c22afd1b5354"/>
    <ds:schemaRef ds:uri="a0509f21-ed56-4150-9955-96be669e5f2d"/>
  </ds:schemaRefs>
</ds:datastoreItem>
</file>

<file path=customXml/itemProps3.xml><?xml version="1.0" encoding="utf-8"?>
<ds:datastoreItem xmlns:ds="http://schemas.openxmlformats.org/officeDocument/2006/customXml" ds:itemID="{51F6AC5A-158D-46BE-96C5-8B60837E06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CA987E-5FA6-4EF8-A77A-48CBE653C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2019-09-03T04:54:00Z</dcterms:created>
  <dcterms:modified xsi:type="dcterms:W3CDTF">2026-01-08T23:28:00Z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2025-12-18T05:46:00Z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dd67811f-c967-4bcf-b284-f5055ae2251d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