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Content>
        <w:p w14:paraId="55DC874A" w14:textId="77777777" w:rsidR="00BD499F" w:rsidRPr="004C23F4" w:rsidRDefault="00D97505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Bisphenol A diglycidyl ether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65"/>
        <w:gridCol w:w="5061"/>
      </w:tblGrid>
      <w:tr w:rsidR="00F43AD5" w:rsidRPr="004C23F4" w14:paraId="7C1A3828" w14:textId="77777777" w:rsidTr="00B9615D">
        <w:trPr>
          <w:cantSplit/>
          <w:tblHeader/>
        </w:trPr>
        <w:tc>
          <w:tcPr>
            <w:tcW w:w="3965" w:type="dxa"/>
          </w:tcPr>
          <w:p w14:paraId="083EFD13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61" w:type="dxa"/>
          </w:tcPr>
          <w:p w14:paraId="737F778C" w14:textId="77777777" w:rsidR="00F43AD5" w:rsidRPr="00717D45" w:rsidRDefault="00D97505" w:rsidP="00B76A41">
            <w:pPr>
              <w:pStyle w:val="Tablefont"/>
            </w:pPr>
            <w:r>
              <w:t>1675-54-3</w:t>
            </w:r>
          </w:p>
        </w:tc>
      </w:tr>
      <w:tr w:rsidR="00F43AD5" w:rsidRPr="004C23F4" w14:paraId="72A52A2F" w14:textId="77777777" w:rsidTr="00B9615D">
        <w:trPr>
          <w:cantSplit/>
        </w:trPr>
        <w:tc>
          <w:tcPr>
            <w:tcW w:w="3965" w:type="dxa"/>
          </w:tcPr>
          <w:p w14:paraId="14E951F1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61" w:type="dxa"/>
          </w:tcPr>
          <w:p w14:paraId="55F94452" w14:textId="77777777" w:rsidR="00332972" w:rsidRDefault="00332972" w:rsidP="00277691">
            <w:pPr>
              <w:autoSpaceDE w:val="0"/>
              <w:autoSpaceDN w:val="0"/>
              <w:adjustRightInd w:val="0"/>
              <w:spacing w:after="0"/>
            </w:pPr>
            <w:r w:rsidRPr="00332972">
              <w:t>2-[[4-[2-[4-(Oxiran-2-ylmethoxy)phenyl]propan-2-yl]phenoxy]methyl]oxirane</w:t>
            </w:r>
            <w:r>
              <w:t xml:space="preserve">, </w:t>
            </w:r>
            <w:r w:rsidRPr="00277691">
              <w:t>oligomer 340</w:t>
            </w:r>
            <w:r>
              <w:t xml:space="preserve">, </w:t>
            </w:r>
          </w:p>
          <w:p w14:paraId="56BED95A" w14:textId="77777777" w:rsidR="00F43AD5" w:rsidRPr="00717D45" w:rsidRDefault="0070734B" w:rsidP="00A71B75">
            <w:pPr>
              <w:autoSpaceDE w:val="0"/>
              <w:autoSpaceDN w:val="0"/>
              <w:adjustRightInd w:val="0"/>
              <w:spacing w:after="0"/>
            </w:pPr>
            <w:r w:rsidRPr="00277691">
              <w:t>BPDGE</w:t>
            </w:r>
            <w:r>
              <w:t xml:space="preserve">, </w:t>
            </w:r>
            <w:r w:rsidR="009116D4">
              <w:t>BADGE</w:t>
            </w:r>
          </w:p>
        </w:tc>
      </w:tr>
      <w:tr w:rsidR="00F43AD5" w:rsidRPr="004C23F4" w14:paraId="2FF779A1" w14:textId="77777777" w:rsidTr="00B9615D">
        <w:trPr>
          <w:cantSplit/>
        </w:trPr>
        <w:tc>
          <w:tcPr>
            <w:tcW w:w="3965" w:type="dxa"/>
          </w:tcPr>
          <w:p w14:paraId="45503AC5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61" w:type="dxa"/>
          </w:tcPr>
          <w:p w14:paraId="31EB6E69" w14:textId="77777777" w:rsidR="00F43AD5" w:rsidRPr="00717D45" w:rsidRDefault="00257AB8" w:rsidP="00B76A41">
            <w:pPr>
              <w:pStyle w:val="Tablefont"/>
            </w:pPr>
            <w:r w:rsidRPr="00257AB8">
              <w:t>C</w:t>
            </w:r>
            <w:r w:rsidRPr="00257AB8">
              <w:rPr>
                <w:vertAlign w:val="subscript"/>
              </w:rPr>
              <w:t>21</w:t>
            </w:r>
            <w:r w:rsidRPr="00257AB8">
              <w:t>H</w:t>
            </w:r>
            <w:r w:rsidRPr="00257AB8">
              <w:rPr>
                <w:vertAlign w:val="subscript"/>
              </w:rPr>
              <w:t>24</w:t>
            </w:r>
            <w:r w:rsidRPr="00257AB8">
              <w:t>O</w:t>
            </w:r>
            <w:r w:rsidRPr="00257AB8">
              <w:rPr>
                <w:vertAlign w:val="subscript"/>
              </w:rPr>
              <w:t>4</w:t>
            </w:r>
          </w:p>
        </w:tc>
      </w:tr>
    </w:tbl>
    <w:p w14:paraId="2851DE08" w14:textId="47B44010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Content>
          <w:r w:rsidR="00B9615D">
            <w:rPr>
              <w:rStyle w:val="WESstatus"/>
            </w:rPr>
            <w:t>(new)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1"/>
        <w:gridCol w:w="5025"/>
      </w:tblGrid>
      <w:tr w:rsidR="002C7AFE" w:rsidRPr="004C23F4" w14:paraId="3170EEEB" w14:textId="77777777" w:rsidTr="00610F2E">
        <w:trPr>
          <w:cantSplit/>
          <w:tblHeader/>
        </w:trPr>
        <w:tc>
          <w:tcPr>
            <w:tcW w:w="4077" w:type="dxa"/>
            <w:vAlign w:val="center"/>
          </w:tcPr>
          <w:p w14:paraId="67BF9539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165" w:type="dxa"/>
          </w:tcPr>
          <w:p w14:paraId="3BCC8E03" w14:textId="77777777" w:rsidR="002C7AFE" w:rsidRPr="00EB3D1B" w:rsidRDefault="00FC5EFB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4087BAB1" w14:textId="77777777" w:rsidTr="00921DE7">
        <w:trPr>
          <w:cantSplit/>
        </w:trPr>
        <w:tc>
          <w:tcPr>
            <w:tcW w:w="4077" w:type="dxa"/>
            <w:vAlign w:val="center"/>
          </w:tcPr>
          <w:p w14:paraId="548A8171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165" w:type="dxa"/>
          </w:tcPr>
          <w:p w14:paraId="60949E3F" w14:textId="77777777" w:rsidR="002C7AFE" w:rsidRPr="00EB3D1B" w:rsidRDefault="00FC5EFB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32D8AA34" w14:textId="77777777" w:rsidTr="00921DE7">
        <w:trPr>
          <w:cantSplit/>
        </w:trPr>
        <w:tc>
          <w:tcPr>
            <w:tcW w:w="4077" w:type="dxa"/>
            <w:vAlign w:val="center"/>
          </w:tcPr>
          <w:p w14:paraId="3211F00B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165" w:type="dxa"/>
          </w:tcPr>
          <w:p w14:paraId="7532A45E" w14:textId="77777777" w:rsidR="002C7AFE" w:rsidRPr="00EB3D1B" w:rsidRDefault="00FC5EFB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215AA8D8" w14:textId="77777777" w:rsidTr="00A2073D">
        <w:trPr>
          <w:cantSplit/>
        </w:trPr>
        <w:tc>
          <w:tcPr>
            <w:tcW w:w="4077" w:type="dxa"/>
          </w:tcPr>
          <w:p w14:paraId="3D0650B4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165" w:type="dxa"/>
          </w:tcPr>
          <w:p w14:paraId="3652CBA1" w14:textId="77777777" w:rsidR="002C7AFE" w:rsidRPr="00EB3D1B" w:rsidRDefault="00A071C7" w:rsidP="008A36CF">
            <w:pPr>
              <w:pStyle w:val="Tablefont"/>
              <w:rPr>
                <w:b/>
              </w:rPr>
            </w:pPr>
            <w:r>
              <w:rPr>
                <w:b/>
              </w:rPr>
              <w:t xml:space="preserve">Sk., </w:t>
            </w:r>
            <w:r w:rsidR="00B77F87">
              <w:rPr>
                <w:b/>
              </w:rPr>
              <w:t>DSEN</w:t>
            </w:r>
          </w:p>
        </w:tc>
      </w:tr>
      <w:tr w:rsidR="002C7AFE" w:rsidRPr="004C23F4" w14:paraId="38638DA2" w14:textId="77777777" w:rsidTr="00921DE7">
        <w:trPr>
          <w:cantSplit/>
        </w:trPr>
        <w:tc>
          <w:tcPr>
            <w:tcW w:w="4077" w:type="dxa"/>
            <w:vAlign w:val="center"/>
          </w:tcPr>
          <w:p w14:paraId="2E0C39A4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165" w:type="dxa"/>
          </w:tcPr>
          <w:p w14:paraId="260C13E2" w14:textId="77777777" w:rsidR="002C7AFE" w:rsidRPr="00EB3D1B" w:rsidRDefault="00FC5EFB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9F04D2" w:rsidRPr="004C23F4" w14:paraId="17123F79" w14:textId="77777777" w:rsidTr="00921DE7">
        <w:trPr>
          <w:cantSplit/>
        </w:trPr>
        <w:tc>
          <w:tcPr>
            <w:tcW w:w="4077" w:type="dxa"/>
            <w:vAlign w:val="center"/>
          </w:tcPr>
          <w:p w14:paraId="5E3D5318" w14:textId="77777777" w:rsidR="009F04D2" w:rsidRDefault="009F04D2" w:rsidP="00B9615D">
            <w:pPr>
              <w:pStyle w:val="Tablerowright"/>
            </w:pPr>
            <w:r>
              <w:t>Sampling and analysis:</w:t>
            </w:r>
          </w:p>
        </w:tc>
        <w:tc>
          <w:tcPr>
            <w:tcW w:w="5165" w:type="dxa"/>
          </w:tcPr>
          <w:p w14:paraId="71A9B85A" w14:textId="392ECDA9" w:rsidR="009F04D2" w:rsidRPr="00B9615D" w:rsidRDefault="00B9615D" w:rsidP="00017C82">
            <w:pPr>
              <w:pStyle w:val="Tablefont"/>
            </w:pPr>
            <w:r w:rsidRPr="00B9615D">
              <w:t>Not applicable.</w:t>
            </w:r>
          </w:p>
        </w:tc>
      </w:tr>
    </w:tbl>
    <w:p w14:paraId="3219B24A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1898ACF4" w14:textId="77777777" w:rsidR="00B9615D" w:rsidRDefault="00A93E5E" w:rsidP="00B9615D">
      <w:pPr>
        <w:rPr>
          <w:rFonts w:cs="Arial"/>
        </w:rPr>
      </w:pPr>
      <w:r>
        <w:rPr>
          <w:rFonts w:cs="Arial"/>
        </w:rPr>
        <w:t>I</w:t>
      </w:r>
      <w:r w:rsidR="00B65362">
        <w:rPr>
          <w:rFonts w:cs="Arial"/>
        </w:rPr>
        <w:t>nsufficient evidence exists to establish a TWA.</w:t>
      </w:r>
      <w:r w:rsidR="00405BDE">
        <w:rPr>
          <w:rFonts w:cs="Arial"/>
        </w:rPr>
        <w:t xml:space="preserve"> </w:t>
      </w:r>
      <w:r w:rsidR="00B9615D">
        <w:rPr>
          <w:rFonts w:cs="Arial"/>
        </w:rPr>
        <w:t>Given the limited data available from the primary sources, it is recommended that a review of additional sources be conducted at the next scheduled review.</w:t>
      </w:r>
    </w:p>
    <w:p w14:paraId="1C7363FF" w14:textId="77777777" w:rsidR="00C7155E" w:rsidRPr="004C23F4" w:rsidRDefault="00F10C97" w:rsidP="003365A5">
      <w:pPr>
        <w:pStyle w:val="Heading2"/>
      </w:pPr>
      <w:r>
        <w:t>Discussion and conclusions</w:t>
      </w:r>
    </w:p>
    <w:p w14:paraId="11CFDD25" w14:textId="60698AFF" w:rsidR="00B65362" w:rsidRDefault="009116D4" w:rsidP="00405BDE">
      <w:r w:rsidRPr="00B65362">
        <w:t>Bisphenol A diglycidyl</w:t>
      </w:r>
      <w:r>
        <w:t xml:space="preserve"> ether is used in the</w:t>
      </w:r>
      <w:r w:rsidRPr="00B65362">
        <w:t xml:space="preserve"> </w:t>
      </w:r>
      <w:r w:rsidRPr="009116D4">
        <w:t xml:space="preserve">manufacture of epoxy resins and polycarbonates for food packaging. </w:t>
      </w:r>
      <w:r>
        <w:t xml:space="preserve">It </w:t>
      </w:r>
      <w:r w:rsidR="00B65362" w:rsidRPr="00B65362">
        <w:t xml:space="preserve">has a very low vapour pressure and generally does not occur as an </w:t>
      </w:r>
      <w:r w:rsidR="00A93E5E" w:rsidRPr="00B65362">
        <w:t>aerosol;</w:t>
      </w:r>
      <w:r w:rsidR="00B65362" w:rsidRPr="00B65362">
        <w:t xml:space="preserve"> therefore</w:t>
      </w:r>
      <w:r w:rsidR="00A93E5E">
        <w:t>,</w:t>
      </w:r>
      <w:r w:rsidR="00B65362" w:rsidRPr="00B65362">
        <w:t xml:space="preserve"> inhalation exposure is only expected during work with powdered polymers</w:t>
      </w:r>
      <w:r w:rsidR="00B65362">
        <w:t>.</w:t>
      </w:r>
      <w:r w:rsidR="001C1BE9">
        <w:t xml:space="preserve"> </w:t>
      </w:r>
      <w:r w:rsidR="00B65362">
        <w:t>Skin contact may occur during production o</w:t>
      </w:r>
      <w:r w:rsidR="001C1BE9">
        <w:t>r</w:t>
      </w:r>
      <w:r w:rsidR="00B65362">
        <w:t xml:space="preserve"> use of epoxy resins. </w:t>
      </w:r>
    </w:p>
    <w:p w14:paraId="6E638E0F" w14:textId="0C26E118" w:rsidR="00B65362" w:rsidRDefault="00B65362" w:rsidP="00405BDE">
      <w:r>
        <w:t>No useful data was identified for inhalation exposure for either humans or animal</w:t>
      </w:r>
      <w:r w:rsidR="00A93E5E">
        <w:t xml:space="preserve"> studies</w:t>
      </w:r>
      <w:r>
        <w:t>. A p</w:t>
      </w:r>
      <w:r w:rsidRPr="00B65362">
        <w:t>atch test on 34 persons with contact dermatitis from epoxy resin exposure produced a reaction in all volunteers</w:t>
      </w:r>
      <w:r>
        <w:t xml:space="preserve">. </w:t>
      </w:r>
      <w:r w:rsidRPr="00B65362">
        <w:t>Insufficient data</w:t>
      </w:r>
      <w:r>
        <w:t xml:space="preserve"> exists</w:t>
      </w:r>
      <w:r w:rsidRPr="00B65362">
        <w:t xml:space="preserve"> to demonstrate respiratory sensitisation</w:t>
      </w:r>
      <w:r w:rsidR="001C1BE9">
        <w:t>,</w:t>
      </w:r>
      <w:r>
        <w:t xml:space="preserve"> </w:t>
      </w:r>
      <w:r w:rsidR="00AA718E">
        <w:t>and</w:t>
      </w:r>
      <w:r w:rsidR="001C1BE9">
        <w:t xml:space="preserve"> </w:t>
      </w:r>
      <w:r w:rsidR="00AA718E" w:rsidRPr="00AA718E">
        <w:t>evidence in existing studies do</w:t>
      </w:r>
      <w:r w:rsidR="001C1BE9">
        <w:t>es</w:t>
      </w:r>
      <w:r w:rsidR="00AA718E" w:rsidRPr="00AA718E">
        <w:t xml:space="preserve"> not permit conclusions </w:t>
      </w:r>
      <w:r w:rsidR="00A93E5E">
        <w:t>of</w:t>
      </w:r>
      <w:r w:rsidR="00AA718E" w:rsidRPr="00AA718E">
        <w:t xml:space="preserve"> the genotoxic potential in humans</w:t>
      </w:r>
      <w:r w:rsidR="00AA718E">
        <w:t>.</w:t>
      </w:r>
      <w:r w:rsidR="001C1BE9">
        <w:t xml:space="preserve"> </w:t>
      </w:r>
      <w:r w:rsidR="00AA718E">
        <w:t>Evidence was also limited in animals. A dermal LD</w:t>
      </w:r>
      <w:r w:rsidR="00AA718E">
        <w:rPr>
          <w:vertAlign w:val="subscript"/>
        </w:rPr>
        <w:t xml:space="preserve">50 </w:t>
      </w:r>
      <w:r w:rsidR="00AA718E" w:rsidRPr="00AA718E">
        <w:t>of greater than 800 mg/kg</w:t>
      </w:r>
      <w:r w:rsidR="00AA718E">
        <w:t xml:space="preserve"> was reported in mice. </w:t>
      </w:r>
      <w:r w:rsidR="00AA718E" w:rsidRPr="00AA718E">
        <w:t>Reproductive toxicity was not observed in rabbits exposed either dermally or orally</w:t>
      </w:r>
      <w:r w:rsidR="001C1BE9">
        <w:t>,</w:t>
      </w:r>
      <w:r w:rsidR="00AA718E" w:rsidRPr="00AA718E">
        <w:t xml:space="preserve"> or in rats exposed orally</w:t>
      </w:r>
      <w:r w:rsidR="00AA718E">
        <w:t xml:space="preserve"> (DFG, 2003, HCOTN,</w:t>
      </w:r>
      <w:r w:rsidR="00DB28DA">
        <w:t> </w:t>
      </w:r>
      <w:r w:rsidR="00AA718E">
        <w:t>2013).</w:t>
      </w:r>
    </w:p>
    <w:p w14:paraId="7C4DC96F" w14:textId="778724DF" w:rsidR="00405BDE" w:rsidRDefault="00405BDE" w:rsidP="00405BDE">
      <w:r>
        <w:t xml:space="preserve">Based on the dataset available, a TWA </w:t>
      </w:r>
      <w:r w:rsidR="00A93E5E">
        <w:t xml:space="preserve">is </w:t>
      </w:r>
      <w:r>
        <w:t xml:space="preserve">not </w:t>
      </w:r>
      <w:r w:rsidR="00A93E5E">
        <w:t>r</w:t>
      </w:r>
      <w:r>
        <w:t>ecommended.</w:t>
      </w:r>
    </w:p>
    <w:p w14:paraId="4F35AE6B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59712BE4" w14:textId="77777777" w:rsidR="00024C93" w:rsidRPr="006156FD" w:rsidRDefault="00024C93" w:rsidP="00024C93">
      <w:r w:rsidRPr="009116D4">
        <w:t>Not classified as a carcinogen according to the Globally Harmoni</w:t>
      </w:r>
      <w:r w:rsidR="005A5975" w:rsidRPr="009116D4">
        <w:t>z</w:t>
      </w:r>
      <w:r w:rsidRPr="009116D4">
        <w:t xml:space="preserve">ed System of Classification and </w:t>
      </w:r>
      <w:r w:rsidRPr="006156FD">
        <w:t>Labelling o</w:t>
      </w:r>
      <w:r w:rsidR="008C3833">
        <w:t>f</w:t>
      </w:r>
      <w:r w:rsidRPr="006156FD">
        <w:t xml:space="preserve"> Chemicals (GHS). </w:t>
      </w:r>
    </w:p>
    <w:p w14:paraId="65ADAEAE" w14:textId="77777777" w:rsidR="00024C93" w:rsidRPr="006156FD" w:rsidRDefault="00AA718E" w:rsidP="00024C93">
      <w:pPr>
        <w:rPr>
          <w:rFonts w:ascii="Calibri" w:hAnsi="Calibri" w:cs="Calibri"/>
          <w:sz w:val="22"/>
        </w:rPr>
      </w:pPr>
      <w:r w:rsidRPr="006156FD">
        <w:t>Classified as a skin sensitiser</w:t>
      </w:r>
      <w:r w:rsidR="009116D4" w:rsidRPr="006156FD">
        <w:t xml:space="preserve"> but not</w:t>
      </w:r>
      <w:r w:rsidRPr="006156FD">
        <w:t xml:space="preserve"> classified as a </w:t>
      </w:r>
      <w:r w:rsidR="00024C93" w:rsidRPr="006156FD">
        <w:t>respiratory sensitiser according to the GHS</w:t>
      </w:r>
      <w:r w:rsidR="00FD03FD" w:rsidRPr="006156FD">
        <w:t>.</w:t>
      </w:r>
    </w:p>
    <w:p w14:paraId="531335C8" w14:textId="42624EB1" w:rsidR="006156FD" w:rsidRPr="006156FD" w:rsidRDefault="006156FD" w:rsidP="006156FD">
      <w:pPr>
        <w:rPr>
          <w:rFonts w:cs="Arial"/>
        </w:rPr>
      </w:pPr>
      <w:r w:rsidRPr="006156FD">
        <w:rPr>
          <w:rFonts w:cs="Arial"/>
        </w:rPr>
        <w:t xml:space="preserve">A skin notation </w:t>
      </w:r>
      <w:r w:rsidR="00B9615D">
        <w:rPr>
          <w:rFonts w:cs="Arial"/>
        </w:rPr>
        <w:t>is</w:t>
      </w:r>
      <w:r w:rsidRPr="006156FD">
        <w:rPr>
          <w:rFonts w:cs="Arial"/>
        </w:rPr>
        <w:t xml:space="preserve"> recommended based on evidence </w:t>
      </w:r>
      <w:r>
        <w:rPr>
          <w:rFonts w:cs="Arial"/>
        </w:rPr>
        <w:t>indicating</w:t>
      </w:r>
      <w:r w:rsidRPr="006156FD">
        <w:rPr>
          <w:rFonts w:cs="Arial"/>
        </w:rPr>
        <w:t xml:space="preserve"> adverse systemic effects in animals.</w:t>
      </w:r>
    </w:p>
    <w:p w14:paraId="23031B11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493213BF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3F40798F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212C658C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1930AB22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27844AA7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Content>
                <w:r w:rsidR="00FC5EFB">
                  <w:t>NA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Content>
                <w:r w:rsidR="00FC5EFB">
                  <w:t>NA</w:t>
                </w:r>
              </w:sdtContent>
            </w:sdt>
          </w:p>
        </w:tc>
      </w:tr>
      <w:tr w:rsidR="00C978F0" w:rsidRPr="00DA352E" w14:paraId="5FE4310E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B21EF3F" w14:textId="77777777" w:rsidR="00C978F0" w:rsidRPr="00DA352E" w:rsidRDefault="00FC5EFB" w:rsidP="003365A5">
            <w:pPr>
              <w:pStyle w:val="Tabletextprimarysource"/>
            </w:pPr>
            <w:r>
              <w:t>No report</w:t>
            </w:r>
            <w:r w:rsidR="00405BDE">
              <w:t>.</w:t>
            </w:r>
          </w:p>
        </w:tc>
      </w:tr>
      <w:tr w:rsidR="00C978F0" w:rsidRPr="00DA352E" w14:paraId="7CA1CD92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03AD8F3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Content>
                <w:r w:rsidR="00FC5EFB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Content>
                <w:r w:rsidR="00FC5EFB">
                  <w:t>NA</w:t>
                </w:r>
              </w:sdtContent>
            </w:sdt>
          </w:p>
        </w:tc>
      </w:tr>
      <w:tr w:rsidR="00C978F0" w:rsidRPr="00DA352E" w14:paraId="672BC707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6585E6F" w14:textId="77777777" w:rsidR="00C978F0" w:rsidRPr="00DA352E" w:rsidRDefault="00FC5EFB" w:rsidP="003365A5">
            <w:pPr>
              <w:pStyle w:val="Tabletextprimarysource"/>
            </w:pPr>
            <w:r>
              <w:t>No report</w:t>
            </w:r>
            <w:r w:rsidR="00405BDE">
              <w:t>.</w:t>
            </w:r>
          </w:p>
        </w:tc>
      </w:tr>
      <w:tr w:rsidR="00C978F0" w:rsidRPr="00DA352E" w14:paraId="4C79640E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57F374E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Content>
                <w:r w:rsidR="00FC5EFB">
                  <w:t>2003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Content>
                <w:r w:rsidR="00FC5EFB">
                  <w:t>Not assigned</w:t>
                </w:r>
              </w:sdtContent>
            </w:sdt>
          </w:p>
        </w:tc>
      </w:tr>
      <w:tr w:rsidR="00C978F0" w:rsidRPr="00DA352E" w14:paraId="243D2984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8005A2E" w14:textId="77777777" w:rsidR="00885E50" w:rsidRDefault="00885E50" w:rsidP="00885E50">
            <w:pPr>
              <w:pStyle w:val="Tabletextprimarysource"/>
            </w:pPr>
            <w:r>
              <w:t>A MAK cannot be established as the database is considered insufficient.</w:t>
            </w:r>
          </w:p>
          <w:p w14:paraId="70908288" w14:textId="77777777" w:rsidR="00885E50" w:rsidRDefault="00885E50" w:rsidP="00885E50">
            <w:pPr>
              <w:pStyle w:val="Tabletextprimarysource"/>
            </w:pPr>
            <w:r>
              <w:t>Summary of data:</w:t>
            </w:r>
          </w:p>
          <w:p w14:paraId="72EC83DB" w14:textId="77777777" w:rsidR="007606E8" w:rsidRDefault="00C55298" w:rsidP="007606E8">
            <w:pPr>
              <w:pStyle w:val="Tabletextprimarysource"/>
            </w:pPr>
            <w:r>
              <w:t>Bisphenol A diglycidyl ether (BADGE) h</w:t>
            </w:r>
            <w:r w:rsidR="007606E8">
              <w:t>as a very low vapour pressure and generally does not occur as an aerosol</w:t>
            </w:r>
            <w:r w:rsidR="00405BDE">
              <w:t xml:space="preserve">; </w:t>
            </w:r>
            <w:r>
              <w:t>inhalation exposure</w:t>
            </w:r>
            <w:r w:rsidR="007606E8">
              <w:t xml:space="preserve"> is only expected during work with powdered polymers</w:t>
            </w:r>
            <w:r w:rsidR="009116D4">
              <w:t>.</w:t>
            </w:r>
          </w:p>
          <w:p w14:paraId="768B4A7D" w14:textId="77777777" w:rsidR="00B65362" w:rsidRDefault="00B65362" w:rsidP="00B65362">
            <w:pPr>
              <w:pStyle w:val="Tabletextprimarysource"/>
            </w:pPr>
            <w:r>
              <w:t>During the spraying of paint pow</w:t>
            </w:r>
            <w:r w:rsidR="001E3754">
              <w:t>der, concentrations of 0.005</w:t>
            </w:r>
            <w:r w:rsidR="001C1BE9">
              <w:t>–</w:t>
            </w:r>
            <w:r w:rsidR="001E3754">
              <w:t>0.2</w:t>
            </w:r>
            <w:r>
              <w:t xml:space="preserve"> mg/m</w:t>
            </w:r>
            <w:r w:rsidRPr="00B65362">
              <w:rPr>
                <w:vertAlign w:val="superscript"/>
              </w:rPr>
              <w:t>3</w:t>
            </w:r>
            <w:r>
              <w:t xml:space="preserve"> were </w:t>
            </w:r>
            <w:r w:rsidR="0086284F">
              <w:t xml:space="preserve">detected </w:t>
            </w:r>
            <w:r>
              <w:t>in the breathing z</w:t>
            </w:r>
            <w:r w:rsidR="001E3754">
              <w:t>one of the user and of 0.002</w:t>
            </w:r>
            <w:r w:rsidR="001C1BE9">
              <w:t>–</w:t>
            </w:r>
            <w:r>
              <w:t>0.008 mg/m</w:t>
            </w:r>
            <w:r w:rsidRPr="00B65362">
              <w:rPr>
                <w:vertAlign w:val="superscript"/>
              </w:rPr>
              <w:t>3</w:t>
            </w:r>
            <w:r>
              <w:t xml:space="preserve"> in the air of the room</w:t>
            </w:r>
            <w:r w:rsidR="009116D4">
              <w:t>.</w:t>
            </w:r>
          </w:p>
          <w:p w14:paraId="58B586D5" w14:textId="77777777" w:rsidR="00B65362" w:rsidRDefault="00B65362" w:rsidP="00B65362">
            <w:pPr>
              <w:pStyle w:val="Tabletextprimarysource"/>
            </w:pPr>
            <w:r w:rsidRPr="00B65362">
              <w:t>Skin contact may occur during pr</w:t>
            </w:r>
            <w:r>
              <w:t>oduction o</w:t>
            </w:r>
            <w:r w:rsidR="001C1BE9">
              <w:t>r</w:t>
            </w:r>
            <w:r>
              <w:t xml:space="preserve"> use of epoxy resins</w:t>
            </w:r>
            <w:r w:rsidR="009116D4">
              <w:t>.</w:t>
            </w:r>
          </w:p>
          <w:p w14:paraId="47028919" w14:textId="77777777" w:rsidR="00885E50" w:rsidRDefault="00A90785" w:rsidP="00885E50">
            <w:pPr>
              <w:pStyle w:val="Tabletextprimarysource"/>
            </w:pPr>
            <w:r>
              <w:t>Human data:</w:t>
            </w:r>
          </w:p>
          <w:p w14:paraId="47525741" w14:textId="77777777" w:rsidR="007606E8" w:rsidRDefault="007606E8" w:rsidP="00B9615D">
            <w:pPr>
              <w:pStyle w:val="ListBullet"/>
              <w:spacing w:before="0" w:after="80"/>
              <w:ind w:left="714" w:hanging="357"/>
              <w:contextualSpacing w:val="0"/>
            </w:pPr>
            <w:r>
              <w:t>No</w:t>
            </w:r>
            <w:r w:rsidRPr="007606E8">
              <w:t xml:space="preserve"> useful data for inhalation exposure</w:t>
            </w:r>
          </w:p>
          <w:p w14:paraId="3CEA23EB" w14:textId="77777777" w:rsidR="00B8123F" w:rsidRDefault="00B8123F" w:rsidP="00B9615D">
            <w:pPr>
              <w:pStyle w:val="ListBullet"/>
              <w:spacing w:before="0" w:after="80"/>
              <w:ind w:left="714" w:hanging="357"/>
              <w:contextualSpacing w:val="0"/>
            </w:pPr>
            <w:r>
              <w:t>Patch test on 34 persons with contact dermatitis from epoxy resin exposure produced a reaction in all volunteers</w:t>
            </w:r>
          </w:p>
          <w:p w14:paraId="7D70B6E6" w14:textId="77777777" w:rsidR="00B8123F" w:rsidRDefault="00B8123F" w:rsidP="00B9615D">
            <w:pPr>
              <w:pStyle w:val="ListBullet"/>
              <w:spacing w:before="0" w:after="80"/>
              <w:ind w:left="714" w:hanging="357"/>
              <w:contextualSpacing w:val="0"/>
            </w:pPr>
            <w:r>
              <w:t>Insufficient data to demonstrate respiratory sensitisation</w:t>
            </w:r>
          </w:p>
          <w:p w14:paraId="68258F29" w14:textId="77777777" w:rsidR="00DB28DA" w:rsidRDefault="009116D4" w:rsidP="00B9615D">
            <w:pPr>
              <w:pStyle w:val="ListBullet"/>
              <w:spacing w:before="0" w:after="80"/>
              <w:ind w:left="714" w:hanging="357"/>
              <w:contextualSpacing w:val="0"/>
            </w:pPr>
            <w:r>
              <w:t>E</w:t>
            </w:r>
            <w:r w:rsidR="00B8123F">
              <w:t xml:space="preserve">vidence in existing studies </w:t>
            </w:r>
            <w:r w:rsidR="001C1BE9">
              <w:t xml:space="preserve">is </w:t>
            </w:r>
            <w:r>
              <w:t>inconclusive</w:t>
            </w:r>
            <w:r w:rsidR="007606E8">
              <w:t xml:space="preserve"> </w:t>
            </w:r>
            <w:r w:rsidR="004E7306">
              <w:t>for</w:t>
            </w:r>
            <w:r w:rsidR="007606E8">
              <w:t xml:space="preserve"> genotoxic potential in humans</w:t>
            </w:r>
            <w:r w:rsidR="00DB28DA">
              <w:t>.</w:t>
            </w:r>
          </w:p>
          <w:p w14:paraId="03F2109C" w14:textId="77777777" w:rsidR="00A90785" w:rsidRDefault="00A90785" w:rsidP="00A90785">
            <w:pPr>
              <w:pStyle w:val="Tabletextprimarysource"/>
            </w:pPr>
            <w:r>
              <w:t>Animal data:</w:t>
            </w:r>
          </w:p>
          <w:p w14:paraId="7873D5AF" w14:textId="77777777" w:rsidR="007606E8" w:rsidRDefault="00C55298" w:rsidP="00B9615D">
            <w:pPr>
              <w:pStyle w:val="ListBullet"/>
              <w:spacing w:before="0" w:after="80"/>
              <w:ind w:left="714" w:hanging="357"/>
              <w:contextualSpacing w:val="0"/>
            </w:pPr>
            <w:r>
              <w:t>No</w:t>
            </w:r>
            <w:r w:rsidR="007606E8" w:rsidRPr="007606E8">
              <w:t xml:space="preserve"> inhalation </w:t>
            </w:r>
            <w:r>
              <w:t>studies identified</w:t>
            </w:r>
          </w:p>
          <w:p w14:paraId="0ED99071" w14:textId="169E64B1" w:rsidR="007606E8" w:rsidRDefault="007606E8" w:rsidP="00B9615D">
            <w:pPr>
              <w:pStyle w:val="ListBullet"/>
              <w:spacing w:before="0" w:after="80"/>
              <w:ind w:left="714" w:hanging="357"/>
              <w:contextualSpacing w:val="0"/>
            </w:pPr>
            <w:r>
              <w:t>LD</w:t>
            </w:r>
            <w:r>
              <w:rPr>
                <w:vertAlign w:val="subscript"/>
              </w:rPr>
              <w:t>50</w:t>
            </w:r>
            <w:r w:rsidR="009116D4">
              <w:t>:</w:t>
            </w:r>
            <w:r>
              <w:t xml:space="preserve"> &gt;800 mg/kg </w:t>
            </w:r>
            <w:r w:rsidR="009116D4">
              <w:t>(</w:t>
            </w:r>
            <w:r>
              <w:t>mice</w:t>
            </w:r>
            <w:r w:rsidR="009116D4">
              <w:t>, dermal)</w:t>
            </w:r>
          </w:p>
          <w:p w14:paraId="4B86E7E3" w14:textId="77777777" w:rsidR="00A90785" w:rsidRPr="00A90785" w:rsidRDefault="00A90785" w:rsidP="00B9615D">
            <w:pPr>
              <w:pStyle w:val="ListBullet"/>
              <w:spacing w:before="0" w:after="80"/>
              <w:ind w:left="714" w:hanging="357"/>
              <w:contextualSpacing w:val="0"/>
            </w:pPr>
            <w:r>
              <w:t>Reproductive toxicity not observed in rabbits exposed either dermally or orally or in rats exposed orally</w:t>
            </w:r>
          </w:p>
          <w:p w14:paraId="117AC915" w14:textId="77777777" w:rsidR="00885E50" w:rsidRPr="00DA352E" w:rsidRDefault="00885E50" w:rsidP="00B9615D">
            <w:pPr>
              <w:pStyle w:val="ListBullet"/>
              <w:spacing w:before="0" w:after="80"/>
              <w:ind w:left="714" w:hanging="357"/>
              <w:contextualSpacing w:val="0"/>
            </w:pPr>
            <w:r>
              <w:t>C</w:t>
            </w:r>
            <w:r w:rsidRPr="00885E50">
              <w:t xml:space="preserve">auses gene mutation in </w:t>
            </w:r>
            <w:r>
              <w:rPr>
                <w:i/>
              </w:rPr>
              <w:t xml:space="preserve">in vitro </w:t>
            </w:r>
            <w:r>
              <w:t>bacterial</w:t>
            </w:r>
            <w:r w:rsidRPr="00885E50">
              <w:t xml:space="preserve"> and mammalian cells and gene conversion in yeasts</w:t>
            </w:r>
          </w:p>
          <w:p w14:paraId="2E80E766" w14:textId="77777777" w:rsidR="00C978F0" w:rsidRDefault="00885E50" w:rsidP="00B9615D">
            <w:pPr>
              <w:pStyle w:val="ListBullet"/>
              <w:spacing w:before="0" w:after="80"/>
              <w:ind w:left="714" w:hanging="357"/>
              <w:contextualSpacing w:val="0"/>
            </w:pPr>
            <w:r>
              <w:rPr>
                <w:i/>
              </w:rPr>
              <w:t>I</w:t>
            </w:r>
            <w:r w:rsidRPr="00885E50">
              <w:rPr>
                <w:i/>
              </w:rPr>
              <w:t>n vivo</w:t>
            </w:r>
            <w:r>
              <w:t xml:space="preserve"> tests resulted in no micronuclei or chromosomal aberrations in bone marrow or germ cells and no DNA strand breaks in the liver</w:t>
            </w:r>
            <w:r w:rsidR="009116D4">
              <w:t>.</w:t>
            </w:r>
          </w:p>
          <w:p w14:paraId="2239F372" w14:textId="77777777" w:rsidR="00DB28DA" w:rsidRPr="00DA352E" w:rsidRDefault="00DB28DA" w:rsidP="00405BDE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</w:tc>
      </w:tr>
      <w:tr w:rsidR="00C978F0" w:rsidRPr="00DA352E" w14:paraId="7FAED17E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96E8345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Content>
                <w:r w:rsidR="00FC5EFB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Content>
                <w:r w:rsidR="00FC5EFB">
                  <w:t>NA</w:t>
                </w:r>
              </w:sdtContent>
            </w:sdt>
          </w:p>
        </w:tc>
      </w:tr>
      <w:tr w:rsidR="00C978F0" w:rsidRPr="00DA352E" w14:paraId="70F2BC2F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0A7D066" w14:textId="77777777" w:rsidR="00C978F0" w:rsidRPr="00DA352E" w:rsidRDefault="00FC5EFB" w:rsidP="003365A5">
            <w:pPr>
              <w:pStyle w:val="Tabletextprimarysource"/>
            </w:pPr>
            <w:r>
              <w:t>No report</w:t>
            </w:r>
            <w:r w:rsidR="00405BDE">
              <w:t>.</w:t>
            </w:r>
          </w:p>
        </w:tc>
      </w:tr>
      <w:tr w:rsidR="00DA352E" w:rsidRPr="00DA352E" w14:paraId="0E6F3E11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B2A3CE7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Content>
                <w:r w:rsidR="00FC5EFB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Content>
                <w:r w:rsidR="00FC5EFB">
                  <w:t>NA</w:t>
                </w:r>
              </w:sdtContent>
            </w:sdt>
          </w:p>
        </w:tc>
      </w:tr>
      <w:tr w:rsidR="00DA352E" w:rsidRPr="00DA352E" w14:paraId="6B0D8A8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CACC4FA" w14:textId="77777777" w:rsidR="00DA352E" w:rsidRPr="00DA352E" w:rsidRDefault="00FC5EFB" w:rsidP="003365A5">
            <w:pPr>
              <w:pStyle w:val="Tabletextprimarysource"/>
            </w:pPr>
            <w:r>
              <w:t>No report</w:t>
            </w:r>
            <w:r w:rsidR="00405BDE">
              <w:t>.</w:t>
            </w:r>
          </w:p>
        </w:tc>
      </w:tr>
      <w:tr w:rsidR="00DA352E" w:rsidRPr="00DA352E" w14:paraId="3EEDBE0A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1874EFC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Content>
                <w:r w:rsidR="00CB69E4">
                  <w:t>2013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Content>
                <w:r w:rsidR="00CB69E4">
                  <w:t>Not assigned</w:t>
                </w:r>
              </w:sdtContent>
            </w:sdt>
          </w:p>
        </w:tc>
      </w:tr>
      <w:tr w:rsidR="00DA352E" w:rsidRPr="00DA352E" w14:paraId="21A98666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1A04AB8" w14:textId="77777777" w:rsidR="00DA352E" w:rsidRDefault="00786D6C" w:rsidP="003365A5">
            <w:pPr>
              <w:pStyle w:val="Tabletextprimarysource"/>
            </w:pPr>
            <w:r>
              <w:t>Summary of additional data:</w:t>
            </w:r>
          </w:p>
          <w:p w14:paraId="3D5F45EB" w14:textId="77777777" w:rsidR="00786D6C" w:rsidRDefault="00786D6C" w:rsidP="00B9615D">
            <w:pPr>
              <w:pStyle w:val="ListBullet"/>
              <w:spacing w:before="0" w:after="80"/>
              <w:ind w:left="714" w:hanging="357"/>
              <w:contextualSpacing w:val="0"/>
            </w:pPr>
            <w:r w:rsidRPr="00786D6C">
              <w:t>No information on human studies related to the carcinogenicity</w:t>
            </w:r>
          </w:p>
          <w:p w14:paraId="0B0A1061" w14:textId="77777777" w:rsidR="00786D6C" w:rsidRDefault="00786D6C" w:rsidP="00B9615D">
            <w:pPr>
              <w:pStyle w:val="ListBullet"/>
              <w:spacing w:before="0" w:after="80"/>
              <w:ind w:left="714" w:hanging="357"/>
              <w:contextualSpacing w:val="0"/>
            </w:pPr>
            <w:r w:rsidRPr="00786D6C">
              <w:t>No studies on inhalation exposure were available</w:t>
            </w:r>
          </w:p>
          <w:p w14:paraId="1C232212" w14:textId="77777777" w:rsidR="00786D6C" w:rsidRDefault="00786D6C" w:rsidP="00B9615D">
            <w:pPr>
              <w:pStyle w:val="ListBullet"/>
              <w:spacing w:before="0" w:after="80"/>
              <w:ind w:left="714" w:hanging="357"/>
              <w:contextualSpacing w:val="0"/>
            </w:pPr>
            <w:r w:rsidRPr="00786D6C">
              <w:t>There is limited evidence</w:t>
            </w:r>
            <w:r>
              <w:t xml:space="preserve"> of carcinogenicity</w:t>
            </w:r>
            <w:r w:rsidRPr="00786D6C">
              <w:t xml:space="preserve"> in experimental animals</w:t>
            </w:r>
            <w:r w:rsidR="009116D4">
              <w:t>.</w:t>
            </w:r>
          </w:p>
          <w:p w14:paraId="0ADED54C" w14:textId="77777777" w:rsidR="00DB28DA" w:rsidRPr="00DA352E" w:rsidRDefault="00DB28DA" w:rsidP="00405BDE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</w:tc>
      </w:tr>
    </w:tbl>
    <w:p w14:paraId="7F95BCF6" w14:textId="77777777" w:rsidR="00A20751" w:rsidRPr="004C23F4" w:rsidRDefault="00A20751" w:rsidP="003365A5">
      <w:pPr>
        <w:pStyle w:val="Heading3"/>
      </w:pPr>
      <w:bookmarkStart w:id="0" w:name="SecondSource"/>
      <w:r w:rsidRPr="004C23F4">
        <w:lastRenderedPageBreak/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4"/>
        <w:gridCol w:w="423"/>
        <w:gridCol w:w="661"/>
        <w:gridCol w:w="6448"/>
      </w:tblGrid>
      <w:tr w:rsidR="004966BF" w:rsidRPr="00263255" w14:paraId="66DAFFE5" w14:textId="77777777" w:rsidTr="009116D4">
        <w:trPr>
          <w:cantSplit/>
          <w:trHeight w:val="393"/>
          <w:tblHeader/>
        </w:trPr>
        <w:tc>
          <w:tcPr>
            <w:tcW w:w="1494" w:type="dxa"/>
            <w:shd w:val="clear" w:color="auto" w:fill="BFBFBF" w:themeFill="background1" w:themeFillShade="BF"/>
            <w:vAlign w:val="center"/>
          </w:tcPr>
          <w:p w14:paraId="2E7F1544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5C5F9AC2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5AC0E223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8" w:type="dxa"/>
            <w:shd w:val="clear" w:color="auto" w:fill="BFBFBF" w:themeFill="background1" w:themeFillShade="BF"/>
            <w:vAlign w:val="center"/>
          </w:tcPr>
          <w:p w14:paraId="34B03481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6061B1DB" w14:textId="77777777" w:rsidTr="009116D4">
        <w:trPr>
          <w:cantSplit/>
        </w:trPr>
        <w:tc>
          <w:tcPr>
            <w:tcW w:w="1494" w:type="dxa"/>
          </w:tcPr>
          <w:p w14:paraId="7A97D585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3" w:type="dxa"/>
          </w:tcPr>
          <w:p w14:paraId="2DE74DA6" w14:textId="77777777" w:rsidR="004966BF" w:rsidRPr="00CE617F" w:rsidRDefault="00000000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Content>
                <w:r w:rsidR="00786D6C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1D9A9660" w14:textId="77777777" w:rsidR="004966BF" w:rsidRPr="004C23F4" w:rsidRDefault="00786D6C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2015</w:t>
            </w:r>
          </w:p>
        </w:tc>
        <w:tc>
          <w:tcPr>
            <w:tcW w:w="6448" w:type="dxa"/>
          </w:tcPr>
          <w:p w14:paraId="4E8795C6" w14:textId="77777777" w:rsidR="00797849" w:rsidRDefault="009116D4" w:rsidP="00797849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R</w:t>
            </w:r>
            <w:r w:rsidR="00797849" w:rsidRPr="00797849">
              <w:rPr>
                <w:rStyle w:val="checkbox"/>
                <w:rFonts w:ascii="Arial" w:hAnsi="Arial" w:cs="Arial"/>
              </w:rPr>
              <w:t>esin has reported commercial use in adhesives</w:t>
            </w:r>
          </w:p>
          <w:p w14:paraId="4289AFE9" w14:textId="77777777" w:rsidR="00797849" w:rsidRPr="00797849" w:rsidRDefault="00797849" w:rsidP="00797849">
            <w:pPr>
              <w:pStyle w:val="ListBullet"/>
              <w:rPr>
                <w:rFonts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Reported </w:t>
            </w:r>
            <w:r>
              <w:rPr>
                <w:rFonts w:cs="Arial"/>
                <w:color w:val="262626"/>
              </w:rPr>
              <w:t>a TWA 0.1–1 mg/m</w:t>
            </w:r>
            <w:r w:rsidRPr="00797849">
              <w:rPr>
                <w:rFonts w:cs="Arial"/>
                <w:color w:val="262626"/>
                <w:szCs w:val="20"/>
                <w:vertAlign w:val="superscript"/>
              </w:rPr>
              <w:t>3</w:t>
            </w:r>
            <w:r w:rsidR="001C1BE9">
              <w:rPr>
                <w:rFonts w:cs="Arial"/>
                <w:color w:val="262626"/>
              </w:rPr>
              <w:t xml:space="preserve"> </w:t>
            </w:r>
            <w:r>
              <w:rPr>
                <w:rFonts w:cs="Arial"/>
                <w:color w:val="262626"/>
              </w:rPr>
              <w:t>in countries such as Latvia and Russia</w:t>
            </w:r>
          </w:p>
          <w:p w14:paraId="372E5576" w14:textId="77777777" w:rsidR="00797849" w:rsidRDefault="00797849" w:rsidP="00797849">
            <w:pPr>
              <w:pStyle w:val="ListBullet"/>
              <w:rPr>
                <w:rStyle w:val="checkbox"/>
                <w:rFonts w:ascii="Arial" w:hAnsi="Arial" w:cs="Arial"/>
              </w:rPr>
            </w:pPr>
            <w:r w:rsidRPr="00797849">
              <w:rPr>
                <w:rStyle w:val="checkbox"/>
                <w:rFonts w:ascii="Arial" w:hAnsi="Arial" w:cs="Arial"/>
              </w:rPr>
              <w:t>BADGE is rapidly absorbed after ingestion but slowly absorbed through the skin</w:t>
            </w:r>
          </w:p>
          <w:p w14:paraId="07916537" w14:textId="77777777" w:rsidR="004966BF" w:rsidRDefault="00797849" w:rsidP="00797849">
            <w:pPr>
              <w:pStyle w:val="ListBullet"/>
              <w:rPr>
                <w:rStyle w:val="checkbox"/>
                <w:rFonts w:ascii="Arial" w:hAnsi="Arial" w:cs="Arial"/>
              </w:rPr>
            </w:pPr>
            <w:r w:rsidRPr="00797849">
              <w:rPr>
                <w:rStyle w:val="checkbox"/>
                <w:rFonts w:ascii="Arial" w:hAnsi="Arial" w:cs="Arial"/>
              </w:rPr>
              <w:t>The critical health effects for risk characterisation include local effects (irr</w:t>
            </w:r>
            <w:r>
              <w:rPr>
                <w:rStyle w:val="checkbox"/>
                <w:rFonts w:ascii="Arial" w:hAnsi="Arial" w:cs="Arial"/>
              </w:rPr>
              <w:t>itation and skin sensitisation)</w:t>
            </w:r>
          </w:p>
          <w:p w14:paraId="6FE49E2F" w14:textId="77777777" w:rsidR="00797849" w:rsidRDefault="00797849" w:rsidP="00797849">
            <w:pPr>
              <w:pStyle w:val="ListBullet"/>
              <w:rPr>
                <w:rStyle w:val="checkbox"/>
                <w:rFonts w:ascii="Arial" w:hAnsi="Arial" w:cs="Arial"/>
              </w:rPr>
            </w:pPr>
            <w:r w:rsidRPr="00797849">
              <w:rPr>
                <w:rStyle w:val="checkbox"/>
                <w:rFonts w:ascii="Arial" w:hAnsi="Arial" w:cs="Arial"/>
              </w:rPr>
              <w:t xml:space="preserve">A study showed that a </w:t>
            </w:r>
            <w:r w:rsidR="00A071C7">
              <w:rPr>
                <w:rStyle w:val="checkbox"/>
                <w:rFonts w:ascii="Arial" w:hAnsi="Arial" w:cs="Arial"/>
              </w:rPr>
              <w:t>5</w:t>
            </w:r>
            <w:r w:rsidR="001C1BE9">
              <w:rPr>
                <w:rStyle w:val="checkbox"/>
                <w:rFonts w:ascii="Arial" w:hAnsi="Arial" w:cs="Arial"/>
              </w:rPr>
              <w:t xml:space="preserve"> </w:t>
            </w:r>
            <w:r w:rsidR="00A071C7">
              <w:rPr>
                <w:rStyle w:val="checkbox"/>
                <w:rFonts w:ascii="Arial" w:hAnsi="Arial" w:cs="Arial"/>
              </w:rPr>
              <w:t>h</w:t>
            </w:r>
            <w:r w:rsidRPr="00797849">
              <w:rPr>
                <w:rStyle w:val="checkbox"/>
                <w:rFonts w:ascii="Arial" w:hAnsi="Arial" w:cs="Arial"/>
              </w:rPr>
              <w:t xml:space="preserve"> exposure to 8x</w:t>
            </w:r>
            <w:r w:rsidR="00152E48" w:rsidRPr="00797849">
              <w:rPr>
                <w:rStyle w:val="checkbox"/>
                <w:rFonts w:ascii="Arial" w:hAnsi="Arial" w:cs="Arial"/>
              </w:rPr>
              <w:t>10</w:t>
            </w:r>
            <w:r w:rsidR="00152E48">
              <w:rPr>
                <w:rStyle w:val="checkbox"/>
                <w:rFonts w:ascii="Arial" w:hAnsi="Arial" w:cs="Arial"/>
                <w:vertAlign w:val="superscript"/>
              </w:rPr>
              <w:t>-6</w:t>
            </w:r>
            <w:r w:rsidR="00152E48" w:rsidRPr="00797849">
              <w:rPr>
                <w:rStyle w:val="checkbox"/>
                <w:rFonts w:ascii="Arial" w:hAnsi="Arial" w:cs="Arial"/>
              </w:rPr>
              <w:t xml:space="preserve"> </w:t>
            </w:r>
            <w:r w:rsidRPr="00797849">
              <w:rPr>
                <w:rStyle w:val="checkbox"/>
                <w:rFonts w:ascii="Arial" w:hAnsi="Arial" w:cs="Arial"/>
              </w:rPr>
              <w:t>ppm did not cause any deaths or effects in six male albino rats</w:t>
            </w:r>
          </w:p>
          <w:p w14:paraId="30955B8C" w14:textId="77777777" w:rsidR="00797849" w:rsidRDefault="00797849" w:rsidP="00797849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C</w:t>
            </w:r>
            <w:r w:rsidRPr="00797849">
              <w:rPr>
                <w:rStyle w:val="checkbox"/>
                <w:rFonts w:ascii="Arial" w:hAnsi="Arial" w:cs="Arial"/>
              </w:rPr>
              <w:t>lassified as hazardous with the risk phrase 'Irritating to eyes'</w:t>
            </w:r>
          </w:p>
          <w:p w14:paraId="6CE5E80B" w14:textId="77777777" w:rsidR="00797849" w:rsidRDefault="00797849" w:rsidP="00797849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C</w:t>
            </w:r>
            <w:r w:rsidRPr="00797849">
              <w:rPr>
                <w:rStyle w:val="checkbox"/>
                <w:rFonts w:ascii="Arial" w:hAnsi="Arial" w:cs="Arial"/>
              </w:rPr>
              <w:t>lassified as hazardous with the risk phrase 'Irritating to skin'</w:t>
            </w:r>
          </w:p>
          <w:p w14:paraId="4B03D433" w14:textId="77777777" w:rsidR="00797849" w:rsidRDefault="00797849" w:rsidP="00797849">
            <w:pPr>
              <w:pStyle w:val="ListBullet"/>
              <w:rPr>
                <w:rStyle w:val="checkbox"/>
                <w:rFonts w:ascii="Arial" w:hAnsi="Arial" w:cs="Arial"/>
              </w:rPr>
            </w:pPr>
            <w:r w:rsidRPr="00797849">
              <w:rPr>
                <w:rStyle w:val="checkbox"/>
                <w:rFonts w:ascii="Arial" w:hAnsi="Arial" w:cs="Arial"/>
              </w:rPr>
              <w:t xml:space="preserve">NOAEL </w:t>
            </w:r>
            <w:r>
              <w:rPr>
                <w:rStyle w:val="checkbox"/>
                <w:rFonts w:ascii="Arial" w:hAnsi="Arial" w:cs="Arial"/>
              </w:rPr>
              <w:t>of 15 mg/kg/</w:t>
            </w:r>
            <w:r w:rsidRPr="00797849">
              <w:rPr>
                <w:rStyle w:val="checkbox"/>
                <w:rFonts w:ascii="Arial" w:hAnsi="Arial" w:cs="Arial"/>
              </w:rPr>
              <w:t>d</w:t>
            </w:r>
            <w:r>
              <w:rPr>
                <w:rStyle w:val="checkbox"/>
                <w:rFonts w:ascii="Arial" w:hAnsi="Arial" w:cs="Arial"/>
              </w:rPr>
              <w:t xml:space="preserve"> </w:t>
            </w:r>
            <w:r w:rsidR="00152E48">
              <w:rPr>
                <w:rStyle w:val="checkbox"/>
                <w:rFonts w:ascii="Arial" w:hAnsi="Arial" w:cs="Arial"/>
              </w:rPr>
              <w:t>(rats, oral)</w:t>
            </w:r>
          </w:p>
          <w:p w14:paraId="6CF07913" w14:textId="77777777" w:rsidR="00797849" w:rsidRPr="004C23F4" w:rsidRDefault="00797849" w:rsidP="00797849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</w:t>
            </w:r>
            <w:r w:rsidRPr="00797849">
              <w:rPr>
                <w:rStyle w:val="checkbox"/>
                <w:rFonts w:ascii="Arial" w:hAnsi="Arial" w:cs="Arial"/>
              </w:rPr>
              <w:t>ot considered to be genotoxic based on the available information</w:t>
            </w:r>
            <w:r w:rsidR="001C1BE9"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0"/>
    <w:p w14:paraId="1EF10463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46B5E609" w14:textId="77777777" w:rsidTr="008F2104">
        <w:trPr>
          <w:trHeight w:val="454"/>
          <w:tblHeader/>
        </w:trPr>
        <w:tc>
          <w:tcPr>
            <w:tcW w:w="6603" w:type="dxa"/>
            <w:vAlign w:val="center"/>
          </w:tcPr>
          <w:p w14:paraId="1F421E09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Content>
            <w:tc>
              <w:tcPr>
                <w:tcW w:w="2423" w:type="dxa"/>
                <w:vAlign w:val="center"/>
              </w:tcPr>
              <w:p w14:paraId="46871177" w14:textId="77777777" w:rsidR="002E0D61" w:rsidRDefault="00797849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3D2442EC" w14:textId="77777777" w:rsidTr="008F2104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Content>
            <w:tc>
              <w:tcPr>
                <w:tcW w:w="6603" w:type="dxa"/>
                <w:vAlign w:val="center"/>
              </w:tcPr>
              <w:p w14:paraId="4B46BF03" w14:textId="77777777" w:rsidR="008A36CF" w:rsidRPr="006901A2" w:rsidRDefault="008F2104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741AA476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33281B8C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3335EFDC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24B58C19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63CC646F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5E91A230" w14:textId="77777777" w:rsidTr="00812887">
        <w:trPr>
          <w:cantSplit/>
        </w:trPr>
        <w:tc>
          <w:tcPr>
            <w:tcW w:w="3227" w:type="dxa"/>
          </w:tcPr>
          <w:p w14:paraId="373F963A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1D72F79A" w14:textId="77777777" w:rsidR="00687890" w:rsidRPr="00DD2F9B" w:rsidRDefault="00603369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6251FDAE" w14:textId="77777777" w:rsidTr="00812887">
        <w:trPr>
          <w:cantSplit/>
        </w:trPr>
        <w:tc>
          <w:tcPr>
            <w:tcW w:w="3227" w:type="dxa"/>
          </w:tcPr>
          <w:p w14:paraId="14080413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12911151" w14:textId="77777777" w:rsidR="007925F0" w:rsidRPr="00DD2F9B" w:rsidRDefault="00257AB8" w:rsidP="00DD2F9B">
            <w:pPr>
              <w:pStyle w:val="Tablefont"/>
            </w:pPr>
            <w:r w:rsidRPr="00257AB8">
              <w:t>Skin sensitisation – category 1</w:t>
            </w:r>
          </w:p>
        </w:tc>
      </w:tr>
      <w:tr w:rsidR="00AF483F" w:rsidRPr="004C23F4" w14:paraId="4E7AC66E" w14:textId="77777777" w:rsidTr="00812887">
        <w:trPr>
          <w:cantSplit/>
        </w:trPr>
        <w:tc>
          <w:tcPr>
            <w:tcW w:w="3227" w:type="dxa"/>
          </w:tcPr>
          <w:p w14:paraId="7E7DF152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409FD352" w14:textId="77777777" w:rsidR="00AF483F" w:rsidRPr="00DD2F9B" w:rsidRDefault="00A071C7" w:rsidP="00DD2F9B">
            <w:pPr>
              <w:pStyle w:val="Tablefont"/>
            </w:pPr>
            <w:r>
              <w:t>Skin sensitisation</w:t>
            </w:r>
          </w:p>
        </w:tc>
      </w:tr>
      <w:tr w:rsidR="00687890" w:rsidRPr="004C23F4" w14:paraId="22E26D64" w14:textId="77777777" w:rsidTr="00812887">
        <w:trPr>
          <w:cantSplit/>
        </w:trPr>
        <w:tc>
          <w:tcPr>
            <w:tcW w:w="3227" w:type="dxa"/>
          </w:tcPr>
          <w:p w14:paraId="571B5B67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4F8E5868" w14:textId="77777777" w:rsidR="00687890" w:rsidRPr="00DD2F9B" w:rsidRDefault="00F27FAC" w:rsidP="00DD2F9B">
            <w:pPr>
              <w:pStyle w:val="Tablefont"/>
            </w:pPr>
            <w:r w:rsidRPr="00F27FAC">
              <w:t>Skin sensitisation – category 1</w:t>
            </w:r>
          </w:p>
        </w:tc>
      </w:tr>
      <w:tr w:rsidR="00E41A26" w:rsidRPr="004C23F4" w14:paraId="3F8E9952" w14:textId="77777777" w:rsidTr="00812887">
        <w:trPr>
          <w:cantSplit/>
        </w:trPr>
        <w:tc>
          <w:tcPr>
            <w:tcW w:w="3227" w:type="dxa"/>
          </w:tcPr>
          <w:p w14:paraId="638B6679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75E7254B" w14:textId="77777777" w:rsidR="00E41A26" w:rsidRPr="00DD2F9B" w:rsidRDefault="00D82075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053F8C90" w14:textId="77777777" w:rsidTr="00812887">
        <w:trPr>
          <w:cantSplit/>
        </w:trPr>
        <w:tc>
          <w:tcPr>
            <w:tcW w:w="3227" w:type="dxa"/>
          </w:tcPr>
          <w:p w14:paraId="5C9CA7FE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00E5A6E0" w14:textId="77777777" w:rsidR="002E0D61" w:rsidRPr="00DD2F9B" w:rsidRDefault="00D82075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49822715" w14:textId="77777777" w:rsidTr="00812887">
        <w:trPr>
          <w:cantSplit/>
        </w:trPr>
        <w:tc>
          <w:tcPr>
            <w:tcW w:w="3227" w:type="dxa"/>
          </w:tcPr>
          <w:p w14:paraId="720011BB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07B518B9" w14:textId="77777777" w:rsidR="002E0D61" w:rsidRPr="00DD2F9B" w:rsidRDefault="00F279FE" w:rsidP="00F279FE">
            <w:r w:rsidRPr="00F279FE">
              <w:t>Carcinogenicity – 3A</w:t>
            </w:r>
            <w:r w:rsidR="00140801">
              <w:t>, H (skin),</w:t>
            </w:r>
            <w:r w:rsidR="00D82075">
              <w:t xml:space="preserve"> </w:t>
            </w:r>
            <w:r>
              <w:t>Sh (dermal sensitiser)</w:t>
            </w:r>
            <w:r w:rsidR="000C6B4C">
              <w:t xml:space="preserve">; </w:t>
            </w:r>
          </w:p>
        </w:tc>
      </w:tr>
      <w:tr w:rsidR="002E0D61" w:rsidRPr="004C23F4" w14:paraId="4C27B182" w14:textId="77777777" w:rsidTr="00812887">
        <w:trPr>
          <w:cantSplit/>
        </w:trPr>
        <w:tc>
          <w:tcPr>
            <w:tcW w:w="3227" w:type="dxa"/>
          </w:tcPr>
          <w:p w14:paraId="21221B1C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3476C9C7" w14:textId="77777777" w:rsidR="002E0D61" w:rsidRPr="00DD2F9B" w:rsidRDefault="00D82075" w:rsidP="00D82075">
            <w:pPr>
              <w:pStyle w:val="Tablefont"/>
            </w:pPr>
            <w:r>
              <w:t>NA</w:t>
            </w:r>
          </w:p>
        </w:tc>
      </w:tr>
      <w:tr w:rsidR="002E0D61" w:rsidRPr="004C23F4" w14:paraId="7CD9D246" w14:textId="77777777" w:rsidTr="00812887">
        <w:trPr>
          <w:cantSplit/>
        </w:trPr>
        <w:tc>
          <w:tcPr>
            <w:tcW w:w="3227" w:type="dxa"/>
          </w:tcPr>
          <w:p w14:paraId="29D19661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6882CC05" w14:textId="77777777" w:rsidR="002E0D61" w:rsidRPr="00DD2F9B" w:rsidRDefault="00EC2FB3" w:rsidP="00DD2F9B">
            <w:pPr>
              <w:pStyle w:val="Tablefont"/>
            </w:pPr>
            <w:r>
              <w:t>—</w:t>
            </w:r>
          </w:p>
        </w:tc>
      </w:tr>
      <w:tr w:rsidR="00386093" w:rsidRPr="004C23F4" w14:paraId="61B0B556" w14:textId="77777777" w:rsidTr="00812887">
        <w:trPr>
          <w:cantSplit/>
        </w:trPr>
        <w:tc>
          <w:tcPr>
            <w:tcW w:w="3227" w:type="dxa"/>
          </w:tcPr>
          <w:p w14:paraId="4B64CE4D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754B3803" w14:textId="77777777" w:rsidR="00386093" w:rsidRPr="00DD2F9B" w:rsidRDefault="000F613F" w:rsidP="000F613F">
            <w:r>
              <w:t>Carcinogenicity – Group 3</w:t>
            </w:r>
          </w:p>
        </w:tc>
      </w:tr>
      <w:tr w:rsidR="00386093" w:rsidRPr="004C23F4" w14:paraId="0679D471" w14:textId="77777777" w:rsidTr="00812887">
        <w:trPr>
          <w:cantSplit/>
        </w:trPr>
        <w:tc>
          <w:tcPr>
            <w:tcW w:w="3227" w:type="dxa"/>
          </w:tcPr>
          <w:p w14:paraId="532993F6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7D1E1789" w14:textId="77777777" w:rsidR="00386093" w:rsidRPr="00DD2F9B" w:rsidRDefault="00852AEE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0AD7954C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0B873877" w14:textId="77777777" w:rsidR="00474E33" w:rsidRDefault="00474E33" w:rsidP="00474E33">
      <w:pPr>
        <w:pStyle w:val="Heading3"/>
      </w:pPr>
      <w:r>
        <w:lastRenderedPageBreak/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2531E59A" w14:textId="77777777" w:rsidTr="00405BDE">
        <w:trPr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5D8DD504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24FDFFF0" w14:textId="77777777" w:rsidTr="00405BDE">
        <w:trPr>
          <w:tblHeader/>
        </w:trPr>
        <w:tc>
          <w:tcPr>
            <w:tcW w:w="5000" w:type="pct"/>
            <w:vAlign w:val="center"/>
          </w:tcPr>
          <w:tbl>
            <w:tblPr>
              <w:tblW w:w="9102" w:type="dxa"/>
              <w:tblLook w:val="04A0" w:firstRow="1" w:lastRow="0" w:firstColumn="1" w:lastColumn="0" w:noHBand="0" w:noVBand="1"/>
            </w:tblPr>
            <w:tblGrid>
              <w:gridCol w:w="3579"/>
              <w:gridCol w:w="1059"/>
              <w:gridCol w:w="1059"/>
              <w:gridCol w:w="1556"/>
              <w:gridCol w:w="1557"/>
            </w:tblGrid>
            <w:tr w:rsidR="008F2104" w:rsidRPr="008F2104" w14:paraId="68E3D6FD" w14:textId="77777777" w:rsidTr="00A071C7">
              <w:trPr>
                <w:trHeight w:val="356"/>
              </w:trPr>
              <w:tc>
                <w:tcPr>
                  <w:tcW w:w="37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642150C" w14:textId="77777777" w:rsidR="008F2104" w:rsidRPr="008F2104" w:rsidRDefault="008F2104" w:rsidP="008F210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F210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0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02E2781" w14:textId="77777777" w:rsidR="008F2104" w:rsidRPr="008F2104" w:rsidRDefault="008F2104" w:rsidP="008F210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F210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5AE57E7" w14:textId="77777777" w:rsidR="008F2104" w:rsidRPr="008F2104" w:rsidRDefault="008F2104" w:rsidP="008F210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F210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C6F232B" w14:textId="77777777" w:rsidR="008F2104" w:rsidRPr="008F2104" w:rsidRDefault="008F2104" w:rsidP="008F210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F210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EA4F1FB" w14:textId="77777777" w:rsidR="008F2104" w:rsidRPr="008F2104" w:rsidRDefault="008F2104" w:rsidP="008F210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F210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8F2104" w:rsidRPr="008F2104" w14:paraId="18C33001" w14:textId="77777777" w:rsidTr="00A071C7">
              <w:trPr>
                <w:trHeight w:val="356"/>
              </w:trPr>
              <w:tc>
                <w:tcPr>
                  <w:tcW w:w="37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7BB9995" w14:textId="77777777" w:rsidR="008F2104" w:rsidRPr="008F2104" w:rsidRDefault="008F2104" w:rsidP="008F210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F210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8F210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8F210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0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42FF8B4C" w14:textId="77777777" w:rsidR="008F2104" w:rsidRPr="008F2104" w:rsidRDefault="008F2104" w:rsidP="008F210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8F2104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0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08FB5DA" w14:textId="77777777" w:rsidR="008F2104" w:rsidRPr="008F2104" w:rsidRDefault="008F2104" w:rsidP="008F210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F210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44064D5" w14:textId="77777777" w:rsidR="008F2104" w:rsidRPr="008F2104" w:rsidRDefault="008F2104" w:rsidP="008F210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F210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56903CA" w14:textId="77777777" w:rsidR="008F2104" w:rsidRPr="008F2104" w:rsidRDefault="008F2104" w:rsidP="008F210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F210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8F2104" w:rsidRPr="008F2104" w14:paraId="62D45711" w14:textId="77777777" w:rsidTr="00A071C7">
              <w:trPr>
                <w:trHeight w:val="356"/>
              </w:trPr>
              <w:tc>
                <w:tcPr>
                  <w:tcW w:w="37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315651E" w14:textId="77777777" w:rsidR="008F2104" w:rsidRPr="008F2104" w:rsidRDefault="008F2104" w:rsidP="008F210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F210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10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6D4DFB4" w14:textId="77777777" w:rsidR="008F2104" w:rsidRPr="008F2104" w:rsidRDefault="008F2104" w:rsidP="008F210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F210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F96D1E3" w14:textId="77777777" w:rsidR="008F2104" w:rsidRPr="008F2104" w:rsidRDefault="008F2104" w:rsidP="008F210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F210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7FEAE9A" w14:textId="77777777" w:rsidR="008F2104" w:rsidRPr="008F2104" w:rsidRDefault="008F2104" w:rsidP="008F210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F210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07D528B" w14:textId="77777777" w:rsidR="008F2104" w:rsidRPr="008F2104" w:rsidRDefault="008F2104" w:rsidP="008F210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F210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8F2104" w:rsidRPr="008F2104" w14:paraId="6D708569" w14:textId="77777777" w:rsidTr="00A071C7">
              <w:trPr>
                <w:trHeight w:val="356"/>
              </w:trPr>
              <w:tc>
                <w:tcPr>
                  <w:tcW w:w="37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71D0657" w14:textId="77777777" w:rsidR="008F2104" w:rsidRPr="008F2104" w:rsidRDefault="008F2104" w:rsidP="008F210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F210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8F210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8F210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8F210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8F210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0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F88EA67" w14:textId="77777777" w:rsidR="008F2104" w:rsidRPr="008F2104" w:rsidRDefault="008F2104" w:rsidP="008F210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F210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2957777" w14:textId="77777777" w:rsidR="008F2104" w:rsidRPr="008F2104" w:rsidRDefault="008F2104" w:rsidP="008F210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F210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B14E86B" w14:textId="77777777" w:rsidR="008F2104" w:rsidRPr="008F2104" w:rsidRDefault="008F2104" w:rsidP="008F210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F210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C25490E" w14:textId="77777777" w:rsidR="008F2104" w:rsidRPr="008F2104" w:rsidRDefault="008F2104" w:rsidP="008F210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F210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8F2104" w:rsidRPr="008F2104" w14:paraId="1D8B5841" w14:textId="77777777" w:rsidTr="00A071C7">
              <w:trPr>
                <w:trHeight w:val="356"/>
              </w:trPr>
              <w:tc>
                <w:tcPr>
                  <w:tcW w:w="37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0BAF992" w14:textId="77777777" w:rsidR="008F2104" w:rsidRPr="008F2104" w:rsidRDefault="008F2104" w:rsidP="008F210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8F2104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8F210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0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0050338" w14:textId="77777777" w:rsidR="008F2104" w:rsidRPr="008F2104" w:rsidRDefault="008F2104" w:rsidP="008F210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F210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B59697E" w14:textId="77777777" w:rsidR="008F2104" w:rsidRPr="008F2104" w:rsidRDefault="008F2104" w:rsidP="008F210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F210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030BADA" w14:textId="77777777" w:rsidR="008F2104" w:rsidRPr="008F2104" w:rsidRDefault="008F2104" w:rsidP="008F210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F210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87CF9E3" w14:textId="77777777" w:rsidR="008F2104" w:rsidRPr="008F2104" w:rsidRDefault="008F2104" w:rsidP="008F210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F210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8F2104" w:rsidRPr="008F2104" w14:paraId="3D21BB64" w14:textId="77777777" w:rsidTr="00A071C7">
              <w:trPr>
                <w:trHeight w:val="356"/>
              </w:trPr>
              <w:tc>
                <w:tcPr>
                  <w:tcW w:w="37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5C56EDD" w14:textId="77777777" w:rsidR="008F2104" w:rsidRPr="008F2104" w:rsidRDefault="008F2104" w:rsidP="008F210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F210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0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23ABF13" w14:textId="77777777" w:rsidR="008F2104" w:rsidRPr="008F2104" w:rsidRDefault="008F2104" w:rsidP="008F210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F210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2C0E484" w14:textId="77777777" w:rsidR="008F2104" w:rsidRPr="008F2104" w:rsidRDefault="008F2104" w:rsidP="008F210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F210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D0B60AA" w14:textId="77777777" w:rsidR="008F2104" w:rsidRPr="008F2104" w:rsidRDefault="008F2104" w:rsidP="008F210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F210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88839E5" w14:textId="77777777" w:rsidR="008F2104" w:rsidRPr="008F2104" w:rsidRDefault="008F2104" w:rsidP="008F210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F210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8F2104" w:rsidRPr="008F2104" w14:paraId="58587AA0" w14:textId="77777777" w:rsidTr="00A071C7">
              <w:trPr>
                <w:trHeight w:val="356"/>
              </w:trPr>
              <w:tc>
                <w:tcPr>
                  <w:tcW w:w="37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21EC3D1" w14:textId="77777777" w:rsidR="008F2104" w:rsidRPr="008F2104" w:rsidRDefault="008F2104" w:rsidP="008F210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F210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14B16A0" w14:textId="77777777" w:rsidR="008F2104" w:rsidRPr="008F2104" w:rsidRDefault="008F2104" w:rsidP="008F210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F210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8AFA89B" w14:textId="77777777" w:rsidR="008F2104" w:rsidRPr="008F2104" w:rsidRDefault="008F2104" w:rsidP="008F210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F210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</w:t>
                  </w:r>
                </w:p>
              </w:tc>
              <w:tc>
                <w:tcPr>
                  <w:tcW w:w="321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5E409CB" w14:textId="77777777" w:rsidR="008F2104" w:rsidRPr="008F2104" w:rsidRDefault="008F2104" w:rsidP="008F2104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8F2104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consider assigning a skin notation</w:t>
                  </w:r>
                </w:p>
              </w:tc>
            </w:tr>
          </w:tbl>
          <w:p w14:paraId="556529B6" w14:textId="77777777" w:rsidR="00932DCE" w:rsidRPr="00C0281C" w:rsidRDefault="00932DCE" w:rsidP="00C0281C"/>
        </w:tc>
      </w:tr>
    </w:tbl>
    <w:bookmarkEnd w:id="3"/>
    <w:p w14:paraId="3F506557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5CBC8FFE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0A4C9B91" w14:textId="77777777" w:rsidR="00EB3D1B" w:rsidRPr="00C0281C" w:rsidRDefault="00EB3D1B" w:rsidP="008F2104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Content>
            <w:tc>
              <w:tcPr>
                <w:tcW w:w="4881" w:type="dxa"/>
                <w:vAlign w:val="center"/>
              </w:tcPr>
              <w:p w14:paraId="37F8BECD" w14:textId="77777777" w:rsidR="00EB3D1B" w:rsidRDefault="00CC5721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48ECF517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09D7760E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58349D3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Content>
            <w:tc>
              <w:tcPr>
                <w:tcW w:w="5165" w:type="dxa"/>
                <w:vAlign w:val="center"/>
              </w:tcPr>
              <w:p w14:paraId="58B3EEA8" w14:textId="77777777" w:rsidR="001B79E5" w:rsidRDefault="00E8432B" w:rsidP="001B79E5">
                <w:pPr>
                  <w:pStyle w:val="Tablefont"/>
                </w:pPr>
                <w:r>
                  <w:t>340.42</w:t>
                </w:r>
              </w:p>
            </w:tc>
          </w:sdtContent>
        </w:sdt>
      </w:tr>
      <w:tr w:rsidR="00A31D99" w:rsidRPr="004C23F4" w14:paraId="149D6182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9D8B474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798F96E9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791485DB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4B26B40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7BC96AD6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11DD92F9" w14:textId="77777777" w:rsidTr="00EA6243">
        <w:trPr>
          <w:cantSplit/>
        </w:trPr>
        <w:tc>
          <w:tcPr>
            <w:tcW w:w="4077" w:type="dxa"/>
            <w:vAlign w:val="center"/>
          </w:tcPr>
          <w:p w14:paraId="236014FA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38117C62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578E181D" w14:textId="77777777" w:rsidTr="00EA6243">
        <w:trPr>
          <w:cantSplit/>
        </w:trPr>
        <w:tc>
          <w:tcPr>
            <w:tcW w:w="4077" w:type="dxa"/>
            <w:vAlign w:val="center"/>
          </w:tcPr>
          <w:p w14:paraId="7C5C05FD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715EA934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34311514" w14:textId="77777777" w:rsidTr="00EA6243">
        <w:trPr>
          <w:cantSplit/>
        </w:trPr>
        <w:tc>
          <w:tcPr>
            <w:tcW w:w="4077" w:type="dxa"/>
            <w:vAlign w:val="center"/>
          </w:tcPr>
          <w:p w14:paraId="014003DB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0FE08A94" w14:textId="77777777" w:rsidR="00E06F40" w:rsidRPr="00A006A0" w:rsidRDefault="00000000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5A025FEA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2F31A733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28268CAE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69EFCA52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67C9FA95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Content>
            <w:tc>
              <w:tcPr>
                <w:tcW w:w="4077" w:type="dxa"/>
                <w:vAlign w:val="center"/>
              </w:tcPr>
              <w:p w14:paraId="1EE80939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46B6A44D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4A9F1373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53B9FD24" w14:textId="77777777" w:rsidR="002F4E20" w:rsidRDefault="002F4E20" w:rsidP="00084859">
      <w:r w:rsidRPr="002022B6">
        <w:t>Deutsche Forschungsgemeinschaft (DFG)</w:t>
      </w:r>
      <w:r>
        <w:t xml:space="preserve"> (</w:t>
      </w:r>
      <w:r w:rsidR="003334D1">
        <w:t>2003</w:t>
      </w:r>
      <w:r>
        <w:t xml:space="preserve">) </w:t>
      </w:r>
      <w:r w:rsidR="003334D1">
        <w:t>Bisphenol A diglycidyl ether</w:t>
      </w:r>
      <w:r>
        <w:t xml:space="preserve"> – MAK value documentation.</w:t>
      </w:r>
    </w:p>
    <w:p w14:paraId="21312A2B" w14:textId="77777777" w:rsidR="002F4E20" w:rsidRDefault="002F4E20" w:rsidP="00084859">
      <w:r w:rsidRPr="002F4E20">
        <w:t>International Agency for Research on Cancer (IARC) (1999) Volume 71 re-evaluation of some organic chemicals, hydrazine and hydrogen peroxide. IARC Monographs on the evaluation of the carcinogenic risk to humans.</w:t>
      </w:r>
    </w:p>
    <w:p w14:paraId="762B7029" w14:textId="77777777" w:rsidR="003D5FD6" w:rsidRPr="00DB0A36" w:rsidRDefault="003D5FD6" w:rsidP="003D5FD6">
      <w:r w:rsidRPr="00DB0A36">
        <w:t>Health Council of the Netherlands (HCOTN) (201</w:t>
      </w:r>
      <w:r>
        <w:t>3</w:t>
      </w:r>
      <w:r w:rsidRPr="00DB0A36">
        <w:t xml:space="preserve">) </w:t>
      </w:r>
      <w:r>
        <w:t>Bisphenol A diglycidal ether</w:t>
      </w:r>
      <w:r w:rsidRPr="00DB0A36">
        <w:t>. Health-based recommendation on occupational exposure limits. The Hague: Health Council of the Netherlands; publication no. 201</w:t>
      </w:r>
      <w:r>
        <w:t>3</w:t>
      </w:r>
      <w:r w:rsidRPr="00DB0A36">
        <w:t>/</w:t>
      </w:r>
      <w:r>
        <w:t>25</w:t>
      </w:r>
      <w:r w:rsidRPr="00DB0A36">
        <w:t>.</w:t>
      </w:r>
    </w:p>
    <w:p w14:paraId="7B7ACC1A" w14:textId="77777777" w:rsidR="008D1F29" w:rsidRDefault="008D1F29" w:rsidP="008D1F29">
      <w:r w:rsidRPr="002022B6">
        <w:t>National Industrial Chemicals Notification and Assessment Scheme (NICNAS)</w:t>
      </w:r>
      <w:r>
        <w:t xml:space="preserve"> (2015) </w:t>
      </w:r>
      <w:r>
        <w:rPr>
          <w:rFonts w:cs="Arial"/>
          <w:lang w:val="en"/>
        </w:rPr>
        <w:t>Diglycidyl ether of bisphenol A-based epoxy resins</w:t>
      </w:r>
      <w:r w:rsidRPr="00A071C7">
        <w:t xml:space="preserve">: Human health </w:t>
      </w:r>
      <w:sdt>
        <w:sdtPr>
          <w:id w:val="-1295753243"/>
          <w:placeholder>
            <w:docPart w:val="8170F655132644748C2688C6B7867FBE"/>
          </w:placeholder>
          <w:temporary/>
          <w:showingPlcHdr/>
        </w:sdtPr>
        <w:sdtContent>
          <w:r w:rsidRPr="00A071C7">
            <w:t>tier II</w:t>
          </w:r>
        </w:sdtContent>
      </w:sdt>
      <w:r w:rsidRPr="00A071C7">
        <w:t xml:space="preserve"> assessment </w:t>
      </w:r>
      <w:r>
        <w:t>– IMAP report.</w:t>
      </w:r>
    </w:p>
    <w:p w14:paraId="30F50159" w14:textId="77777777" w:rsidR="008D1F29" w:rsidRPr="00351FE0" w:rsidRDefault="001E3754" w:rsidP="00084859">
      <w:r w:rsidRPr="00E461B8">
        <w:rPr>
          <w:color w:val="000000"/>
        </w:rPr>
        <w:lastRenderedPageBreak/>
        <w:t>Tenth Adaptation to Technical Progress Commission Regulation (EU Annex) No 2017/776 amending, for the purposes of its adaptation to technical and scientific progress, Regulation (EC) No 1272/2008 of the European Parliament and of the Council on classification, labelling and packaging of</w:t>
      </w:r>
      <w:r w:rsidR="00DB28DA">
        <w:rPr>
          <w:color w:val="000000"/>
        </w:rPr>
        <w:t xml:space="preserve"> </w:t>
      </w:r>
      <w:r w:rsidRPr="00E461B8">
        <w:rPr>
          <w:color w:val="000000"/>
        </w:rPr>
        <w:t>substances and mixtures (the CLP Regulation).</w:t>
      </w:r>
    </w:p>
    <w:sectPr w:rsidR="008D1F29" w:rsidRPr="00351FE0" w:rsidSect="00310B8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136E7B" w14:textId="77777777" w:rsidR="000F52DD" w:rsidRDefault="000F52DD" w:rsidP="00F43AD5">
      <w:pPr>
        <w:spacing w:after="0" w:line="240" w:lineRule="auto"/>
      </w:pPr>
      <w:r>
        <w:separator/>
      </w:r>
    </w:p>
  </w:endnote>
  <w:endnote w:type="continuationSeparator" w:id="0">
    <w:p w14:paraId="7ADA2F15" w14:textId="77777777" w:rsidR="000F52DD" w:rsidRDefault="000F52DD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B85EA8" w14:textId="77777777" w:rsidR="00F11691" w:rsidRDefault="00F1169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D57606" w14:textId="77777777" w:rsidR="00F11691" w:rsidRDefault="00F1169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85669F" w14:textId="77777777" w:rsidR="00F11691" w:rsidRDefault="00F116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5336A2" w14:textId="77777777" w:rsidR="000F52DD" w:rsidRDefault="000F52DD" w:rsidP="00F43AD5">
      <w:pPr>
        <w:spacing w:after="0" w:line="240" w:lineRule="auto"/>
      </w:pPr>
      <w:r>
        <w:separator/>
      </w:r>
    </w:p>
  </w:footnote>
  <w:footnote w:type="continuationSeparator" w:id="0">
    <w:p w14:paraId="36AB7D11" w14:textId="77777777" w:rsidR="000F52DD" w:rsidRDefault="000F52DD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525070" w14:textId="77777777" w:rsidR="00F11691" w:rsidRDefault="00F1169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4A66A0" w14:textId="77777777" w:rsidR="008A36CF" w:rsidRDefault="008A36CF" w:rsidP="00F43AD5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121614" w14:textId="77777777" w:rsidR="00310B8B" w:rsidRDefault="00310B8B" w:rsidP="00310B8B">
    <w:pPr>
      <w:pStyle w:val="Header"/>
      <w:jc w:val="right"/>
    </w:pPr>
    <w:r>
      <w:rPr>
        <w:noProof/>
        <w:lang w:eastAsia="en-AU"/>
      </w:rPr>
      <w:drawing>
        <wp:inline distT="0" distB="0" distL="0" distR="0" wp14:anchorId="506E6829" wp14:editId="4299005D">
          <wp:extent cx="2938780" cy="597535"/>
          <wp:effectExtent l="0" t="0" r="0" b="0"/>
          <wp:docPr id="2" name="Picture 2" descr="Safe work austral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8780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0FE06A9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050063854">
    <w:abstractNumId w:val="0"/>
  </w:num>
  <w:num w:numId="2" w16cid:durableId="1623027892">
    <w:abstractNumId w:val="0"/>
  </w:num>
  <w:num w:numId="3" w16cid:durableId="17227063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24C93"/>
    <w:rsid w:val="00032B88"/>
    <w:rsid w:val="00035F23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C6B4C"/>
    <w:rsid w:val="000D291C"/>
    <w:rsid w:val="000E12D5"/>
    <w:rsid w:val="000E5A54"/>
    <w:rsid w:val="000E63D3"/>
    <w:rsid w:val="000E67CF"/>
    <w:rsid w:val="000F52DD"/>
    <w:rsid w:val="000F613F"/>
    <w:rsid w:val="0010461E"/>
    <w:rsid w:val="00106FAA"/>
    <w:rsid w:val="00113443"/>
    <w:rsid w:val="00123983"/>
    <w:rsid w:val="001269A7"/>
    <w:rsid w:val="00131092"/>
    <w:rsid w:val="00140801"/>
    <w:rsid w:val="00140E6A"/>
    <w:rsid w:val="00146545"/>
    <w:rsid w:val="00146B75"/>
    <w:rsid w:val="0015266D"/>
    <w:rsid w:val="0015288A"/>
    <w:rsid w:val="00152E48"/>
    <w:rsid w:val="00160F47"/>
    <w:rsid w:val="00177CA1"/>
    <w:rsid w:val="00183823"/>
    <w:rsid w:val="00183942"/>
    <w:rsid w:val="001A009E"/>
    <w:rsid w:val="001A1287"/>
    <w:rsid w:val="001A3859"/>
    <w:rsid w:val="001A3C9D"/>
    <w:rsid w:val="001A43F8"/>
    <w:rsid w:val="001B279C"/>
    <w:rsid w:val="001B2AA1"/>
    <w:rsid w:val="001B2E45"/>
    <w:rsid w:val="001B79E5"/>
    <w:rsid w:val="001C1BE9"/>
    <w:rsid w:val="001D5576"/>
    <w:rsid w:val="001D56F0"/>
    <w:rsid w:val="001D663B"/>
    <w:rsid w:val="001D7B41"/>
    <w:rsid w:val="001E3754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57AB8"/>
    <w:rsid w:val="00263255"/>
    <w:rsid w:val="00274043"/>
    <w:rsid w:val="00276494"/>
    <w:rsid w:val="00277691"/>
    <w:rsid w:val="00277B0C"/>
    <w:rsid w:val="002B1A2C"/>
    <w:rsid w:val="002C34F2"/>
    <w:rsid w:val="002C58FF"/>
    <w:rsid w:val="002C7AFE"/>
    <w:rsid w:val="002D05D2"/>
    <w:rsid w:val="002E0D61"/>
    <w:rsid w:val="002E4C7B"/>
    <w:rsid w:val="002F4E20"/>
    <w:rsid w:val="0030740C"/>
    <w:rsid w:val="00310B8B"/>
    <w:rsid w:val="00315833"/>
    <w:rsid w:val="003215EE"/>
    <w:rsid w:val="003224BF"/>
    <w:rsid w:val="003241A8"/>
    <w:rsid w:val="003253F0"/>
    <w:rsid w:val="00332972"/>
    <w:rsid w:val="003334D1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001"/>
    <w:rsid w:val="003C0D58"/>
    <w:rsid w:val="003D4FA3"/>
    <w:rsid w:val="003D5FD6"/>
    <w:rsid w:val="003E0807"/>
    <w:rsid w:val="003E51FB"/>
    <w:rsid w:val="003E6B39"/>
    <w:rsid w:val="003F07E1"/>
    <w:rsid w:val="004030BC"/>
    <w:rsid w:val="00403F7D"/>
    <w:rsid w:val="00405BDE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B3BDB"/>
    <w:rsid w:val="004C1E3F"/>
    <w:rsid w:val="004C23F4"/>
    <w:rsid w:val="004C3475"/>
    <w:rsid w:val="004C58B6"/>
    <w:rsid w:val="004D16A3"/>
    <w:rsid w:val="004D4AA1"/>
    <w:rsid w:val="004D6D68"/>
    <w:rsid w:val="004E5EDD"/>
    <w:rsid w:val="004E7306"/>
    <w:rsid w:val="004F448A"/>
    <w:rsid w:val="004F493D"/>
    <w:rsid w:val="004F65E5"/>
    <w:rsid w:val="004F65E8"/>
    <w:rsid w:val="0050005E"/>
    <w:rsid w:val="00502B88"/>
    <w:rsid w:val="00510269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676B3"/>
    <w:rsid w:val="00581055"/>
    <w:rsid w:val="00584634"/>
    <w:rsid w:val="00591E38"/>
    <w:rsid w:val="005A07F6"/>
    <w:rsid w:val="005A19C5"/>
    <w:rsid w:val="005A3034"/>
    <w:rsid w:val="005A462D"/>
    <w:rsid w:val="005A5975"/>
    <w:rsid w:val="005B253B"/>
    <w:rsid w:val="005B571B"/>
    <w:rsid w:val="005B771D"/>
    <w:rsid w:val="005C5D16"/>
    <w:rsid w:val="005D3193"/>
    <w:rsid w:val="005D4A6E"/>
    <w:rsid w:val="005E6979"/>
    <w:rsid w:val="005E75CB"/>
    <w:rsid w:val="006013C1"/>
    <w:rsid w:val="00603369"/>
    <w:rsid w:val="0060669E"/>
    <w:rsid w:val="00610F2E"/>
    <w:rsid w:val="00611399"/>
    <w:rsid w:val="006156FD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79EA"/>
    <w:rsid w:val="006E5D05"/>
    <w:rsid w:val="00701053"/>
    <w:rsid w:val="00701507"/>
    <w:rsid w:val="00706240"/>
    <w:rsid w:val="0070734B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06E8"/>
    <w:rsid w:val="00765F14"/>
    <w:rsid w:val="00770E31"/>
    <w:rsid w:val="007770F1"/>
    <w:rsid w:val="00783FB1"/>
    <w:rsid w:val="00785CDD"/>
    <w:rsid w:val="00786D6C"/>
    <w:rsid w:val="00791847"/>
    <w:rsid w:val="007925F0"/>
    <w:rsid w:val="007939B3"/>
    <w:rsid w:val="0079509C"/>
    <w:rsid w:val="00796470"/>
    <w:rsid w:val="00796708"/>
    <w:rsid w:val="00797849"/>
    <w:rsid w:val="007A5DEB"/>
    <w:rsid w:val="007B1B42"/>
    <w:rsid w:val="007C30EB"/>
    <w:rsid w:val="007D49A7"/>
    <w:rsid w:val="007E063C"/>
    <w:rsid w:val="007E2A4B"/>
    <w:rsid w:val="007E307D"/>
    <w:rsid w:val="007E6A4E"/>
    <w:rsid w:val="007E6C94"/>
    <w:rsid w:val="007F1005"/>
    <w:rsid w:val="007F25E0"/>
    <w:rsid w:val="007F2686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2AEE"/>
    <w:rsid w:val="00857A8A"/>
    <w:rsid w:val="0086284F"/>
    <w:rsid w:val="008630EE"/>
    <w:rsid w:val="00864D13"/>
    <w:rsid w:val="00870ACC"/>
    <w:rsid w:val="00871CD5"/>
    <w:rsid w:val="008745A2"/>
    <w:rsid w:val="008768A8"/>
    <w:rsid w:val="00885E50"/>
    <w:rsid w:val="0088798F"/>
    <w:rsid w:val="00887E4B"/>
    <w:rsid w:val="008915C8"/>
    <w:rsid w:val="008A36CF"/>
    <w:rsid w:val="008A3BC4"/>
    <w:rsid w:val="008B403C"/>
    <w:rsid w:val="008B7983"/>
    <w:rsid w:val="008C119C"/>
    <w:rsid w:val="008C2511"/>
    <w:rsid w:val="008C3833"/>
    <w:rsid w:val="008D026D"/>
    <w:rsid w:val="008D1F29"/>
    <w:rsid w:val="008D23AB"/>
    <w:rsid w:val="008D4B8B"/>
    <w:rsid w:val="008D59D6"/>
    <w:rsid w:val="008D5A78"/>
    <w:rsid w:val="008D7086"/>
    <w:rsid w:val="008E7B64"/>
    <w:rsid w:val="008F2104"/>
    <w:rsid w:val="008F5DCD"/>
    <w:rsid w:val="00900951"/>
    <w:rsid w:val="009116D4"/>
    <w:rsid w:val="009118A6"/>
    <w:rsid w:val="00916909"/>
    <w:rsid w:val="00916EC0"/>
    <w:rsid w:val="00920316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4DEB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071C7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71B75"/>
    <w:rsid w:val="00A84504"/>
    <w:rsid w:val="00A8672F"/>
    <w:rsid w:val="00A90785"/>
    <w:rsid w:val="00A93057"/>
    <w:rsid w:val="00A93E5E"/>
    <w:rsid w:val="00A968B0"/>
    <w:rsid w:val="00AA718E"/>
    <w:rsid w:val="00AB2672"/>
    <w:rsid w:val="00AB2817"/>
    <w:rsid w:val="00AB43C4"/>
    <w:rsid w:val="00AC32E7"/>
    <w:rsid w:val="00AC3A9F"/>
    <w:rsid w:val="00AC6D2F"/>
    <w:rsid w:val="00AE2745"/>
    <w:rsid w:val="00AE2F53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79A9"/>
    <w:rsid w:val="00B52EDF"/>
    <w:rsid w:val="00B65362"/>
    <w:rsid w:val="00B71188"/>
    <w:rsid w:val="00B76A41"/>
    <w:rsid w:val="00B77F87"/>
    <w:rsid w:val="00B8123F"/>
    <w:rsid w:val="00B87D4C"/>
    <w:rsid w:val="00B93646"/>
    <w:rsid w:val="00B9615D"/>
    <w:rsid w:val="00BA0B38"/>
    <w:rsid w:val="00BA1DBB"/>
    <w:rsid w:val="00BA4510"/>
    <w:rsid w:val="00BA529A"/>
    <w:rsid w:val="00BB612A"/>
    <w:rsid w:val="00BD1FAE"/>
    <w:rsid w:val="00BD499F"/>
    <w:rsid w:val="00BD56DE"/>
    <w:rsid w:val="00BF2406"/>
    <w:rsid w:val="00C0281C"/>
    <w:rsid w:val="00C06E43"/>
    <w:rsid w:val="00C07857"/>
    <w:rsid w:val="00C16315"/>
    <w:rsid w:val="00C20888"/>
    <w:rsid w:val="00C3091E"/>
    <w:rsid w:val="00C40FF1"/>
    <w:rsid w:val="00C419E2"/>
    <w:rsid w:val="00C5020E"/>
    <w:rsid w:val="00C55298"/>
    <w:rsid w:val="00C57452"/>
    <w:rsid w:val="00C61EDF"/>
    <w:rsid w:val="00C6239D"/>
    <w:rsid w:val="00C6594B"/>
    <w:rsid w:val="00C67E51"/>
    <w:rsid w:val="00C67FFB"/>
    <w:rsid w:val="00C7155E"/>
    <w:rsid w:val="00C71D1E"/>
    <w:rsid w:val="00C71D7D"/>
    <w:rsid w:val="00C74833"/>
    <w:rsid w:val="00C850A0"/>
    <w:rsid w:val="00C85A86"/>
    <w:rsid w:val="00C9398E"/>
    <w:rsid w:val="00C978F0"/>
    <w:rsid w:val="00CA58FE"/>
    <w:rsid w:val="00CB1CB1"/>
    <w:rsid w:val="00CB69E4"/>
    <w:rsid w:val="00CB6BC1"/>
    <w:rsid w:val="00CB6CB8"/>
    <w:rsid w:val="00CC1A68"/>
    <w:rsid w:val="00CC2123"/>
    <w:rsid w:val="00CC5721"/>
    <w:rsid w:val="00CC751A"/>
    <w:rsid w:val="00CD2BFD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668E6"/>
    <w:rsid w:val="00D70670"/>
    <w:rsid w:val="00D74A2D"/>
    <w:rsid w:val="00D74D80"/>
    <w:rsid w:val="00D76624"/>
    <w:rsid w:val="00D82075"/>
    <w:rsid w:val="00D87570"/>
    <w:rsid w:val="00D91CB9"/>
    <w:rsid w:val="00D97505"/>
    <w:rsid w:val="00D97989"/>
    <w:rsid w:val="00D97D8D"/>
    <w:rsid w:val="00DA352E"/>
    <w:rsid w:val="00DB28DA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137D9"/>
    <w:rsid w:val="00E26A07"/>
    <w:rsid w:val="00E32595"/>
    <w:rsid w:val="00E37CFD"/>
    <w:rsid w:val="00E41A26"/>
    <w:rsid w:val="00E45CD3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8432B"/>
    <w:rsid w:val="00E92499"/>
    <w:rsid w:val="00E949AF"/>
    <w:rsid w:val="00E96077"/>
    <w:rsid w:val="00EA0A06"/>
    <w:rsid w:val="00EA6243"/>
    <w:rsid w:val="00EA74AB"/>
    <w:rsid w:val="00EB3D1B"/>
    <w:rsid w:val="00EC2FB3"/>
    <w:rsid w:val="00ED1D89"/>
    <w:rsid w:val="00ED66BC"/>
    <w:rsid w:val="00ED7336"/>
    <w:rsid w:val="00EE1E8B"/>
    <w:rsid w:val="00EE7FE7"/>
    <w:rsid w:val="00EF233A"/>
    <w:rsid w:val="00EF303E"/>
    <w:rsid w:val="00EF3A40"/>
    <w:rsid w:val="00EF7F78"/>
    <w:rsid w:val="00F01B08"/>
    <w:rsid w:val="00F01C4D"/>
    <w:rsid w:val="00F0407E"/>
    <w:rsid w:val="00F053FA"/>
    <w:rsid w:val="00F10C97"/>
    <w:rsid w:val="00F11691"/>
    <w:rsid w:val="00F11C71"/>
    <w:rsid w:val="00F16019"/>
    <w:rsid w:val="00F1746E"/>
    <w:rsid w:val="00F20E68"/>
    <w:rsid w:val="00F22093"/>
    <w:rsid w:val="00F236DF"/>
    <w:rsid w:val="00F279FE"/>
    <w:rsid w:val="00F27FAC"/>
    <w:rsid w:val="00F43AD5"/>
    <w:rsid w:val="00F4402E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5EFB"/>
    <w:rsid w:val="00FC60A2"/>
    <w:rsid w:val="00FD03FD"/>
    <w:rsid w:val="00FD1871"/>
    <w:rsid w:val="00FD2580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21DDD3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character" w:styleId="CommentReference">
    <w:name w:val="annotation reference"/>
    <w:basedOn w:val="DefaultParagraphFont"/>
    <w:uiPriority w:val="99"/>
    <w:semiHidden/>
    <w:unhideWhenUsed/>
    <w:rsid w:val="0051026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10269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10269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1026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10269"/>
    <w:rPr>
      <w:b/>
      <w:bCs/>
      <w:szCs w:val="20"/>
    </w:rPr>
  </w:style>
  <w:style w:type="paragraph" w:styleId="ListBullet">
    <w:name w:val="List Bullet"/>
    <w:basedOn w:val="Normal"/>
    <w:uiPriority w:val="99"/>
    <w:unhideWhenUsed/>
    <w:rsid w:val="00885E50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541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8170F655132644748C2688C6B7867F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63557C-8578-4356-96BA-950D5184997D}"/>
      </w:docPartPr>
      <w:docPartBody>
        <w:p w:rsidR="00A07451" w:rsidRDefault="00E73A80" w:rsidP="00E73A80">
          <w:pPr>
            <w:pStyle w:val="8170F655132644748C2688C6B7867FBE"/>
          </w:pPr>
          <w:r>
            <w:rPr>
              <w:color w:val="00B050"/>
            </w:rPr>
            <w:t>tier </w:t>
          </w:r>
          <w:r w:rsidRPr="0071660C">
            <w:rPr>
              <w:color w:val="00B050"/>
            </w:rPr>
            <w:t>II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6613D"/>
    <w:rsid w:val="0015096E"/>
    <w:rsid w:val="003947F5"/>
    <w:rsid w:val="00A07451"/>
    <w:rsid w:val="00D21A9F"/>
    <w:rsid w:val="00D658C7"/>
    <w:rsid w:val="00E73A80"/>
    <w:rsid w:val="00ED7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8170F655132644748C2688C6B7867FBE">
    <w:name w:val="8170F655132644748C2688C6B7867FBE"/>
    <w:rsid w:val="00E73A80"/>
    <w:rPr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F813835-7246-4CDD-87EF-31BB33AAA846}"/>
</file>

<file path=customXml/itemProps2.xml><?xml version="1.0" encoding="utf-8"?>
<ds:datastoreItem xmlns:ds="http://schemas.openxmlformats.org/officeDocument/2006/customXml" ds:itemID="{3F6D7932-5ED3-4E29-80AC-1C4DB34D22E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26FD3B4-E5FF-44D0-A85D-1656AEB7AF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1037</Words>
  <Characters>5913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6937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WOOD,Nina</cp:lastModifiedBy>
  <cp:revision>2</cp:revision>
  <cp:lastPrinted>2018-10-22T22:41:00Z</cp:lastPrinted>
  <dcterms:created xsi:type="dcterms:W3CDTF">2025-12-17T21:38:00Z</dcterms:created>
  <dcterms:modified xsi:type="dcterms:W3CDTF">2025-12-17T21:38:00Z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2025-12-17T21:38:09Z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62cf93e5-f66e-428c-8c72-89de78bb158a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</Properties>
</file>