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4955056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702F1E75" w14:textId="77777777" w:rsidR="00BD499F" w:rsidRPr="004C23F4" w:rsidRDefault="006B3885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Beryllium &amp; Compounds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37143356" w14:textId="77777777" w:rsidTr="001F6D9C">
        <w:trPr>
          <w:cantSplit/>
          <w:tblHeader/>
        </w:trPr>
        <w:tc>
          <w:tcPr>
            <w:tcW w:w="3988" w:type="dxa"/>
          </w:tcPr>
          <w:p w14:paraId="5AB06C3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8" w:type="dxa"/>
          </w:tcPr>
          <w:p w14:paraId="3D350BD8" w14:textId="77777777" w:rsidR="00F43AD5" w:rsidRPr="00717D45" w:rsidRDefault="006B3885" w:rsidP="00B76A41">
            <w:pPr>
              <w:pStyle w:val="Tablefont"/>
            </w:pPr>
            <w:r>
              <w:t>7440-41-7</w:t>
            </w:r>
            <w:r w:rsidR="00001AAF">
              <w:t xml:space="preserve"> (elemental)</w:t>
            </w:r>
          </w:p>
        </w:tc>
      </w:tr>
      <w:tr w:rsidR="00F43AD5" w:rsidRPr="004C23F4" w14:paraId="50186D65" w14:textId="77777777" w:rsidTr="001F6D9C">
        <w:trPr>
          <w:cantSplit/>
        </w:trPr>
        <w:tc>
          <w:tcPr>
            <w:tcW w:w="3988" w:type="dxa"/>
          </w:tcPr>
          <w:p w14:paraId="1D024A3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8" w:type="dxa"/>
          </w:tcPr>
          <w:p w14:paraId="7BE660B1" w14:textId="77777777" w:rsidR="00F43AD5" w:rsidRPr="00717D45" w:rsidRDefault="00B13318" w:rsidP="00B76A41">
            <w:pPr>
              <w:pStyle w:val="Tablefont"/>
            </w:pPr>
            <w:r>
              <w:t xml:space="preserve">Glucinum, glucinium  </w:t>
            </w:r>
          </w:p>
        </w:tc>
      </w:tr>
      <w:tr w:rsidR="00F43AD5" w:rsidRPr="004C23F4" w14:paraId="1CC240AB" w14:textId="77777777" w:rsidTr="001F6D9C">
        <w:trPr>
          <w:cantSplit/>
        </w:trPr>
        <w:tc>
          <w:tcPr>
            <w:tcW w:w="3988" w:type="dxa"/>
          </w:tcPr>
          <w:p w14:paraId="5429A8B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8" w:type="dxa"/>
          </w:tcPr>
          <w:p w14:paraId="5D3A32F8" w14:textId="77777777" w:rsidR="00F43AD5" w:rsidRPr="00717D45" w:rsidRDefault="001F6D9C" w:rsidP="00B76A41">
            <w:pPr>
              <w:pStyle w:val="Tablefont"/>
            </w:pPr>
            <w:r>
              <w:t>Be</w:t>
            </w:r>
            <w:r w:rsidR="00E706CD">
              <w:t xml:space="preserve"> (elemental)</w:t>
            </w:r>
          </w:p>
        </w:tc>
      </w:tr>
      <w:tr w:rsidR="001F6D9C" w:rsidRPr="004C23F4" w14:paraId="625E2BF5" w14:textId="77777777" w:rsidTr="001F6D9C">
        <w:trPr>
          <w:cantSplit/>
        </w:trPr>
        <w:tc>
          <w:tcPr>
            <w:tcW w:w="3988" w:type="dxa"/>
          </w:tcPr>
          <w:p w14:paraId="63379B2A" w14:textId="77777777" w:rsidR="001F6D9C" w:rsidRPr="00921DE7" w:rsidRDefault="001F6D9C" w:rsidP="001F6D9C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038" w:type="dxa"/>
          </w:tcPr>
          <w:p w14:paraId="67487931" w14:textId="77777777" w:rsidR="001F6D9C" w:rsidRPr="00717D45" w:rsidRDefault="00B74E9E" w:rsidP="001F6D9C">
            <w:pPr>
              <w:pStyle w:val="Tablefont"/>
            </w:pPr>
            <w:r>
              <w:t>—</w:t>
            </w:r>
          </w:p>
        </w:tc>
      </w:tr>
    </w:tbl>
    <w:p w14:paraId="51C94A11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80339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DD991CA" w14:textId="77777777" w:rsidTr="00414565">
        <w:trPr>
          <w:cantSplit/>
          <w:tblHeader/>
        </w:trPr>
        <w:tc>
          <w:tcPr>
            <w:tcW w:w="4005" w:type="dxa"/>
            <w:vAlign w:val="center"/>
          </w:tcPr>
          <w:p w14:paraId="322B55E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38A5B33" w14:textId="77777777" w:rsidR="002C7AFE" w:rsidRPr="00EB3D1B" w:rsidRDefault="00803396" w:rsidP="00017C82">
            <w:pPr>
              <w:pStyle w:val="Tablefont"/>
              <w:rPr>
                <w:b/>
              </w:rPr>
            </w:pPr>
            <w:r w:rsidRPr="00803396">
              <w:rPr>
                <w:b/>
              </w:rPr>
              <w:t>0.02 µg/m</w:t>
            </w:r>
            <w:r w:rsidRPr="008F7EA6">
              <w:rPr>
                <w:b/>
                <w:vertAlign w:val="superscript"/>
              </w:rPr>
              <w:t>3</w:t>
            </w:r>
          </w:p>
        </w:tc>
      </w:tr>
      <w:tr w:rsidR="002C7AFE" w:rsidRPr="004C23F4" w14:paraId="60EEEA66" w14:textId="77777777" w:rsidTr="00414565">
        <w:trPr>
          <w:cantSplit/>
        </w:trPr>
        <w:tc>
          <w:tcPr>
            <w:tcW w:w="4005" w:type="dxa"/>
            <w:vAlign w:val="center"/>
          </w:tcPr>
          <w:p w14:paraId="0EBAB93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C5F593B" w14:textId="77777777" w:rsidR="002C7AFE" w:rsidRPr="00EB3D1B" w:rsidRDefault="0059251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</w:t>
            </w:r>
            <w:r w:rsidRPr="00803396">
              <w:rPr>
                <w:b/>
              </w:rPr>
              <w:t xml:space="preserve"> µg/m</w:t>
            </w:r>
            <w:r w:rsidRPr="008F7EA6">
              <w:rPr>
                <w:b/>
                <w:vertAlign w:val="superscript"/>
              </w:rPr>
              <w:t>3</w:t>
            </w:r>
          </w:p>
        </w:tc>
      </w:tr>
      <w:tr w:rsidR="002C7AFE" w:rsidRPr="004C23F4" w14:paraId="208C7F8A" w14:textId="77777777" w:rsidTr="00414565">
        <w:trPr>
          <w:cantSplit/>
        </w:trPr>
        <w:tc>
          <w:tcPr>
            <w:tcW w:w="4005" w:type="dxa"/>
            <w:vAlign w:val="center"/>
          </w:tcPr>
          <w:p w14:paraId="48A32D3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70A4882" w14:textId="77777777" w:rsidR="002C7AFE" w:rsidRPr="00EB3D1B" w:rsidRDefault="00B74E9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87A4BA1" w14:textId="77777777" w:rsidTr="00414565">
        <w:trPr>
          <w:cantSplit/>
        </w:trPr>
        <w:tc>
          <w:tcPr>
            <w:tcW w:w="4005" w:type="dxa"/>
          </w:tcPr>
          <w:p w14:paraId="4905A29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83AF29C" w14:textId="77777777" w:rsidR="002C7AFE" w:rsidRPr="00EB3D1B" w:rsidRDefault="008F02C2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</w:t>
            </w:r>
            <w:r w:rsidR="003447A6">
              <w:rPr>
                <w:b/>
              </w:rPr>
              <w:t xml:space="preserve"> 1B, RSEN,</w:t>
            </w:r>
            <w:r>
              <w:rPr>
                <w:b/>
              </w:rPr>
              <w:t xml:space="preserve"> DSEN</w:t>
            </w:r>
            <w:r w:rsidR="004131DC">
              <w:rPr>
                <w:b/>
              </w:rPr>
              <w:t>, Sk.</w:t>
            </w:r>
          </w:p>
        </w:tc>
      </w:tr>
      <w:tr w:rsidR="002C7AFE" w:rsidRPr="004C23F4" w14:paraId="50F13DE5" w14:textId="77777777" w:rsidTr="00414565">
        <w:trPr>
          <w:cantSplit/>
        </w:trPr>
        <w:tc>
          <w:tcPr>
            <w:tcW w:w="4005" w:type="dxa"/>
            <w:vAlign w:val="center"/>
          </w:tcPr>
          <w:p w14:paraId="56B403D4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303B986" w14:textId="77777777" w:rsidR="002C7AFE" w:rsidRPr="00EB3D1B" w:rsidRDefault="0080339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4 mg/m</w:t>
            </w:r>
            <w:r w:rsidRPr="00803396">
              <w:rPr>
                <w:b/>
                <w:vertAlign w:val="superscript"/>
              </w:rPr>
              <w:t>3</w:t>
            </w:r>
          </w:p>
        </w:tc>
      </w:tr>
      <w:tr w:rsidR="00414565" w:rsidRPr="004C23F4" w14:paraId="2ED1F077" w14:textId="77777777" w:rsidTr="00414565">
        <w:trPr>
          <w:cantSplit/>
        </w:trPr>
        <w:tc>
          <w:tcPr>
            <w:tcW w:w="4005" w:type="dxa"/>
          </w:tcPr>
          <w:p w14:paraId="335A9558" w14:textId="31A9F6DE" w:rsidR="00414565" w:rsidRDefault="00414565" w:rsidP="00414565">
            <w:pPr>
              <w:pStyle w:val="Tablerowright"/>
            </w:pPr>
            <w:r>
              <w:t>Sampling and analysis:</w:t>
            </w:r>
          </w:p>
        </w:tc>
        <w:tc>
          <w:tcPr>
            <w:tcW w:w="5021" w:type="dxa"/>
          </w:tcPr>
          <w:p w14:paraId="35202FAE" w14:textId="0FFF5655" w:rsidR="00414565" w:rsidRPr="00AD43FA" w:rsidRDefault="00593D3A" w:rsidP="00017C82">
            <w:pPr>
              <w:pStyle w:val="Tablefont"/>
            </w:pPr>
            <w:r w:rsidRPr="00593D3A">
              <w:t>There is uncertainty regarding quantification of the recommended value with available sampling and/or analysis techniques.</w:t>
            </w:r>
          </w:p>
        </w:tc>
      </w:tr>
    </w:tbl>
    <w:p w14:paraId="02C4F32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8B18233" w14:textId="77777777" w:rsidR="000608D7" w:rsidRDefault="00E715DC" w:rsidP="000C139A">
      <w:pPr>
        <w:rPr>
          <w:rFonts w:cs="Arial"/>
        </w:rPr>
      </w:pPr>
      <w:r>
        <w:rPr>
          <w:rFonts w:cs="Arial"/>
        </w:rPr>
        <w:t xml:space="preserve">A TWA of 0.02 </w:t>
      </w:r>
      <w:r w:rsidRPr="00E715DC">
        <w:rPr>
          <w:rFonts w:cs="Arial"/>
        </w:rPr>
        <w:t>µg/m</w:t>
      </w:r>
      <w:r w:rsidRPr="00E715DC"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</w:t>
      </w:r>
      <w:r w:rsidR="00143487">
        <w:rPr>
          <w:rFonts w:cs="Arial"/>
        </w:rPr>
        <w:t xml:space="preserve">for </w:t>
      </w:r>
      <w:r w:rsidR="00B13318">
        <w:rPr>
          <w:rFonts w:cs="Arial"/>
        </w:rPr>
        <w:t>beryllium sensitisation</w:t>
      </w:r>
      <w:r w:rsidRPr="00E715DC">
        <w:rPr>
          <w:rFonts w:cs="Arial"/>
        </w:rPr>
        <w:t xml:space="preserve"> in </w:t>
      </w:r>
      <w:r w:rsidR="000608D7">
        <w:rPr>
          <w:rFonts w:cs="Arial"/>
        </w:rPr>
        <w:t>exposed workers and consequently to protect for chronic beryllium disease (CBD</w:t>
      </w:r>
      <w:r w:rsidR="001F249A">
        <w:rPr>
          <w:rFonts w:cs="Arial"/>
        </w:rPr>
        <w:t>)</w:t>
      </w:r>
      <w:r w:rsidR="000608D7">
        <w:rPr>
          <w:rFonts w:cs="Arial"/>
        </w:rPr>
        <w:t xml:space="preserve"> in sensitised individuals</w:t>
      </w:r>
      <w:r w:rsidR="00B13318">
        <w:rPr>
          <w:rFonts w:cs="Arial"/>
        </w:rPr>
        <w:t xml:space="preserve">. </w:t>
      </w:r>
      <w:r w:rsidR="000608D7">
        <w:rPr>
          <w:rFonts w:cs="Arial"/>
        </w:rPr>
        <w:t>This TWA is also expected to protect for potential cancers of the lung and respiratory tract.</w:t>
      </w:r>
    </w:p>
    <w:p w14:paraId="2CDCC69B" w14:textId="77777777" w:rsidR="003B19E8" w:rsidRDefault="003B19E8" w:rsidP="000C139A">
      <w:pPr>
        <w:rPr>
          <w:rFonts w:cs="Arial"/>
        </w:rPr>
      </w:pPr>
      <w:r>
        <w:rPr>
          <w:rFonts w:cs="Arial"/>
        </w:rPr>
        <w:t>A</w:t>
      </w:r>
      <w:r w:rsidR="000608D7">
        <w:rPr>
          <w:rFonts w:cs="Arial"/>
        </w:rPr>
        <w:t>s there is evidence to support a link between acute beryllium disease and CBD, a</w:t>
      </w:r>
      <w:r>
        <w:rPr>
          <w:rFonts w:cs="Arial"/>
        </w:rPr>
        <w:t xml:space="preserve"> </w:t>
      </w:r>
      <w:r w:rsidR="0059251E">
        <w:rPr>
          <w:rFonts w:cs="Arial"/>
        </w:rPr>
        <w:t>STEL</w:t>
      </w:r>
      <w:r>
        <w:rPr>
          <w:rFonts w:cs="Arial"/>
        </w:rPr>
        <w:t xml:space="preserve"> of </w:t>
      </w:r>
      <w:r w:rsidRPr="003B19E8">
        <w:rPr>
          <w:rFonts w:cs="Arial"/>
        </w:rPr>
        <w:t>0.2 µg/m</w:t>
      </w:r>
      <w:r w:rsidRPr="00B13318"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</w:t>
      </w:r>
      <w:r w:rsidR="00603111">
        <w:rPr>
          <w:rFonts w:cs="Arial"/>
        </w:rPr>
        <w:t>reduce</w:t>
      </w:r>
      <w:r w:rsidR="000608D7">
        <w:rPr>
          <w:rFonts w:cs="Arial"/>
        </w:rPr>
        <w:t xml:space="preserve"> the risk</w:t>
      </w:r>
      <w:r w:rsidR="00603111">
        <w:rPr>
          <w:rFonts w:cs="Arial"/>
        </w:rPr>
        <w:t xml:space="preserve"> develop</w:t>
      </w:r>
      <w:r w:rsidR="000608D7">
        <w:rPr>
          <w:rFonts w:cs="Arial"/>
        </w:rPr>
        <w:t>ing</w:t>
      </w:r>
      <w:r w:rsidR="00603111">
        <w:rPr>
          <w:rFonts w:cs="Arial"/>
        </w:rPr>
        <w:t xml:space="preserve"> of CBD</w:t>
      </w:r>
      <w:r w:rsidR="003911AC">
        <w:rPr>
          <w:rFonts w:cs="Arial"/>
        </w:rPr>
        <w:t xml:space="preserve"> after acute exposures</w:t>
      </w:r>
      <w:r>
        <w:rPr>
          <w:rFonts w:cs="Arial"/>
        </w:rPr>
        <w:t>.</w:t>
      </w:r>
    </w:p>
    <w:p w14:paraId="2CBBFE4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315C434" w14:textId="77777777" w:rsidR="002D508E" w:rsidRDefault="008849F2" w:rsidP="00727D57">
      <w:pPr>
        <w:rPr>
          <w:rFonts w:cs="Arial"/>
        </w:rPr>
      </w:pPr>
      <w:r w:rsidRPr="008849F2">
        <w:rPr>
          <w:rFonts w:cs="Arial"/>
        </w:rPr>
        <w:t xml:space="preserve">Beryllium is </w:t>
      </w:r>
      <w:r>
        <w:rPr>
          <w:rFonts w:cs="Arial"/>
        </w:rPr>
        <w:t xml:space="preserve">extensively used in electrodes, tools and </w:t>
      </w:r>
      <w:r w:rsidR="00732236">
        <w:rPr>
          <w:rFonts w:cs="Arial"/>
        </w:rPr>
        <w:t xml:space="preserve">in </w:t>
      </w:r>
      <w:r w:rsidRPr="008849F2">
        <w:rPr>
          <w:rFonts w:cs="Arial"/>
        </w:rPr>
        <w:t xml:space="preserve">structural material for </w:t>
      </w:r>
      <w:r w:rsidR="00543988">
        <w:rPr>
          <w:rFonts w:cs="Arial"/>
        </w:rPr>
        <w:t xml:space="preserve">the </w:t>
      </w:r>
      <w:r>
        <w:rPr>
          <w:rFonts w:cs="Arial"/>
        </w:rPr>
        <w:t>aerospace industries</w:t>
      </w:r>
      <w:r w:rsidRPr="008849F2">
        <w:rPr>
          <w:rFonts w:cs="Arial"/>
        </w:rPr>
        <w:t>.</w:t>
      </w:r>
      <w:r w:rsidR="00603111">
        <w:rPr>
          <w:rFonts w:cs="Arial"/>
        </w:rPr>
        <w:t xml:space="preserve"> </w:t>
      </w:r>
      <w:r w:rsidR="00603111" w:rsidRPr="00603111">
        <w:rPr>
          <w:rFonts w:cs="Arial"/>
        </w:rPr>
        <w:t xml:space="preserve">Beryllium and </w:t>
      </w:r>
      <w:r w:rsidR="000608D7">
        <w:rPr>
          <w:rFonts w:cs="Arial"/>
        </w:rPr>
        <w:t xml:space="preserve">its </w:t>
      </w:r>
      <w:r w:rsidR="00603111" w:rsidRPr="00603111">
        <w:rPr>
          <w:rFonts w:cs="Arial"/>
        </w:rPr>
        <w:t xml:space="preserve">compounds </w:t>
      </w:r>
      <w:r w:rsidR="00603111">
        <w:rPr>
          <w:rFonts w:cs="Arial"/>
        </w:rPr>
        <w:t>may</w:t>
      </w:r>
      <w:r w:rsidR="00603111" w:rsidRPr="00603111">
        <w:rPr>
          <w:rFonts w:cs="Arial"/>
        </w:rPr>
        <w:t xml:space="preserve"> cause allergic contact dermatitis</w:t>
      </w:r>
      <w:r w:rsidR="000608D7">
        <w:rPr>
          <w:rFonts w:cs="Arial"/>
        </w:rPr>
        <w:t>,</w:t>
      </w:r>
      <w:r w:rsidR="00603111" w:rsidRPr="00603111">
        <w:rPr>
          <w:rFonts w:cs="Arial"/>
        </w:rPr>
        <w:t xml:space="preserve"> </w:t>
      </w:r>
      <w:r w:rsidR="00E104FA">
        <w:rPr>
          <w:rFonts w:cs="Arial"/>
        </w:rPr>
        <w:t xml:space="preserve">allergic </w:t>
      </w:r>
      <w:r w:rsidR="00603111" w:rsidRPr="00603111">
        <w:rPr>
          <w:rFonts w:cs="Arial"/>
        </w:rPr>
        <w:t>skin reaction</w:t>
      </w:r>
      <w:r w:rsidR="00E104FA">
        <w:rPr>
          <w:rFonts w:cs="Arial"/>
        </w:rPr>
        <w:t>s</w:t>
      </w:r>
      <w:r w:rsidR="00603111" w:rsidRPr="00603111">
        <w:rPr>
          <w:rFonts w:cs="Arial"/>
        </w:rPr>
        <w:t xml:space="preserve"> </w:t>
      </w:r>
      <w:r w:rsidR="000608D7">
        <w:rPr>
          <w:rFonts w:cs="Arial"/>
        </w:rPr>
        <w:t xml:space="preserve">and allergic response in the respiratory tract </w:t>
      </w:r>
      <w:r w:rsidR="00603111" w:rsidRPr="00603111">
        <w:rPr>
          <w:rFonts w:cs="Arial"/>
        </w:rPr>
        <w:t>in humans</w:t>
      </w:r>
      <w:r w:rsidR="00603111">
        <w:rPr>
          <w:rFonts w:cs="Arial"/>
        </w:rPr>
        <w:t>.</w:t>
      </w:r>
      <w:r w:rsidR="002D508E">
        <w:rPr>
          <w:rFonts w:cs="Arial"/>
        </w:rPr>
        <w:t xml:space="preserve"> Preventing sensitisation minimises the likelihood of chronic health effects </w:t>
      </w:r>
      <w:r w:rsidR="00E104FA">
        <w:rPr>
          <w:rFonts w:cs="Arial"/>
        </w:rPr>
        <w:t xml:space="preserve">including CBD (also known as </w:t>
      </w:r>
      <w:r w:rsidR="002D508E">
        <w:rPr>
          <w:rFonts w:cs="Arial"/>
        </w:rPr>
        <w:t>berylliosis</w:t>
      </w:r>
      <w:r w:rsidR="00E104FA">
        <w:rPr>
          <w:rFonts w:cs="Arial"/>
        </w:rPr>
        <w:t>)</w:t>
      </w:r>
      <w:r w:rsidR="002D508E">
        <w:rPr>
          <w:rFonts w:cs="Arial"/>
        </w:rPr>
        <w:t xml:space="preserve">. </w:t>
      </w:r>
    </w:p>
    <w:p w14:paraId="3514C865" w14:textId="4D35F49B" w:rsidR="001F249A" w:rsidRDefault="001F249A" w:rsidP="00727D57">
      <w:pPr>
        <w:rPr>
          <w:rFonts w:cs="Arial"/>
        </w:rPr>
      </w:pPr>
      <w:r>
        <w:rPr>
          <w:rFonts w:cs="Arial"/>
        </w:rPr>
        <w:t xml:space="preserve">There is insufficient data to </w:t>
      </w:r>
      <w:r w:rsidR="0064621B">
        <w:rPr>
          <w:rFonts w:cs="Arial"/>
        </w:rPr>
        <w:t>conclude that</w:t>
      </w:r>
      <w:r>
        <w:rPr>
          <w:rFonts w:cs="Arial"/>
        </w:rPr>
        <w:t xml:space="preserve"> the mode of action for carcinogenic effects of beryllium in humans and animals is due to genotoxic</w:t>
      </w:r>
      <w:r w:rsidR="004465FC">
        <w:rPr>
          <w:rFonts w:cs="Arial"/>
        </w:rPr>
        <w:t>ity</w:t>
      </w:r>
      <w:r>
        <w:rPr>
          <w:rFonts w:cs="Arial"/>
        </w:rPr>
        <w:t>.</w:t>
      </w:r>
    </w:p>
    <w:p w14:paraId="7958ABCC" w14:textId="7C61CFCC" w:rsidR="00425B04" w:rsidRDefault="00543988" w:rsidP="00727D57">
      <w:pPr>
        <w:rPr>
          <w:rFonts w:cs="Arial"/>
        </w:rPr>
      </w:pPr>
      <w:r>
        <w:rPr>
          <w:rFonts w:cs="Arial"/>
        </w:rPr>
        <w:t xml:space="preserve">A </w:t>
      </w:r>
      <w:r w:rsidR="00B12C87" w:rsidRPr="00727D57">
        <w:rPr>
          <w:rFonts w:cs="Arial"/>
        </w:rPr>
        <w:t>NOAE</w:t>
      </w:r>
      <w:r w:rsidR="00B12C87">
        <w:rPr>
          <w:rFonts w:cs="Arial"/>
        </w:rPr>
        <w:t>C</w:t>
      </w:r>
      <w:r w:rsidR="00B12C87" w:rsidRPr="00727D57">
        <w:rPr>
          <w:rFonts w:cs="Arial"/>
        </w:rPr>
        <w:t xml:space="preserve"> </w:t>
      </w:r>
      <w:r w:rsidR="0043077C" w:rsidRPr="00727D57">
        <w:rPr>
          <w:rFonts w:cs="Arial"/>
        </w:rPr>
        <w:t>of 0.02 µg/m</w:t>
      </w:r>
      <w:r w:rsidR="0043077C" w:rsidRPr="00727D57">
        <w:rPr>
          <w:rFonts w:cs="Arial"/>
          <w:vertAlign w:val="superscript"/>
        </w:rPr>
        <w:t>3</w:t>
      </w:r>
      <w:r w:rsidR="0043077C" w:rsidRPr="00727D57">
        <w:rPr>
          <w:rFonts w:cs="Arial"/>
        </w:rPr>
        <w:t xml:space="preserve"> for </w:t>
      </w:r>
      <w:r w:rsidR="00E104FA">
        <w:rPr>
          <w:rFonts w:cs="Arial"/>
        </w:rPr>
        <w:t>b</w:t>
      </w:r>
      <w:r w:rsidR="00732236" w:rsidRPr="00727D57">
        <w:rPr>
          <w:rFonts w:cs="Arial"/>
        </w:rPr>
        <w:t>e</w:t>
      </w:r>
      <w:r w:rsidR="00732236">
        <w:rPr>
          <w:rFonts w:cs="Arial"/>
        </w:rPr>
        <w:t>ryllium sensitivity</w:t>
      </w:r>
      <w:r w:rsidR="00732236" w:rsidRPr="00727D57">
        <w:rPr>
          <w:rFonts w:cs="Arial"/>
        </w:rPr>
        <w:t xml:space="preserve"> </w:t>
      </w:r>
      <w:r w:rsidR="00732236">
        <w:rPr>
          <w:rFonts w:cs="Arial"/>
        </w:rPr>
        <w:t>(</w:t>
      </w:r>
      <w:r w:rsidR="000608D7">
        <w:rPr>
          <w:rFonts w:cs="Arial"/>
        </w:rPr>
        <w:t>respirable</w:t>
      </w:r>
      <w:r w:rsidR="000608D7" w:rsidRPr="00727D57">
        <w:rPr>
          <w:rFonts w:cs="Arial"/>
        </w:rPr>
        <w:t xml:space="preserve"> </w:t>
      </w:r>
      <w:r w:rsidR="0043077C" w:rsidRPr="00727D57">
        <w:rPr>
          <w:rFonts w:cs="Arial"/>
        </w:rPr>
        <w:t>dust fraction</w:t>
      </w:r>
      <w:r w:rsidR="00732236">
        <w:rPr>
          <w:rFonts w:cs="Arial"/>
        </w:rPr>
        <w:t>) is reported</w:t>
      </w:r>
      <w:r w:rsidR="00F877BD">
        <w:rPr>
          <w:rFonts w:cs="Arial"/>
        </w:rPr>
        <w:t xml:space="preserve"> (SCOEL, 2017)</w:t>
      </w:r>
      <w:r w:rsidR="000608D7">
        <w:rPr>
          <w:rFonts w:cs="Arial"/>
        </w:rPr>
        <w:t xml:space="preserve"> and</w:t>
      </w:r>
      <w:r w:rsidR="00732236">
        <w:rPr>
          <w:rFonts w:cs="Arial"/>
        </w:rPr>
        <w:t xml:space="preserve"> LOAEL </w:t>
      </w:r>
      <w:r w:rsidR="000608D7">
        <w:rPr>
          <w:rFonts w:cs="Arial"/>
        </w:rPr>
        <w:t xml:space="preserve">reported </w:t>
      </w:r>
      <w:r w:rsidR="00732236" w:rsidRPr="00727D57">
        <w:rPr>
          <w:rFonts w:cs="Arial"/>
        </w:rPr>
        <w:t xml:space="preserve">for </w:t>
      </w:r>
      <w:r w:rsidR="000608D7">
        <w:rPr>
          <w:rFonts w:cs="Arial"/>
        </w:rPr>
        <w:t>CBD</w:t>
      </w:r>
      <w:r w:rsidR="00732236" w:rsidRPr="00727D57">
        <w:rPr>
          <w:rFonts w:cs="Arial"/>
        </w:rPr>
        <w:t xml:space="preserve"> </w:t>
      </w:r>
      <w:r w:rsidR="00E104FA">
        <w:rPr>
          <w:rFonts w:cs="Arial"/>
        </w:rPr>
        <w:t>range from</w:t>
      </w:r>
      <w:r w:rsidR="00732236">
        <w:rPr>
          <w:rFonts w:cs="Arial"/>
        </w:rPr>
        <w:t xml:space="preserve"> </w:t>
      </w:r>
      <w:r w:rsidR="00732236" w:rsidRPr="00727D57">
        <w:rPr>
          <w:rFonts w:cs="Arial"/>
        </w:rPr>
        <w:t xml:space="preserve">0.52 </w:t>
      </w:r>
      <w:r w:rsidR="00732236">
        <w:rPr>
          <w:rFonts w:cs="Arial"/>
        </w:rPr>
        <w:t>to</w:t>
      </w:r>
      <w:r w:rsidR="00E104FA">
        <w:rPr>
          <w:rFonts w:cs="Arial"/>
        </w:rPr>
        <w:t xml:space="preserve"> </w:t>
      </w:r>
      <w:r w:rsidR="00732236" w:rsidRPr="00727D57">
        <w:rPr>
          <w:rFonts w:cs="Arial"/>
        </w:rPr>
        <w:t>1.2 µg/m</w:t>
      </w:r>
      <w:r w:rsidR="00732236" w:rsidRPr="00727D57">
        <w:rPr>
          <w:rFonts w:cs="Arial"/>
          <w:vertAlign w:val="superscript"/>
        </w:rPr>
        <w:t>3</w:t>
      </w:r>
      <w:r w:rsidR="00732236">
        <w:rPr>
          <w:rFonts w:cs="Arial"/>
        </w:rPr>
        <w:t xml:space="preserve">. </w:t>
      </w:r>
      <w:r w:rsidR="000608D7">
        <w:rPr>
          <w:rFonts w:cs="Arial"/>
        </w:rPr>
        <w:t xml:space="preserve">There is no reported NOAEL for cancer in humans. However, </w:t>
      </w:r>
      <w:r w:rsidR="000608D7" w:rsidRPr="000608D7">
        <w:rPr>
          <w:rFonts w:cs="Arial"/>
        </w:rPr>
        <w:t xml:space="preserve">carcinogenic effects </w:t>
      </w:r>
      <w:r w:rsidR="000608D7">
        <w:rPr>
          <w:rFonts w:cs="Arial"/>
        </w:rPr>
        <w:t xml:space="preserve">are generally </w:t>
      </w:r>
      <w:r w:rsidR="000608D7" w:rsidRPr="000608D7">
        <w:rPr>
          <w:rFonts w:cs="Arial"/>
        </w:rPr>
        <w:t>associated with higher concentrations (</w:t>
      </w:r>
      <w:r w:rsidR="00A17D7B">
        <w:rPr>
          <w:rFonts w:cs="Arial"/>
        </w:rPr>
        <w:t xml:space="preserve">greater than </w:t>
      </w:r>
      <w:r w:rsidR="000608D7" w:rsidRPr="000608D7">
        <w:rPr>
          <w:rFonts w:cs="Arial"/>
        </w:rPr>
        <w:t>10 µg/m</w:t>
      </w:r>
      <w:r w:rsidR="000608D7" w:rsidRPr="001F249A">
        <w:rPr>
          <w:rFonts w:cs="Arial"/>
          <w:vertAlign w:val="superscript"/>
        </w:rPr>
        <w:t>3</w:t>
      </w:r>
      <w:r w:rsidR="000608D7" w:rsidRPr="000608D7">
        <w:rPr>
          <w:rFonts w:cs="Arial"/>
        </w:rPr>
        <w:t>)</w:t>
      </w:r>
      <w:r w:rsidR="000608D7">
        <w:rPr>
          <w:rFonts w:cs="Arial"/>
        </w:rPr>
        <w:t xml:space="preserve">. </w:t>
      </w:r>
      <w:r w:rsidR="00732236">
        <w:rPr>
          <w:rFonts w:cs="Arial"/>
        </w:rPr>
        <w:t xml:space="preserve">The recommended </w:t>
      </w:r>
      <w:r w:rsidR="00425B04">
        <w:rPr>
          <w:rFonts w:cs="Arial"/>
        </w:rPr>
        <w:t xml:space="preserve">TWA </w:t>
      </w:r>
      <w:r w:rsidR="00E104FA">
        <w:rPr>
          <w:rFonts w:cs="Arial"/>
        </w:rPr>
        <w:t xml:space="preserve">is considered to </w:t>
      </w:r>
      <w:r w:rsidR="002231DB">
        <w:rPr>
          <w:rFonts w:cs="Arial"/>
        </w:rPr>
        <w:t>reduce the risk of</w:t>
      </w:r>
      <w:r w:rsidR="001F249A">
        <w:rPr>
          <w:rFonts w:cs="Arial"/>
        </w:rPr>
        <w:t xml:space="preserve"> cancer and </w:t>
      </w:r>
      <w:proofErr w:type="spellStart"/>
      <w:r w:rsidR="001F249A">
        <w:rPr>
          <w:rFonts w:cs="Arial"/>
        </w:rPr>
        <w:t>BeS</w:t>
      </w:r>
      <w:proofErr w:type="spellEnd"/>
      <w:r w:rsidR="00425B04">
        <w:rPr>
          <w:rFonts w:cs="Arial"/>
        </w:rPr>
        <w:t xml:space="preserve"> </w:t>
      </w:r>
      <w:r w:rsidR="00E104FA">
        <w:rPr>
          <w:rFonts w:cs="Arial"/>
        </w:rPr>
        <w:t>and consequently protecting for</w:t>
      </w:r>
      <w:r w:rsidR="00425B04" w:rsidRPr="00E715DC">
        <w:rPr>
          <w:rFonts w:cs="Arial"/>
        </w:rPr>
        <w:t xml:space="preserve"> CBD.</w:t>
      </w:r>
      <w:r w:rsidR="00425B04">
        <w:rPr>
          <w:rFonts w:cs="Arial"/>
        </w:rPr>
        <w:t xml:space="preserve">  </w:t>
      </w:r>
    </w:p>
    <w:p w14:paraId="59C39A88" w14:textId="77777777" w:rsidR="003B19E8" w:rsidRDefault="003B19E8" w:rsidP="003B19E8">
      <w:pPr>
        <w:rPr>
          <w:rFonts w:cs="Arial"/>
        </w:rPr>
      </w:pPr>
      <w:r>
        <w:rPr>
          <w:rFonts w:cs="Arial"/>
        </w:rPr>
        <w:t xml:space="preserve">The </w:t>
      </w:r>
      <w:r w:rsidR="0043077C">
        <w:rPr>
          <w:rFonts w:cs="Arial"/>
        </w:rPr>
        <w:t>STEL</w:t>
      </w:r>
      <w:r>
        <w:rPr>
          <w:rFonts w:cs="Arial"/>
        </w:rPr>
        <w:t xml:space="preserve"> is </w:t>
      </w:r>
      <w:r w:rsidR="00732236">
        <w:rPr>
          <w:rFonts w:cs="Arial"/>
        </w:rPr>
        <w:t xml:space="preserve">recommended </w:t>
      </w:r>
      <w:r w:rsidR="00E104FA">
        <w:rPr>
          <w:rFonts w:cs="Arial"/>
        </w:rPr>
        <w:t>based on</w:t>
      </w:r>
      <w:r>
        <w:rPr>
          <w:rFonts w:cs="Arial"/>
        </w:rPr>
        <w:t xml:space="preserve"> evidence of </w:t>
      </w:r>
      <w:r w:rsidR="00E104FA">
        <w:rPr>
          <w:rFonts w:cs="Arial"/>
        </w:rPr>
        <w:t>CBD</w:t>
      </w:r>
      <w:r w:rsidR="00603111">
        <w:rPr>
          <w:rFonts w:cs="Arial"/>
        </w:rPr>
        <w:t xml:space="preserve"> </w:t>
      </w:r>
      <w:r>
        <w:rPr>
          <w:rFonts w:cs="Arial"/>
        </w:rPr>
        <w:t xml:space="preserve">in </w:t>
      </w:r>
      <w:r w:rsidR="00603111">
        <w:rPr>
          <w:rFonts w:cs="Arial"/>
        </w:rPr>
        <w:t xml:space="preserve">workers </w:t>
      </w:r>
      <w:r w:rsidR="001F249A">
        <w:rPr>
          <w:rFonts w:cs="Arial"/>
        </w:rPr>
        <w:t>that develop acute beryllium disease at</w:t>
      </w:r>
      <w:r w:rsidR="00603111">
        <w:rPr>
          <w:rFonts w:cs="Arial"/>
        </w:rPr>
        <w:t xml:space="preserve"> </w:t>
      </w:r>
      <w:r w:rsidR="001F249A">
        <w:rPr>
          <w:rFonts w:cs="Arial"/>
        </w:rPr>
        <w:t xml:space="preserve">short-term </w:t>
      </w:r>
      <w:r w:rsidR="00603111">
        <w:rPr>
          <w:rFonts w:cs="Arial"/>
        </w:rPr>
        <w:t xml:space="preserve">concentrations greater than 0.2 </w:t>
      </w:r>
      <w:r w:rsidR="002D508E" w:rsidRPr="00727D57">
        <w:rPr>
          <w:rFonts w:cs="Arial"/>
        </w:rPr>
        <w:t>µg/m</w:t>
      </w:r>
      <w:r w:rsidR="002D508E" w:rsidRPr="00727D57">
        <w:rPr>
          <w:rFonts w:cs="Arial"/>
          <w:vertAlign w:val="superscript"/>
        </w:rPr>
        <w:t>3</w:t>
      </w:r>
      <w:r w:rsidR="002D508E" w:rsidRPr="002D508E">
        <w:rPr>
          <w:rFonts w:cs="Arial"/>
        </w:rPr>
        <w:t xml:space="preserve">. </w:t>
      </w:r>
    </w:p>
    <w:p w14:paraId="400C4320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3177F5CC" w14:textId="77777777" w:rsidR="00F66952" w:rsidRPr="0000528E" w:rsidRDefault="00F66952" w:rsidP="00F66952">
      <w:pPr>
        <w:rPr>
          <w:rFonts w:cs="Arial"/>
        </w:rPr>
      </w:pPr>
      <w:r>
        <w:rPr>
          <w:rFonts w:cs="Arial"/>
        </w:rPr>
        <w:t>C</w:t>
      </w:r>
      <w:r w:rsidRPr="0000528E">
        <w:rPr>
          <w:rFonts w:cs="Arial"/>
        </w:rPr>
        <w:t xml:space="preserve">lassified as a </w:t>
      </w:r>
      <w:r>
        <w:rPr>
          <w:rFonts w:cs="Arial"/>
        </w:rPr>
        <w:t>category 1</w:t>
      </w:r>
      <w:r w:rsidR="009419B9">
        <w:rPr>
          <w:rFonts w:cs="Arial"/>
        </w:rPr>
        <w:t>B</w:t>
      </w:r>
      <w:r w:rsidRPr="0000528E">
        <w:rPr>
          <w:rFonts w:cs="Arial"/>
        </w:rPr>
        <w:t xml:space="preserve"> carcinogen ac</w:t>
      </w:r>
      <w:r>
        <w:rPr>
          <w:rFonts w:cs="Arial"/>
        </w:rPr>
        <w:t>cording to the Globally Harmoniz</w:t>
      </w:r>
      <w:r w:rsidRPr="0000528E">
        <w:rPr>
          <w:rFonts w:cs="Arial"/>
        </w:rPr>
        <w:t xml:space="preserve">ed System of </w:t>
      </w:r>
      <w:r w:rsidR="000A51A6">
        <w:rPr>
          <w:rFonts w:cs="Arial"/>
        </w:rPr>
        <w:t>C</w:t>
      </w:r>
      <w:r w:rsidRPr="0000528E">
        <w:rPr>
          <w:rFonts w:cs="Arial"/>
        </w:rPr>
        <w:t xml:space="preserve">lassification and Labelling on Chemicals (GHS). </w:t>
      </w:r>
    </w:p>
    <w:p w14:paraId="621D5E69" w14:textId="77777777" w:rsidR="00F66952" w:rsidRPr="0000528E" w:rsidRDefault="000A51A6" w:rsidP="00F66952">
      <w:pPr>
        <w:rPr>
          <w:rFonts w:cs="Arial"/>
        </w:rPr>
      </w:pPr>
      <w:r>
        <w:rPr>
          <w:rFonts w:cs="Arial"/>
        </w:rPr>
        <w:t>C</w:t>
      </w:r>
      <w:r w:rsidR="00F66952" w:rsidRPr="0000528E">
        <w:rPr>
          <w:rFonts w:cs="Arial"/>
        </w:rPr>
        <w:t xml:space="preserve">lassified as a </w:t>
      </w:r>
      <w:r w:rsidR="001F249A">
        <w:rPr>
          <w:rFonts w:cs="Arial"/>
        </w:rPr>
        <w:t>skin</w:t>
      </w:r>
      <w:r w:rsidR="00F66952" w:rsidRPr="0000528E">
        <w:rPr>
          <w:rFonts w:cs="Arial"/>
        </w:rPr>
        <w:t xml:space="preserve"> </w:t>
      </w:r>
      <w:r w:rsidR="00B74E9E">
        <w:rPr>
          <w:rFonts w:cs="Arial"/>
        </w:rPr>
        <w:t xml:space="preserve">sensitiser </w:t>
      </w:r>
      <w:r>
        <w:rPr>
          <w:rFonts w:cs="Arial"/>
        </w:rPr>
        <w:t>and</w:t>
      </w:r>
      <w:r w:rsidR="00F66952">
        <w:rPr>
          <w:rFonts w:cs="Arial"/>
        </w:rPr>
        <w:t xml:space="preserve"> respiratory </w:t>
      </w:r>
      <w:r w:rsidR="00F66952" w:rsidRPr="0000528E">
        <w:rPr>
          <w:rFonts w:cs="Arial"/>
        </w:rPr>
        <w:t>sensitiser according to the GHS.</w:t>
      </w:r>
    </w:p>
    <w:p w14:paraId="1BBBD10A" w14:textId="77777777" w:rsidR="0025734A" w:rsidRDefault="00B74E9E">
      <w:r>
        <w:t>A</w:t>
      </w:r>
      <w:r w:rsidR="0078627A">
        <w:t xml:space="preserve"> skin notation</w:t>
      </w:r>
      <w:r>
        <w:t xml:space="preserve"> is </w:t>
      </w:r>
      <w:r w:rsidR="001F249A">
        <w:t>recommended based on evidence of systemic effects after dermal exposure.</w:t>
      </w:r>
    </w:p>
    <w:p w14:paraId="0F4F3FE2" w14:textId="77777777" w:rsidR="007847B0" w:rsidRPr="004C23F4" w:rsidRDefault="007847B0">
      <w:pPr>
        <w:rPr>
          <w:rFonts w:cs="Arial"/>
        </w:rPr>
      </w:pPr>
    </w:p>
    <w:p w14:paraId="6E526D02" w14:textId="77777777" w:rsidR="005E6979" w:rsidRPr="004C23F4" w:rsidRDefault="005E6979">
      <w:pPr>
        <w:rPr>
          <w:rFonts w:cs="Arial"/>
        </w:rPr>
        <w:sectPr w:rsidR="005E6979" w:rsidRPr="004C23F4" w:rsidSect="00445565">
          <w:headerReference w:type="default" r:id="rId11"/>
          <w:footerReference w:type="default" r:id="rId12"/>
          <w:headerReference w:type="first" r:id="rId13"/>
          <w:pgSz w:w="11906" w:h="16838"/>
          <w:pgMar w:top="1985" w:right="1440" w:bottom="1440" w:left="1440" w:header="708" w:footer="283" w:gutter="0"/>
          <w:cols w:space="708"/>
          <w:titlePg/>
          <w:docGrid w:linePitch="360"/>
        </w:sectPr>
      </w:pPr>
    </w:p>
    <w:p w14:paraId="6B2CD07F" w14:textId="77777777" w:rsidR="0034744C" w:rsidRPr="004C23F4" w:rsidRDefault="005E6979" w:rsidP="007847B0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1479232" w14:textId="77777777" w:rsidR="008D026D" w:rsidRPr="003365A5" w:rsidRDefault="00B479A9" w:rsidP="007847B0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BE15904" w14:textId="77777777" w:rsidTr="003A0260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1C05DF6" w14:textId="77777777" w:rsidR="00C978F0" w:rsidRPr="00DA352E" w:rsidRDefault="00C978F0" w:rsidP="007847B0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C3A02BE" w14:textId="77777777" w:rsidTr="003A0260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F20E690" w14:textId="77777777" w:rsidR="00DE26E8" w:rsidRPr="003365A5" w:rsidRDefault="00DE26E8" w:rsidP="007847B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C22C3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C22C3B">
                  <w:t>TWA</w:t>
                </w:r>
                <w:r w:rsidR="00E45495">
                  <w:t>:</w:t>
                </w:r>
                <w:r w:rsidR="00C22C3B">
                  <w:t xml:space="preserve"> 0.002 mg/m</w:t>
                </w:r>
                <w:r w:rsidR="002652F2" w:rsidRPr="00C22C3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AD1B905" w14:textId="77777777" w:rsidTr="003A0260">
        <w:trPr>
          <w:gridAfter w:val="1"/>
          <w:wAfter w:w="8" w:type="pct"/>
        </w:trPr>
        <w:tc>
          <w:tcPr>
            <w:tcW w:w="4992" w:type="pct"/>
          </w:tcPr>
          <w:p w14:paraId="08882A76" w14:textId="77777777" w:rsidR="00C978F0" w:rsidRPr="00DA352E" w:rsidRDefault="00C978F0" w:rsidP="00254047">
            <w:pPr>
              <w:pStyle w:val="Tabletextprimarysource"/>
            </w:pPr>
          </w:p>
        </w:tc>
      </w:tr>
      <w:tr w:rsidR="00C978F0" w:rsidRPr="00DA352E" w14:paraId="3455B7F1" w14:textId="77777777" w:rsidTr="003A02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AB3F1F3" w14:textId="77777777" w:rsidR="00C978F0" w:rsidRPr="00DA352E" w:rsidRDefault="00DA352E" w:rsidP="007847B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001AAF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001AAF">
                  <w:t>TLV-TWA</w:t>
                </w:r>
                <w:r w:rsidR="00E45495">
                  <w:t>:</w:t>
                </w:r>
                <w:r w:rsidR="00BD4331">
                  <w:t xml:space="preserve"> </w:t>
                </w:r>
                <w:r w:rsidR="00001AAF">
                  <w:t xml:space="preserve">0.05 </w:t>
                </w:r>
                <w:r w:rsidR="00001AAF">
                  <w:rPr>
                    <w:rFonts w:cs="Arial"/>
                  </w:rPr>
                  <w:t>µ</w:t>
                </w:r>
                <w:r w:rsidR="00001AAF">
                  <w:t>g/m</w:t>
                </w:r>
                <w:r w:rsidR="00001AAF" w:rsidRPr="00001AA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C8B5482" w14:textId="77777777" w:rsidTr="003A0260">
        <w:trPr>
          <w:gridAfter w:val="1"/>
          <w:wAfter w:w="8" w:type="pct"/>
        </w:trPr>
        <w:tc>
          <w:tcPr>
            <w:tcW w:w="4992" w:type="pct"/>
          </w:tcPr>
          <w:p w14:paraId="577E6906" w14:textId="0510BB6A" w:rsidR="00911B6B" w:rsidRDefault="00B13318" w:rsidP="00254047">
            <w:pPr>
              <w:pStyle w:val="Tablefont"/>
            </w:pPr>
            <w:r>
              <w:t>TLV-</w:t>
            </w:r>
            <w:r w:rsidR="00C355D3">
              <w:t xml:space="preserve">TWA </w:t>
            </w:r>
            <w:r>
              <w:t xml:space="preserve">recommended </w:t>
            </w:r>
            <w:r w:rsidR="00C355D3">
              <w:t>to minimise critical effects as</w:t>
            </w:r>
            <w:r>
              <w:t xml:space="preserve">sociated with </w:t>
            </w:r>
            <w:r w:rsidR="00254047">
              <w:rPr>
                <w:rFonts w:cs="Arial"/>
              </w:rPr>
              <w:t>b</w:t>
            </w:r>
            <w:r w:rsidR="00254047" w:rsidRPr="00727D57">
              <w:rPr>
                <w:rFonts w:cs="Arial"/>
              </w:rPr>
              <w:t>e</w:t>
            </w:r>
            <w:r w:rsidR="00254047">
              <w:rPr>
                <w:rFonts w:cs="Arial"/>
              </w:rPr>
              <w:t>ryllium sensitivity</w:t>
            </w:r>
            <w:r w:rsidR="00C355D3">
              <w:t xml:space="preserve"> </w:t>
            </w:r>
            <w:r w:rsidR="00D1588A">
              <w:t>in sensitive populations</w:t>
            </w:r>
            <w:r w:rsidR="00911B6B">
              <w:t xml:space="preserve">, </w:t>
            </w:r>
            <w:r w:rsidR="00087F0D">
              <w:t>leading to</w:t>
            </w:r>
            <w:r w:rsidR="00911B6B">
              <w:t xml:space="preserve"> </w:t>
            </w:r>
            <w:r>
              <w:t>CBD</w:t>
            </w:r>
            <w:r w:rsidR="00087F0D">
              <w:t xml:space="preserve"> </w:t>
            </w:r>
            <w:r w:rsidR="006A4202">
              <w:t>in sensitised individuals</w:t>
            </w:r>
            <w:r w:rsidR="00C355D3">
              <w:t>.</w:t>
            </w:r>
            <w:r w:rsidR="00C52157">
              <w:t xml:space="preserve"> </w:t>
            </w:r>
            <w:r w:rsidR="00A11D70">
              <w:t>There i</w:t>
            </w:r>
            <w:r w:rsidR="00D354C5">
              <w:t>s i</w:t>
            </w:r>
            <w:r w:rsidR="00A11D70">
              <w:t xml:space="preserve">nadequate </w:t>
            </w:r>
            <w:r w:rsidR="006A4202">
              <w:t xml:space="preserve">data to confirm </w:t>
            </w:r>
            <w:r w:rsidR="00254047">
              <w:t xml:space="preserve">the </w:t>
            </w:r>
            <w:r w:rsidR="006A4202">
              <w:t>contribution of peak exposures during a full shift to disease outcomes</w:t>
            </w:r>
            <w:r w:rsidR="00D354C5">
              <w:t>.</w:t>
            </w:r>
          </w:p>
          <w:p w14:paraId="278FE82B" w14:textId="687F38C1" w:rsidR="00C355D3" w:rsidRDefault="00254047" w:rsidP="00254047">
            <w:pPr>
              <w:pStyle w:val="Tablefont"/>
            </w:pPr>
            <w:r>
              <w:rPr>
                <w:rFonts w:cs="Arial"/>
              </w:rPr>
              <w:t>B</w:t>
            </w:r>
            <w:r w:rsidRPr="00727D57">
              <w:rPr>
                <w:rFonts w:cs="Arial"/>
              </w:rPr>
              <w:t>e</w:t>
            </w:r>
            <w:r>
              <w:rPr>
                <w:rFonts w:cs="Arial"/>
              </w:rPr>
              <w:t>ryllium sensitivity</w:t>
            </w:r>
            <w:r w:rsidR="000940D9">
              <w:t xml:space="preserve"> is a type IV cell-mediated immune response. </w:t>
            </w:r>
            <w:r w:rsidR="00C52157">
              <w:t xml:space="preserve">RSEN </w:t>
            </w:r>
            <w:r w:rsidR="001D179A">
              <w:t xml:space="preserve">and DSEN </w:t>
            </w:r>
            <w:r w:rsidR="00C52157">
              <w:t>notation</w:t>
            </w:r>
            <w:r w:rsidR="001D179A">
              <w:t>s</w:t>
            </w:r>
            <w:r w:rsidR="00C52157">
              <w:t xml:space="preserve"> applied </w:t>
            </w:r>
            <w:r w:rsidR="00D354C5">
              <w:t xml:space="preserve">based on the </w:t>
            </w:r>
            <w:r w:rsidR="00911B6B">
              <w:t xml:space="preserve">weight of evidence with </w:t>
            </w:r>
            <w:r w:rsidR="0090690B">
              <w:t xml:space="preserve">noted </w:t>
            </w:r>
            <w:r w:rsidR="00911B6B">
              <w:t>lymphocyt</w:t>
            </w:r>
            <w:r w:rsidR="00AE57F1">
              <w:t xml:space="preserve">ic </w:t>
            </w:r>
            <w:r w:rsidR="006A4202">
              <w:t>sensitisation</w:t>
            </w:r>
            <w:r w:rsidR="00AE57F1">
              <w:t xml:space="preserve"> in blood and lungs</w:t>
            </w:r>
            <w:r w:rsidR="006A4202">
              <w:t xml:space="preserve"> of sensitised individuals</w:t>
            </w:r>
            <w:r w:rsidR="00AE57F1">
              <w:t xml:space="preserve">. </w:t>
            </w:r>
          </w:p>
          <w:p w14:paraId="56CA7D0E" w14:textId="77777777" w:rsidR="006A4202" w:rsidRDefault="006A4202" w:rsidP="00254047">
            <w:pPr>
              <w:pStyle w:val="Tablefont"/>
            </w:pPr>
            <w:r>
              <w:t>A skin notation is applied based on sensitisation of individuals from dermal exposure to soluble Be, penetration of insoluble Be through cadaver skin and positive evidence in sensitisation studies in mice.</w:t>
            </w:r>
          </w:p>
          <w:p w14:paraId="312C6E35" w14:textId="77777777" w:rsidR="00121CCC" w:rsidRDefault="0090690B" w:rsidP="00254047">
            <w:pPr>
              <w:pStyle w:val="Tablefont"/>
            </w:pPr>
            <w:r>
              <w:t xml:space="preserve">The ‘A1 Confirmed Human Carcinogen’ notation assigned </w:t>
            </w:r>
            <w:r w:rsidR="00E104FA">
              <w:t>based on animal studies.</w:t>
            </w:r>
            <w:r w:rsidR="00E26D69">
              <w:t xml:space="preserve"> </w:t>
            </w:r>
            <w:r w:rsidR="00E104FA">
              <w:t>H</w:t>
            </w:r>
            <w:r>
              <w:t xml:space="preserve">uman carcinogenicity </w:t>
            </w:r>
            <w:r w:rsidR="00E104FA">
              <w:t>data</w:t>
            </w:r>
            <w:r>
              <w:t xml:space="preserve"> associated wi</w:t>
            </w:r>
            <w:r w:rsidR="00E80131">
              <w:t>th historically high exposures.</w:t>
            </w:r>
          </w:p>
          <w:p w14:paraId="108CC538" w14:textId="77777777" w:rsidR="009E1028" w:rsidRDefault="009E1028" w:rsidP="00254047">
            <w:pPr>
              <w:pStyle w:val="Tablefont"/>
            </w:pPr>
          </w:p>
          <w:p w14:paraId="0376A048" w14:textId="77777777" w:rsidR="00C355D3" w:rsidRDefault="00C355D3" w:rsidP="00254047">
            <w:pPr>
              <w:pStyle w:val="Tablefont"/>
            </w:pPr>
            <w:r>
              <w:t>Summary of data:</w:t>
            </w:r>
          </w:p>
          <w:p w14:paraId="78EFA0B3" w14:textId="77777777" w:rsidR="00C355D3" w:rsidRPr="00E26D69" w:rsidRDefault="00C355D3" w:rsidP="00254047">
            <w:pPr>
              <w:pStyle w:val="Tablefont"/>
            </w:pPr>
            <w:r w:rsidRPr="00E26D69">
              <w:t>Human data:</w:t>
            </w:r>
          </w:p>
          <w:p w14:paraId="1BF4FC39" w14:textId="5061E941" w:rsidR="001B4281" w:rsidRDefault="00FA07EE" w:rsidP="00254047">
            <w:pPr>
              <w:pStyle w:val="ListBullet"/>
            </w:pPr>
            <w:r>
              <w:t xml:space="preserve">Acute Beryllium Disease </w:t>
            </w:r>
            <w:r w:rsidR="00254047">
              <w:t>(</w:t>
            </w:r>
            <w:r w:rsidR="001B4281">
              <w:t>ABD</w:t>
            </w:r>
            <w:r w:rsidR="00254047">
              <w:t>)</w:t>
            </w:r>
            <w:r w:rsidR="001B4281">
              <w:t xml:space="preserve"> affects the respiratory tract including rhinitis, pharyngitis, pneumonitis, shortness of breath, malaise, anorexia, cyanosis and tachycardia and it can be fatal; ABD can result in CBD</w:t>
            </w:r>
          </w:p>
          <w:p w14:paraId="207CE0AA" w14:textId="4A79F69D" w:rsidR="004811FE" w:rsidRPr="00E26D69" w:rsidRDefault="007B1D61" w:rsidP="00254047">
            <w:pPr>
              <w:pStyle w:val="ListBullet"/>
            </w:pPr>
            <w:r>
              <w:t>S</w:t>
            </w:r>
            <w:r w:rsidR="004811FE" w:rsidRPr="00E26D69">
              <w:t>ensitis</w:t>
            </w:r>
            <w:r w:rsidR="006A4202">
              <w:t>ation</w:t>
            </w:r>
            <w:r w:rsidR="004811FE" w:rsidRPr="00E26D69">
              <w:t xml:space="preserve"> identified</w:t>
            </w:r>
            <w:r w:rsidR="004A42B8">
              <w:t xml:space="preserve"> (1/27</w:t>
            </w:r>
            <w:r w:rsidR="00D504C2">
              <w:t xml:space="preserve"> subjects</w:t>
            </w:r>
            <w:r w:rsidR="004A42B8">
              <w:t>)</w:t>
            </w:r>
            <w:r w:rsidR="004811FE" w:rsidRPr="00E26D69">
              <w:t xml:space="preserve"> in </w:t>
            </w:r>
            <w:r w:rsidR="00D354C5">
              <w:t xml:space="preserve">a </w:t>
            </w:r>
            <w:r w:rsidR="004811FE" w:rsidRPr="00E26D69">
              <w:t>stud</w:t>
            </w:r>
            <w:r w:rsidR="004A42B8">
              <w:t>y</w:t>
            </w:r>
            <w:r w:rsidR="004811FE" w:rsidRPr="00E26D69">
              <w:t xml:space="preserve"> with </w:t>
            </w:r>
            <w:r w:rsidR="00D354C5">
              <w:t xml:space="preserve">lifetime weighted </w:t>
            </w:r>
            <w:r w:rsidR="00D504C2">
              <w:t>(</w:t>
            </w:r>
            <w:r w:rsidR="006A4202">
              <w:t>LTW</w:t>
            </w:r>
            <w:r w:rsidR="00D504C2">
              <w:t>)</w:t>
            </w:r>
            <w:r w:rsidR="006A4202">
              <w:t xml:space="preserve"> average exposures</w:t>
            </w:r>
            <w:r w:rsidR="00427A4F" w:rsidRPr="00E26D69">
              <w:t xml:space="preserve"> </w:t>
            </w:r>
            <w:r w:rsidR="004811FE" w:rsidRPr="00E26D69">
              <w:t>at</w:t>
            </w:r>
            <w:r w:rsidR="006A4202">
              <w:t xml:space="preserve"> </w:t>
            </w:r>
            <w:r w:rsidR="00AA672E">
              <w:t>&lt;</w:t>
            </w:r>
            <w:r w:rsidR="00D354C5">
              <w:t> </w:t>
            </w:r>
            <w:r w:rsidR="004811FE" w:rsidRPr="00E26D69">
              <w:t>0.</w:t>
            </w:r>
            <w:r w:rsidR="00D354C5" w:rsidRPr="00E26D69">
              <w:t>2</w:t>
            </w:r>
            <w:r w:rsidR="00D354C5">
              <w:t> </w:t>
            </w:r>
            <w:r w:rsidR="004811FE" w:rsidRPr="00E26D69">
              <w:rPr>
                <w:rFonts w:cs="Arial"/>
              </w:rPr>
              <w:t>µ</w:t>
            </w:r>
            <w:r w:rsidR="004811FE" w:rsidRPr="00E26D69">
              <w:t>g/m</w:t>
            </w:r>
            <w:r w:rsidR="004811FE" w:rsidRPr="00E26D69">
              <w:rPr>
                <w:vertAlign w:val="superscript"/>
              </w:rPr>
              <w:t>3</w:t>
            </w:r>
            <w:r w:rsidR="006A4202">
              <w:t xml:space="preserve">; </w:t>
            </w:r>
            <w:r w:rsidR="00D354C5">
              <w:t xml:space="preserve">there were </w:t>
            </w:r>
            <w:r w:rsidR="006A4202">
              <w:t>n</w:t>
            </w:r>
            <w:r w:rsidR="006A4202" w:rsidRPr="006A4202">
              <w:t>o strong</w:t>
            </w:r>
            <w:r w:rsidR="00254047">
              <w:t xml:space="preserve"> relationship between</w:t>
            </w:r>
            <w:r w:rsidR="006A4202" w:rsidRPr="006A4202">
              <w:t xml:space="preserve"> dose and LTW average exposures to differentiate between sensitised and non-sensitised populations</w:t>
            </w:r>
            <w:r w:rsidR="001B4281">
              <w:t>; some indication of a genetic susceptibility</w:t>
            </w:r>
          </w:p>
          <w:p w14:paraId="71C397F2" w14:textId="69620F1F" w:rsidR="004C4A72" w:rsidRPr="00E26D69" w:rsidRDefault="00254047" w:rsidP="00254047">
            <w:pPr>
              <w:pStyle w:val="ListBullet"/>
            </w:pPr>
            <w:r>
              <w:t>Limited</w:t>
            </w:r>
            <w:r w:rsidR="00427A4F" w:rsidRPr="00E26D69">
              <w:t xml:space="preserve"> (or no) evidence of sensitisation</w:t>
            </w:r>
            <w:r w:rsidR="006A4202">
              <w:t xml:space="preserve"> or CBD</w:t>
            </w:r>
            <w:r w:rsidR="00427A4F" w:rsidRPr="00E26D69">
              <w:t xml:space="preserve"> </w:t>
            </w:r>
            <w:r w:rsidR="006A4202">
              <w:t>below</w:t>
            </w:r>
            <w:r w:rsidR="00427A4F" w:rsidRPr="00E26D69">
              <w:t xml:space="preserve"> 0.05</w:t>
            </w:r>
            <w:r w:rsidR="00427A4F" w:rsidRPr="00E26D69">
              <w:rPr>
                <w:rFonts w:cs="Arial"/>
              </w:rPr>
              <w:t xml:space="preserve"> µ</w:t>
            </w:r>
            <w:r w:rsidR="00427A4F" w:rsidRPr="00E26D69">
              <w:t>g/m</w:t>
            </w:r>
            <w:r w:rsidR="00427A4F" w:rsidRPr="00E26D69">
              <w:rPr>
                <w:vertAlign w:val="superscript"/>
              </w:rPr>
              <w:t>3</w:t>
            </w:r>
            <w:r w:rsidR="00622205">
              <w:rPr>
                <w:vertAlign w:val="superscript"/>
              </w:rPr>
              <w:t xml:space="preserve"> </w:t>
            </w:r>
          </w:p>
          <w:p w14:paraId="77A915F9" w14:textId="77777777" w:rsidR="004A42B8" w:rsidRDefault="00DE06F7" w:rsidP="00254047">
            <w:pPr>
              <w:pStyle w:val="ListBullet"/>
            </w:pPr>
            <w:r>
              <w:t xml:space="preserve">Non-occupational exposure studies of residents near </w:t>
            </w:r>
            <w:r w:rsidR="001B4281">
              <w:t xml:space="preserve">Be </w:t>
            </w:r>
            <w:r>
              <w:t xml:space="preserve">facilities suggest </w:t>
            </w:r>
            <w:r w:rsidR="007B1D61">
              <w:t xml:space="preserve">CBD </w:t>
            </w:r>
            <w:r>
              <w:t xml:space="preserve">symptoms following average </w:t>
            </w:r>
            <w:r w:rsidR="004A42B8">
              <w:t>ambient concentrations</w:t>
            </w:r>
            <w:r>
              <w:t xml:space="preserve"> of 0.0155</w:t>
            </w:r>
            <w:r w:rsidR="00AA672E">
              <w:t>–</w:t>
            </w:r>
            <w:r>
              <w:t xml:space="preserve">0.028 </w:t>
            </w:r>
            <w:r w:rsidRPr="00E26D69">
              <w:rPr>
                <w:rFonts w:cs="Arial"/>
              </w:rPr>
              <w:t>µ</w:t>
            </w:r>
            <w:r w:rsidRPr="00E26D69">
              <w:t>g/m</w:t>
            </w:r>
            <w:r w:rsidRPr="00E26D69">
              <w:rPr>
                <w:vertAlign w:val="superscript"/>
              </w:rPr>
              <w:t>3</w:t>
            </w:r>
          </w:p>
          <w:p w14:paraId="2CBCE36D" w14:textId="77777777" w:rsidR="00187BD9" w:rsidRDefault="004A42B8" w:rsidP="00254047">
            <w:pPr>
              <w:pStyle w:val="ListBullet"/>
            </w:pPr>
            <w:r>
              <w:t>Carcinogenicity studies demonstrated increased SMR for lung cancer (both significant and non-significant); studies generally not well controlled for confounding factors including smoking and co-exposure to sulfuric mist.</w:t>
            </w:r>
          </w:p>
          <w:p w14:paraId="656D8AB6" w14:textId="77777777" w:rsidR="00C355D3" w:rsidRPr="00187BD9" w:rsidRDefault="00C355D3" w:rsidP="00254047">
            <w:pPr>
              <w:pStyle w:val="Tablefont"/>
            </w:pPr>
            <w:r w:rsidRPr="00187BD9">
              <w:t>Animal data:</w:t>
            </w:r>
          </w:p>
          <w:p w14:paraId="366F5836" w14:textId="0C580386" w:rsidR="00C978F0" w:rsidRDefault="00E26DFB" w:rsidP="00254047">
            <w:pPr>
              <w:pStyle w:val="ListBullet"/>
            </w:pPr>
            <w:r>
              <w:t xml:space="preserve">‘Limited value’ in animal studies </w:t>
            </w:r>
            <w:r w:rsidR="00D504C2">
              <w:t xml:space="preserve">on murine </w:t>
            </w:r>
            <w:r w:rsidR="00D616B9">
              <w:t xml:space="preserve">of </w:t>
            </w:r>
            <w:r>
              <w:t xml:space="preserve">single or repeated high dose </w:t>
            </w:r>
            <w:r w:rsidR="00D616B9">
              <w:t>(20</w:t>
            </w:r>
            <w:r w:rsidR="00D504C2">
              <w:noBreakHyphen/>
            </w:r>
            <w:r w:rsidR="00D616B9">
              <w:t>60</w:t>
            </w:r>
            <w:r w:rsidR="00D616B9" w:rsidRPr="00E26D69">
              <w:t xml:space="preserve"> </w:t>
            </w:r>
            <w:r w:rsidR="00D616B9" w:rsidRPr="00E26D69">
              <w:rPr>
                <w:rFonts w:cs="Arial"/>
              </w:rPr>
              <w:t>µ</w:t>
            </w:r>
            <w:r w:rsidR="00D616B9" w:rsidRPr="00E26D69">
              <w:t>g/m</w:t>
            </w:r>
            <w:r w:rsidR="00D616B9" w:rsidRPr="00E26D69">
              <w:rPr>
                <w:vertAlign w:val="superscript"/>
              </w:rPr>
              <w:t>3</w:t>
            </w:r>
            <w:r w:rsidR="00D616B9" w:rsidRPr="00D616B9">
              <w:t>)</w:t>
            </w:r>
            <w:r w:rsidR="004A42B8">
              <w:t>;</w:t>
            </w:r>
            <w:r w:rsidR="00D616B9" w:rsidRPr="00D616B9">
              <w:t xml:space="preserve"> </w:t>
            </w:r>
            <w:r w:rsidR="00D616B9">
              <w:t xml:space="preserve">more relevant for </w:t>
            </w:r>
            <w:r w:rsidR="004A42B8">
              <w:t>ABD</w:t>
            </w:r>
            <w:r w:rsidR="000940D9">
              <w:t>; no appropriate human model for CBD identified</w:t>
            </w:r>
          </w:p>
          <w:p w14:paraId="6897DF44" w14:textId="77777777" w:rsidR="00D616B9" w:rsidRDefault="00D616B9" w:rsidP="00254047">
            <w:pPr>
              <w:pStyle w:val="ListBullet"/>
            </w:pPr>
            <w:r>
              <w:t>Mice se</w:t>
            </w:r>
            <w:r w:rsidR="007B1D61">
              <w:t>nsitis</w:t>
            </w:r>
            <w:r>
              <w:t xml:space="preserve">ation </w:t>
            </w:r>
            <w:r w:rsidR="004A42B8">
              <w:t xml:space="preserve">reported </w:t>
            </w:r>
            <w:r>
              <w:t xml:space="preserve">following dermal exposure to poorly soluble </w:t>
            </w:r>
            <w:r w:rsidR="004A42B8">
              <w:t>Be</w:t>
            </w:r>
            <w:r>
              <w:t xml:space="preserve"> particles</w:t>
            </w:r>
          </w:p>
          <w:p w14:paraId="255D10C4" w14:textId="77777777" w:rsidR="000940D9" w:rsidRDefault="000940D9" w:rsidP="00254047">
            <w:pPr>
              <w:pStyle w:val="ListBullet"/>
            </w:pPr>
            <w:r>
              <w:t xml:space="preserve">Carcinogenicity demonstrated in various species </w:t>
            </w:r>
            <w:r w:rsidR="00C8103F">
              <w:t xml:space="preserve">of animals and </w:t>
            </w:r>
            <w:r>
              <w:t>to various forms of Be:</w:t>
            </w:r>
          </w:p>
          <w:p w14:paraId="7E58F99A" w14:textId="77777777" w:rsidR="00D616B9" w:rsidRDefault="000940D9" w:rsidP="00254047">
            <w:pPr>
              <w:pStyle w:val="ListBullet"/>
              <w:numPr>
                <w:ilvl w:val="0"/>
                <w:numId w:val="19"/>
              </w:numPr>
              <w:spacing w:before="0" w:after="80" w:line="276" w:lineRule="auto"/>
              <w:ind w:left="1429" w:hanging="357"/>
            </w:pPr>
            <w:r>
              <w:t>18/19 r</w:t>
            </w:r>
            <w:r w:rsidR="00466A78">
              <w:t>ats exposed to 0.62 mg/m</w:t>
            </w:r>
            <w:r w:rsidR="00466A78" w:rsidRPr="00466A78">
              <w:rPr>
                <w:vertAlign w:val="superscript"/>
              </w:rPr>
              <w:t>3</w:t>
            </w:r>
            <w:r w:rsidR="00466A78">
              <w:t xml:space="preserve"> beryl ore developed lung tumours</w:t>
            </w:r>
            <w:r w:rsidR="004A42B8">
              <w:t xml:space="preserve"> </w:t>
            </w:r>
          </w:p>
          <w:p w14:paraId="366C974F" w14:textId="77777777" w:rsidR="000940D9" w:rsidRDefault="000940D9" w:rsidP="00254047">
            <w:pPr>
              <w:pStyle w:val="ListBullet"/>
              <w:numPr>
                <w:ilvl w:val="0"/>
                <w:numId w:val="19"/>
              </w:numPr>
              <w:spacing w:before="0" w:after="80" w:line="276" w:lineRule="auto"/>
              <w:ind w:left="1429" w:hanging="357"/>
            </w:pPr>
            <w:r>
              <w:t xml:space="preserve">64% of tested rats developed lung tumours after 14 </w:t>
            </w:r>
            <w:proofErr w:type="spellStart"/>
            <w:r>
              <w:t>mo</w:t>
            </w:r>
            <w:proofErr w:type="spellEnd"/>
            <w:r>
              <w:t xml:space="preserve"> (s</w:t>
            </w:r>
            <w:r w:rsidR="007B1D61">
              <w:t>ingle Be metal</w:t>
            </w:r>
            <w:r w:rsidR="001C6ED5">
              <w:t xml:space="preserve"> exposure of 410</w:t>
            </w:r>
            <w:r w:rsidR="009E1028">
              <w:t>–</w:t>
            </w:r>
            <w:r w:rsidR="001C6ED5">
              <w:t>80 mg/m</w:t>
            </w:r>
            <w:r w:rsidR="001C6ED5" w:rsidRPr="001C6ED5">
              <w:rPr>
                <w:vertAlign w:val="superscript"/>
              </w:rPr>
              <w:t>3</w:t>
            </w:r>
            <w:r w:rsidR="001C6ED5">
              <w:t xml:space="preserve"> </w:t>
            </w:r>
            <w:r>
              <w:t xml:space="preserve">for </w:t>
            </w:r>
            <w:r w:rsidR="001C6ED5">
              <w:t>8</w:t>
            </w:r>
            <w:r w:rsidR="009E1028">
              <w:t>–</w:t>
            </w:r>
            <w:r w:rsidR="007B1D61">
              <w:t>48 min)</w:t>
            </w:r>
            <w:r w:rsidR="001C6ED5">
              <w:t xml:space="preserve"> </w:t>
            </w:r>
          </w:p>
          <w:p w14:paraId="7EF59008" w14:textId="77777777" w:rsidR="000940D9" w:rsidRDefault="000940D9" w:rsidP="00254047">
            <w:pPr>
              <w:pStyle w:val="ListBullet"/>
              <w:numPr>
                <w:ilvl w:val="0"/>
                <w:numId w:val="19"/>
              </w:numPr>
              <w:spacing w:before="0" w:after="80" w:line="276" w:lineRule="auto"/>
              <w:ind w:left="1429" w:hanging="357"/>
            </w:pPr>
            <w:r>
              <w:t xml:space="preserve">increased cancer rates reported in rats exposed at 0.35 </w:t>
            </w:r>
            <w:r w:rsidRPr="00E86AD0">
              <w:rPr>
                <w:rFonts w:cs="Arial"/>
                <w:sz w:val="22"/>
              </w:rPr>
              <w:t>mg/m</w:t>
            </w:r>
            <w:r w:rsidRPr="00E86AD0">
              <w:rPr>
                <w:rFonts w:cs="Arial"/>
                <w:sz w:val="22"/>
                <w:vertAlign w:val="superscript"/>
              </w:rPr>
              <w:t>3</w:t>
            </w:r>
            <w:r>
              <w:t xml:space="preserve"> </w:t>
            </w:r>
            <w:proofErr w:type="spellStart"/>
            <w:r>
              <w:t>BeS</w:t>
            </w:r>
            <w:proofErr w:type="spellEnd"/>
            <w:r>
              <w:t xml:space="preserve"> for 180 d</w:t>
            </w:r>
          </w:p>
          <w:p w14:paraId="2DA3770C" w14:textId="77777777" w:rsidR="000940D9" w:rsidRDefault="000940D9" w:rsidP="00254047">
            <w:pPr>
              <w:pStyle w:val="ListBullet"/>
              <w:numPr>
                <w:ilvl w:val="0"/>
                <w:numId w:val="19"/>
              </w:numPr>
              <w:spacing w:before="0" w:after="80" w:line="276" w:lineRule="auto"/>
              <w:ind w:left="1429" w:hanging="357"/>
            </w:pPr>
            <w:r>
              <w:t xml:space="preserve">lung tumours in all rats exposed at 0.034 </w:t>
            </w:r>
            <w:r w:rsidRPr="00E86AD0">
              <w:rPr>
                <w:rFonts w:cs="Arial"/>
                <w:sz w:val="22"/>
              </w:rPr>
              <w:t>mg/m</w:t>
            </w:r>
            <w:r w:rsidRPr="00E86AD0">
              <w:rPr>
                <w:rFonts w:cs="Arial"/>
                <w:sz w:val="22"/>
                <w:vertAlign w:val="superscript"/>
              </w:rPr>
              <w:t>3</w:t>
            </w:r>
            <w:r>
              <w:t xml:space="preserve"> </w:t>
            </w:r>
            <w:proofErr w:type="spellStart"/>
            <w:r>
              <w:t>BeS</w:t>
            </w:r>
            <w:proofErr w:type="spellEnd"/>
            <w:r>
              <w:t xml:space="preserve"> for 13 </w:t>
            </w:r>
            <w:proofErr w:type="spellStart"/>
            <w:r>
              <w:t>mo</w:t>
            </w:r>
            <w:proofErr w:type="spellEnd"/>
          </w:p>
          <w:p w14:paraId="731ACFD0" w14:textId="77777777" w:rsidR="001C6ED5" w:rsidRDefault="000940D9" w:rsidP="00254047">
            <w:pPr>
              <w:pStyle w:val="ListBullet"/>
              <w:numPr>
                <w:ilvl w:val="0"/>
                <w:numId w:val="19"/>
              </w:numPr>
              <w:spacing w:before="0" w:after="80" w:line="276" w:lineRule="auto"/>
              <w:ind w:left="1429" w:hanging="357"/>
            </w:pPr>
            <w:r>
              <w:t xml:space="preserve">lung tumours reported in rats after 9 </w:t>
            </w:r>
            <w:proofErr w:type="spellStart"/>
            <w:r>
              <w:t>mo</w:t>
            </w:r>
            <w:proofErr w:type="spellEnd"/>
            <w:r>
              <w:t xml:space="preserve"> exposed at 0.006 or 0.0545 </w:t>
            </w:r>
            <w:r w:rsidRPr="00E86AD0">
              <w:rPr>
                <w:rFonts w:cs="Arial"/>
                <w:sz w:val="22"/>
              </w:rPr>
              <w:t>mg/m</w:t>
            </w:r>
            <w:r w:rsidRPr="00E86AD0">
              <w:rPr>
                <w:rFonts w:cs="Arial"/>
                <w:sz w:val="22"/>
                <w:vertAlign w:val="superscript"/>
              </w:rPr>
              <w:t>3</w:t>
            </w:r>
            <w:r>
              <w:t xml:space="preserve"> </w:t>
            </w:r>
            <w:proofErr w:type="spellStart"/>
            <w:r>
              <w:t>BeO</w:t>
            </w:r>
            <w:proofErr w:type="spellEnd"/>
            <w:r>
              <w:t>.</w:t>
            </w:r>
          </w:p>
          <w:p w14:paraId="66A35133" w14:textId="77777777" w:rsidR="009E1028" w:rsidRDefault="009E1028" w:rsidP="00254047">
            <w:pPr>
              <w:pStyle w:val="Tablefont"/>
            </w:pPr>
          </w:p>
          <w:p w14:paraId="226F0E6F" w14:textId="54EA9CC2" w:rsidR="004E2F15" w:rsidRDefault="000940D9" w:rsidP="00254047">
            <w:pPr>
              <w:pStyle w:val="Tablefont"/>
            </w:pPr>
            <w:r>
              <w:lastRenderedPageBreak/>
              <w:t>Negative in genotoxicity studies and most mutagenicity studies; soluble Be</w:t>
            </w:r>
            <w:r w:rsidR="00254047">
              <w:t xml:space="preserve"> compounds</w:t>
            </w:r>
            <w:r>
              <w:t xml:space="preserve"> can induce forward mutations in mammalian cell lines and provides evidence that </w:t>
            </w:r>
            <w:proofErr w:type="gramStart"/>
            <w:r>
              <w:t>Be can induce</w:t>
            </w:r>
            <w:proofErr w:type="gramEnd"/>
            <w:r>
              <w:t xml:space="preserve"> malignant changes within these cells.</w:t>
            </w:r>
          </w:p>
          <w:p w14:paraId="19898A4C" w14:textId="77777777" w:rsidR="009E1028" w:rsidRPr="00DA352E" w:rsidRDefault="009E1028" w:rsidP="00254047">
            <w:pPr>
              <w:pStyle w:val="Tablefont"/>
            </w:pPr>
          </w:p>
        </w:tc>
      </w:tr>
      <w:tr w:rsidR="00C978F0" w:rsidRPr="00DA352E" w14:paraId="665F0121" w14:textId="77777777" w:rsidTr="003A02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835E35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C22C3B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BE038C">
                  <w:t>Not assigned</w:t>
                </w:r>
              </w:sdtContent>
            </w:sdt>
          </w:p>
        </w:tc>
      </w:tr>
      <w:tr w:rsidR="00C978F0" w:rsidRPr="00DA352E" w14:paraId="6FF68AC2" w14:textId="77777777" w:rsidTr="003A0260">
        <w:trPr>
          <w:gridAfter w:val="1"/>
          <w:wAfter w:w="8" w:type="pct"/>
        </w:trPr>
        <w:tc>
          <w:tcPr>
            <w:tcW w:w="4992" w:type="pct"/>
          </w:tcPr>
          <w:p w14:paraId="65BB333E" w14:textId="77777777" w:rsidR="00AE57F1" w:rsidRDefault="00F877BD" w:rsidP="00121CCC">
            <w:pPr>
              <w:pStyle w:val="ListBullet"/>
              <w:numPr>
                <w:ilvl w:val="0"/>
                <w:numId w:val="0"/>
              </w:numPr>
            </w:pPr>
            <w:r>
              <w:t xml:space="preserve">No MAK value assigned as </w:t>
            </w:r>
            <w:r w:rsidR="004C4A72">
              <w:t>human carcinoge</w:t>
            </w:r>
            <w:r w:rsidR="00187BD9">
              <w:t>n</w:t>
            </w:r>
            <w:r w:rsidR="00E92A16">
              <w:t>icity is demonstrated</w:t>
            </w:r>
            <w:r>
              <w:t>.</w:t>
            </w:r>
            <w:r w:rsidR="007B1D61">
              <w:t xml:space="preserve"> </w:t>
            </w:r>
          </w:p>
          <w:p w14:paraId="59A9ACB6" w14:textId="77777777" w:rsidR="00E92A16" w:rsidRDefault="00E92A16" w:rsidP="00121CCC">
            <w:pPr>
              <w:pStyle w:val="ListBullet"/>
              <w:numPr>
                <w:ilvl w:val="0"/>
                <w:numId w:val="0"/>
              </w:numPr>
            </w:pPr>
          </w:p>
          <w:p w14:paraId="5D539E21" w14:textId="77777777" w:rsidR="00121CCC" w:rsidRDefault="00A16E75" w:rsidP="00121CCC">
            <w:pPr>
              <w:pStyle w:val="ListBullet"/>
              <w:numPr>
                <w:ilvl w:val="0"/>
                <w:numId w:val="0"/>
              </w:numPr>
            </w:pPr>
            <w:r>
              <w:t>Summary</w:t>
            </w:r>
            <w:r w:rsidR="00121CCC">
              <w:t xml:space="preserve"> </w:t>
            </w:r>
            <w:r>
              <w:t xml:space="preserve">of </w:t>
            </w:r>
            <w:r w:rsidR="00121CCC">
              <w:t>data:</w:t>
            </w:r>
          </w:p>
          <w:p w14:paraId="6BE633EC" w14:textId="77777777" w:rsidR="00121CCC" w:rsidRDefault="00121CCC" w:rsidP="009E1028">
            <w:pPr>
              <w:pStyle w:val="ListBullet"/>
            </w:pPr>
            <w:r>
              <w:t xml:space="preserve">Recognised increased mortality related to lung cancer identified in workers disproportional to those </w:t>
            </w:r>
            <w:r w:rsidR="00E92A16">
              <w:t>with ABD</w:t>
            </w:r>
          </w:p>
          <w:p w14:paraId="7962E010" w14:textId="77777777" w:rsidR="00843FF2" w:rsidRDefault="00E92A16" w:rsidP="009E1028">
            <w:pPr>
              <w:pStyle w:val="ListBullet"/>
            </w:pPr>
            <w:r>
              <w:t>E</w:t>
            </w:r>
            <w:r w:rsidR="00843FF2">
              <w:t>xposure to inhaled concentrations</w:t>
            </w:r>
            <w:r>
              <w:t xml:space="preserve"> in guinea pigs</w:t>
            </w:r>
            <w:r w:rsidR="00843FF2">
              <w:t xml:space="preserve"> </w:t>
            </w:r>
            <w:r w:rsidR="004E2F15">
              <w:t>(10 mg/m</w:t>
            </w:r>
            <w:r w:rsidR="004E2F15" w:rsidRPr="004E2F15">
              <w:rPr>
                <w:vertAlign w:val="superscript"/>
              </w:rPr>
              <w:t>3</w:t>
            </w:r>
            <w:r w:rsidR="008849F2">
              <w:t xml:space="preserve">; </w:t>
            </w:r>
            <w:r w:rsidR="004E2F15">
              <w:t>8</w:t>
            </w:r>
            <w:r w:rsidR="008849F2">
              <w:t xml:space="preserve"> h</w:t>
            </w:r>
            <w:r w:rsidR="004E2F15">
              <w:t xml:space="preserve"> and 16 </w:t>
            </w:r>
            <w:r w:rsidR="008849F2">
              <w:t>h)</w:t>
            </w:r>
            <w:r w:rsidR="004E2F15">
              <w:t xml:space="preserve"> </w:t>
            </w:r>
            <w:r w:rsidR="002E1A4C">
              <w:t>presented</w:t>
            </w:r>
            <w:r w:rsidR="004E2F15">
              <w:t xml:space="preserve"> urinary response and elimination commencing after </w:t>
            </w:r>
            <w:r w:rsidR="008849F2">
              <w:t>2 h</w:t>
            </w:r>
          </w:p>
          <w:p w14:paraId="613AC56A" w14:textId="77777777" w:rsidR="004C4A72" w:rsidRDefault="00EC68C0" w:rsidP="009E1028">
            <w:pPr>
              <w:pStyle w:val="ListBullet"/>
            </w:pPr>
            <w:r>
              <w:t>E</w:t>
            </w:r>
            <w:r w:rsidR="004E2F15">
              <w:t>xcretion primarily via urine with blood elimination occurring in two identified rates (rapid response biological half-t</w:t>
            </w:r>
            <w:r w:rsidR="00543988">
              <w:t>ime between 1</w:t>
            </w:r>
            <w:r w:rsidR="00AA672E">
              <w:t>–</w:t>
            </w:r>
            <w:r w:rsidR="008849F2">
              <w:t>6</w:t>
            </w:r>
            <w:r w:rsidR="00543988">
              <w:t>0 d and slow rate between 0.6</w:t>
            </w:r>
            <w:r w:rsidR="00AA672E">
              <w:t>–</w:t>
            </w:r>
            <w:r w:rsidR="004E2F15">
              <w:t xml:space="preserve">2.3 </w:t>
            </w:r>
            <w:r w:rsidR="008849F2">
              <w:t>yr</w:t>
            </w:r>
            <w:r w:rsidR="004E2F15">
              <w:t>)</w:t>
            </w:r>
            <w:r w:rsidR="00121CCC">
              <w:t>.</w:t>
            </w:r>
          </w:p>
          <w:p w14:paraId="26B45A3D" w14:textId="77777777" w:rsidR="00121CCC" w:rsidRPr="00DA352E" w:rsidRDefault="00121CCC" w:rsidP="00121CC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17C1294B" w14:textId="77777777" w:rsidTr="003A02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03621F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E85215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0068CB">
                  <w:t xml:space="preserve">8-hour </w:t>
                </w:r>
                <w:r w:rsidR="00E85215">
                  <w:t>TWA</w:t>
                </w:r>
                <w:r w:rsidR="00853D64">
                  <w:t>:</w:t>
                </w:r>
                <w:r w:rsidR="00E85215">
                  <w:t xml:space="preserve"> 0.02 </w:t>
                </w:r>
                <w:r w:rsidR="00E85215">
                  <w:rPr>
                    <w:rFonts w:cs="Arial"/>
                  </w:rPr>
                  <w:t>µ</w:t>
                </w:r>
                <w:r w:rsidR="00E85215">
                  <w:t>g/m</w:t>
                </w:r>
                <w:r w:rsidR="00E85215" w:rsidRPr="00001AAF">
                  <w:rPr>
                    <w:vertAlign w:val="superscript"/>
                  </w:rPr>
                  <w:t>3</w:t>
                </w:r>
                <w:r w:rsidR="000068CB">
                  <w:t>; STEL (15 mins):</w:t>
                </w:r>
                <w:r w:rsidR="00853D64">
                  <w:t xml:space="preserve"> 0.2 </w:t>
                </w:r>
                <w:r w:rsidR="00853D64">
                  <w:rPr>
                    <w:rFonts w:cs="Arial"/>
                  </w:rPr>
                  <w:t>µ</w:t>
                </w:r>
                <w:r w:rsidR="00853D64">
                  <w:t>g/m</w:t>
                </w:r>
                <w:r w:rsidR="00853D64" w:rsidRPr="00001AA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C86882C" w14:textId="77777777" w:rsidTr="003A0260">
        <w:trPr>
          <w:gridAfter w:val="1"/>
          <w:wAfter w:w="8" w:type="pct"/>
        </w:trPr>
        <w:tc>
          <w:tcPr>
            <w:tcW w:w="4992" w:type="pct"/>
          </w:tcPr>
          <w:p w14:paraId="6859D6B2" w14:textId="70ABB376" w:rsidR="00A16E75" w:rsidRDefault="00AA672E" w:rsidP="003365A5">
            <w:pPr>
              <w:pStyle w:val="Tabletextprimarysource"/>
            </w:pPr>
            <w:r>
              <w:t xml:space="preserve">TWA </w:t>
            </w:r>
            <w:r w:rsidR="0031055D">
              <w:t>and</w:t>
            </w:r>
            <w:r w:rsidR="00A16E75">
              <w:t xml:space="preserve"> </w:t>
            </w:r>
            <w:r w:rsidR="007B1D61">
              <w:t>STEL</w:t>
            </w:r>
            <w:r w:rsidR="0031055D">
              <w:t xml:space="preserve"> are recommended </w:t>
            </w:r>
            <w:r w:rsidR="00E92A16">
              <w:t xml:space="preserve">based on toxicity of </w:t>
            </w:r>
            <w:r w:rsidR="00975E59">
              <w:t>Be</w:t>
            </w:r>
            <w:r w:rsidR="00087F0D">
              <w:t xml:space="preserve"> </w:t>
            </w:r>
            <w:r w:rsidR="00AE57F1">
              <w:t>io</w:t>
            </w:r>
            <w:r w:rsidR="00E92A16">
              <w:t>n</w:t>
            </w:r>
            <w:r w:rsidR="00AE57F1">
              <w:t>.</w:t>
            </w:r>
            <w:r w:rsidR="00CA5E3E">
              <w:t xml:space="preserve"> </w:t>
            </w:r>
            <w:r w:rsidR="00E92A16">
              <w:t xml:space="preserve">Relevant critical effects are carcinogenicity, </w:t>
            </w:r>
            <w:r w:rsidR="00FB62C5">
              <w:t>b</w:t>
            </w:r>
            <w:r w:rsidR="0064621B">
              <w:t>eryllium sensitivity</w:t>
            </w:r>
            <w:r w:rsidR="00E92A16">
              <w:t xml:space="preserve"> and CBD.</w:t>
            </w:r>
          </w:p>
          <w:p w14:paraId="598E4A32" w14:textId="77777777" w:rsidR="000608D7" w:rsidRDefault="000608D7" w:rsidP="002C3B34">
            <w:pPr>
              <w:pStyle w:val="Tabletextprimarysource"/>
            </w:pPr>
          </w:p>
          <w:p w14:paraId="42C150B5" w14:textId="77777777" w:rsidR="002C3B34" w:rsidRDefault="002C3B34" w:rsidP="002C3B34">
            <w:pPr>
              <w:pStyle w:val="Tabletextprimarysource"/>
            </w:pPr>
            <w:r>
              <w:t>Summary of data:</w:t>
            </w:r>
          </w:p>
          <w:p w14:paraId="0D4202DA" w14:textId="78164712" w:rsidR="003C75B8" w:rsidRDefault="0064621B" w:rsidP="009E1028">
            <w:pPr>
              <w:pStyle w:val="ListBullet"/>
            </w:pPr>
            <w:r>
              <w:t>Beryllium sensitivity</w:t>
            </w:r>
            <w:r w:rsidR="003C75B8">
              <w:t xml:space="preserve"> reported at total dust concentration </w:t>
            </w:r>
            <w:r w:rsidR="003C75B8">
              <w:rPr>
                <w:rFonts w:cs="Arial"/>
              </w:rPr>
              <w:t>≈</w:t>
            </w:r>
            <w:r w:rsidR="003C75B8">
              <w:t xml:space="preserve">0.1 </w:t>
            </w:r>
            <w:r w:rsidR="003C75B8">
              <w:rPr>
                <w:rFonts w:cs="Arial"/>
              </w:rPr>
              <w:t>µ</w:t>
            </w:r>
            <w:r w:rsidR="003C75B8">
              <w:t>g/m</w:t>
            </w:r>
            <w:r w:rsidR="003C75B8" w:rsidRPr="00BD4331">
              <w:rPr>
                <w:vertAlign w:val="superscript"/>
              </w:rPr>
              <w:t>3</w:t>
            </w:r>
          </w:p>
          <w:p w14:paraId="38742988" w14:textId="0C5E07E3" w:rsidR="003C75B8" w:rsidRDefault="003C75B8" w:rsidP="009E1028">
            <w:pPr>
              <w:pStyle w:val="ListBullet"/>
            </w:pPr>
            <w:r>
              <w:t>NOAEC: 0.02 µg/m</w:t>
            </w:r>
            <w:r w:rsidRPr="00BD4331">
              <w:rPr>
                <w:vertAlign w:val="superscript"/>
              </w:rPr>
              <w:t>3</w:t>
            </w:r>
            <w:r>
              <w:t xml:space="preserve"> </w:t>
            </w:r>
            <w:r w:rsidR="000608D7">
              <w:t>(respirable</w:t>
            </w:r>
            <w:r>
              <w:t xml:space="preserve"> dust</w:t>
            </w:r>
            <w:r w:rsidR="000608D7">
              <w:t xml:space="preserve"> fraction</w:t>
            </w:r>
            <w:r>
              <w:t xml:space="preserve">) for </w:t>
            </w:r>
            <w:r w:rsidR="0064621B">
              <w:t>Beryllium sensitivity</w:t>
            </w:r>
            <w:r>
              <w:t xml:space="preserve"> and CBD derived from LTW median exposure (as ACGIH); supported by LOAEC of 0.04 </w:t>
            </w:r>
            <w:r w:rsidRPr="001F249A">
              <w:t>µg/m</w:t>
            </w:r>
            <w:r w:rsidRPr="00BD4331">
              <w:rPr>
                <w:vertAlign w:val="superscript"/>
              </w:rPr>
              <w:t>3</w:t>
            </w:r>
            <w:r>
              <w:t xml:space="preserve"> (respirable dust fraction)</w:t>
            </w:r>
          </w:p>
          <w:p w14:paraId="5B6A130E" w14:textId="5AA652B5" w:rsidR="000608D7" w:rsidRDefault="000608D7" w:rsidP="000608D7">
            <w:pPr>
              <w:pStyle w:val="ListBullet"/>
              <w:numPr>
                <w:ilvl w:val="0"/>
                <w:numId w:val="19"/>
              </w:numPr>
              <w:spacing w:before="0" w:after="80" w:line="276" w:lineRule="auto"/>
              <w:ind w:left="1429" w:hanging="357"/>
            </w:pPr>
            <w:r>
              <w:t>carcinogenic effects associated with higher concentrations (</w:t>
            </w:r>
            <w:r>
              <w:rPr>
                <w:rFonts w:cs="Arial"/>
              </w:rPr>
              <w:t>≥</w:t>
            </w:r>
            <w:r>
              <w:t xml:space="preserve">10 </w:t>
            </w:r>
            <w:r w:rsidRPr="001F249A">
              <w:rPr>
                <w:rFonts w:cs="Arial"/>
              </w:rPr>
              <w:t>µ</w:t>
            </w:r>
            <w:r w:rsidRPr="001F249A">
              <w:t>g/m</w:t>
            </w:r>
            <w:r w:rsidRPr="001F249A">
              <w:rPr>
                <w:vertAlign w:val="superscript"/>
              </w:rPr>
              <w:t>3</w:t>
            </w:r>
            <w:r>
              <w:t>); with no clear NOAEL for cancer effects identified</w:t>
            </w:r>
          </w:p>
          <w:p w14:paraId="0F69F953" w14:textId="77777777" w:rsidR="003C75B8" w:rsidRDefault="003C75B8" w:rsidP="009E1028">
            <w:pPr>
              <w:pStyle w:val="ListBullet"/>
            </w:pPr>
            <w:r>
              <w:t>Systemic effects considered a consequence of respiratory restrictive effects</w:t>
            </w:r>
          </w:p>
          <w:p w14:paraId="6F8E9494" w14:textId="77777777" w:rsidR="00AD43FA" w:rsidRDefault="00AD43FA" w:rsidP="009E1028">
            <w:pPr>
              <w:pStyle w:val="ListBullet"/>
            </w:pPr>
            <w:r>
              <w:t xml:space="preserve">Notation for sensitisation recommended for </w:t>
            </w:r>
            <w:r w:rsidR="00E80131">
              <w:t>both skin and respiratory tract</w:t>
            </w:r>
            <w:r w:rsidR="00E92A16">
              <w:t>; n</w:t>
            </w:r>
            <w:r w:rsidR="00E80131">
              <w:t>o skin notation</w:t>
            </w:r>
            <w:r w:rsidR="00E92A16">
              <w:t xml:space="preserve"> </w:t>
            </w:r>
            <w:r w:rsidR="00E80131">
              <w:t>recommended</w:t>
            </w:r>
          </w:p>
          <w:p w14:paraId="4BE6F125" w14:textId="77777777" w:rsidR="00A16E75" w:rsidRDefault="00A16E75" w:rsidP="009E1028">
            <w:pPr>
              <w:pStyle w:val="ListBullet"/>
            </w:pPr>
            <w:r>
              <w:t xml:space="preserve">Inconsistent genotoxic results </w:t>
            </w:r>
            <w:r w:rsidR="00E92A16">
              <w:t>for</w:t>
            </w:r>
            <w:r>
              <w:t xml:space="preserve"> soluble compounds in </w:t>
            </w:r>
            <w:r w:rsidR="00E92A16">
              <w:t xml:space="preserve">SCE, chromosomal aberrations </w:t>
            </w:r>
            <w:r>
              <w:t xml:space="preserve">and gene mutation in mammalian </w:t>
            </w:r>
            <w:r w:rsidRPr="007B1D61">
              <w:rPr>
                <w:i/>
              </w:rPr>
              <w:t>in vitro</w:t>
            </w:r>
            <w:r>
              <w:t xml:space="preserve"> studies</w:t>
            </w:r>
            <w:r w:rsidR="00E92A16">
              <w:t xml:space="preserve">; negative </w:t>
            </w:r>
            <w:r w:rsidR="00E92A16">
              <w:rPr>
                <w:i/>
              </w:rPr>
              <w:t xml:space="preserve">in vivo </w:t>
            </w:r>
            <w:r w:rsidR="00E92A16">
              <w:t xml:space="preserve">studies </w:t>
            </w:r>
          </w:p>
          <w:p w14:paraId="75BDEA2F" w14:textId="77777777" w:rsidR="00A16E75" w:rsidRDefault="007B1D61" w:rsidP="009E1028">
            <w:pPr>
              <w:pStyle w:val="ListBullet"/>
            </w:pPr>
            <w:r>
              <w:t xml:space="preserve">Carcinogenicity </w:t>
            </w:r>
            <w:r w:rsidR="00E92A16">
              <w:t xml:space="preserve">mode of action </w:t>
            </w:r>
            <w:r w:rsidR="00A16E75">
              <w:t xml:space="preserve">not </w:t>
            </w:r>
            <w:r w:rsidR="00E45495">
              <w:t>clearly identified</w:t>
            </w:r>
            <w:r w:rsidR="00E92A16">
              <w:t xml:space="preserve">; </w:t>
            </w:r>
            <w:r w:rsidR="008849F2">
              <w:t>appears</w:t>
            </w:r>
            <w:r w:rsidR="00A16E75">
              <w:t xml:space="preserve"> indirect</w:t>
            </w:r>
            <w:r w:rsidR="008849F2">
              <w:t>ly</w:t>
            </w:r>
            <w:r w:rsidR="00B75E3B">
              <w:t xml:space="preserve"> genotoxic</w:t>
            </w:r>
            <w:r w:rsidR="00A16E75">
              <w:t xml:space="preserve"> </w:t>
            </w:r>
            <w:r w:rsidR="008849F2">
              <w:t>with</w:t>
            </w:r>
            <w:r w:rsidR="00A16E75">
              <w:t xml:space="preserve"> cell transformation</w:t>
            </w:r>
          </w:p>
          <w:p w14:paraId="11CE13CC" w14:textId="539C138D" w:rsidR="00A16E75" w:rsidRDefault="003C75B8" w:rsidP="009E1028">
            <w:pPr>
              <w:pStyle w:val="ListBullet"/>
            </w:pPr>
            <w:r>
              <w:t>ABD reported after s</w:t>
            </w:r>
            <w:r w:rsidR="00A16E75">
              <w:t>ingle</w:t>
            </w:r>
            <w:r>
              <w:t>,</w:t>
            </w:r>
            <w:r w:rsidR="00A16E75">
              <w:t xml:space="preserve"> high doses (&gt;100 </w:t>
            </w:r>
            <w:r w:rsidR="00A16E75" w:rsidRPr="00A16E75">
              <w:t>µ</w:t>
            </w:r>
            <w:r w:rsidR="00A16E75">
              <w:t>g/m</w:t>
            </w:r>
            <w:r w:rsidR="00A16E75" w:rsidRPr="00A16E75">
              <w:rPr>
                <w:vertAlign w:val="superscript"/>
              </w:rPr>
              <w:t>3</w:t>
            </w:r>
            <w:r w:rsidR="00A16E75">
              <w:t xml:space="preserve">) with symptoms </w:t>
            </w:r>
            <w:r>
              <w:t xml:space="preserve">ranging from mild inflammation to </w:t>
            </w:r>
            <w:proofErr w:type="spellStart"/>
            <w:r w:rsidR="004C42EE">
              <w:t>tracheo</w:t>
            </w:r>
            <w:proofErr w:type="spellEnd"/>
            <w:r w:rsidR="00A16E75">
              <w:t>-bronchitis and severe pneumonitis</w:t>
            </w:r>
          </w:p>
          <w:p w14:paraId="29DA435D" w14:textId="3D3DEA60" w:rsidR="003C75B8" w:rsidRDefault="003C75B8" w:rsidP="009E1028">
            <w:pPr>
              <w:pStyle w:val="ListBullet"/>
            </w:pPr>
            <w:r>
              <w:t xml:space="preserve">STEL based on </w:t>
            </w:r>
            <w:r w:rsidR="00325742">
              <w:t>study of sensitive wo</w:t>
            </w:r>
            <w:r w:rsidR="00AE57F1">
              <w:t xml:space="preserve">rkers exposed to </w:t>
            </w:r>
            <w:r w:rsidR="007B1D61">
              <w:t>&gt;</w:t>
            </w:r>
            <w:r w:rsidR="00325742" w:rsidRPr="00A16E75">
              <w:t>0.2 µg/m</w:t>
            </w:r>
            <w:r w:rsidR="00325742" w:rsidRPr="00A16E75">
              <w:rPr>
                <w:vertAlign w:val="superscript"/>
              </w:rPr>
              <w:t>3</w:t>
            </w:r>
            <w:r>
              <w:rPr>
                <w:vertAlign w:val="superscript"/>
              </w:rPr>
              <w:t>.</w:t>
            </w:r>
            <w:r>
              <w:t>and possible correlation between high, short-term exposures with CBD</w:t>
            </w:r>
          </w:p>
          <w:p w14:paraId="355720DA" w14:textId="77777777" w:rsidR="00121CCC" w:rsidRDefault="003C75B8" w:rsidP="009E1028">
            <w:pPr>
              <w:pStyle w:val="ListBullet"/>
            </w:pPr>
            <w:r>
              <w:t>Limited studies available to support skin notation</w:t>
            </w:r>
            <w:r w:rsidR="00325742">
              <w:t>.</w:t>
            </w:r>
          </w:p>
          <w:p w14:paraId="6A940B68" w14:textId="77777777" w:rsidR="000608D7" w:rsidRPr="00DA352E" w:rsidRDefault="000608D7" w:rsidP="00BD4331">
            <w:pPr>
              <w:pStyle w:val="ListBullet"/>
              <w:numPr>
                <w:ilvl w:val="0"/>
                <w:numId w:val="0"/>
              </w:numPr>
              <w:spacing w:before="0" w:after="80" w:line="276" w:lineRule="auto"/>
              <w:ind w:left="360" w:hanging="360"/>
              <w:contextualSpacing w:val="0"/>
            </w:pPr>
          </w:p>
        </w:tc>
      </w:tr>
      <w:tr w:rsidR="00DA352E" w:rsidRPr="00DA352E" w14:paraId="3278D76E" w14:textId="77777777" w:rsidTr="003A02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022CF5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0068C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853D64">
                  <w:t>NA</w:t>
                </w:r>
                <w:proofErr w:type="spellEnd"/>
              </w:sdtContent>
            </w:sdt>
          </w:p>
        </w:tc>
      </w:tr>
      <w:tr w:rsidR="00DA352E" w:rsidRPr="00DA352E" w14:paraId="10357856" w14:textId="77777777" w:rsidTr="003A0260">
        <w:trPr>
          <w:gridAfter w:val="1"/>
          <w:wAfter w:w="8" w:type="pct"/>
        </w:trPr>
        <w:tc>
          <w:tcPr>
            <w:tcW w:w="4992" w:type="pct"/>
          </w:tcPr>
          <w:p w14:paraId="60ED71D9" w14:textId="77777777" w:rsidR="00DA352E" w:rsidRPr="00DA352E" w:rsidRDefault="000068CB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7E13FA70" w14:textId="77777777" w:rsidTr="003A02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E56414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0068C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853D64">
                  <w:t>NA</w:t>
                </w:r>
                <w:proofErr w:type="spellEnd"/>
              </w:sdtContent>
            </w:sdt>
          </w:p>
        </w:tc>
      </w:tr>
      <w:tr w:rsidR="00DA352E" w:rsidRPr="00DA352E" w14:paraId="25F7574C" w14:textId="77777777" w:rsidTr="003A0260">
        <w:trPr>
          <w:gridAfter w:val="1"/>
          <w:wAfter w:w="8" w:type="pct"/>
        </w:trPr>
        <w:tc>
          <w:tcPr>
            <w:tcW w:w="4992" w:type="pct"/>
          </w:tcPr>
          <w:p w14:paraId="5F7BA860" w14:textId="77777777" w:rsidR="00DA352E" w:rsidRPr="00DA352E" w:rsidRDefault="000068CB" w:rsidP="003365A5">
            <w:pPr>
              <w:pStyle w:val="Tabletextprimarysource"/>
            </w:pPr>
            <w:r>
              <w:t>No report</w:t>
            </w:r>
          </w:p>
        </w:tc>
      </w:tr>
    </w:tbl>
    <w:p w14:paraId="1CDCD215" w14:textId="77777777" w:rsidR="00A20751" w:rsidRPr="004C23F4" w:rsidRDefault="00A20751" w:rsidP="003365A5">
      <w:pPr>
        <w:pStyle w:val="Heading3"/>
      </w:pPr>
      <w:bookmarkStart w:id="1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0BFA946D" w14:textId="77777777" w:rsidTr="005E58E5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5E74307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A733D7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209AC9D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682FC73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9E8AD7D" w14:textId="77777777" w:rsidTr="005E58E5">
        <w:trPr>
          <w:cantSplit/>
        </w:trPr>
        <w:tc>
          <w:tcPr>
            <w:tcW w:w="1497" w:type="dxa"/>
          </w:tcPr>
          <w:p w14:paraId="271CCE59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7250161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C252A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1B29FF0" w14:textId="77777777" w:rsidR="004966BF" w:rsidRPr="004C23F4" w:rsidRDefault="00C252A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5" w:type="dxa"/>
          </w:tcPr>
          <w:p w14:paraId="3CAE686B" w14:textId="77777777" w:rsidR="00536343" w:rsidRPr="004C23F4" w:rsidRDefault="00803396" w:rsidP="001F249A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Listed</w:t>
            </w:r>
            <w:r w:rsidR="00536343" w:rsidRPr="00827827">
              <w:rPr>
                <w:rStyle w:val="checkbox"/>
                <w:rFonts w:ascii="Arial" w:hAnsi="Arial" w:cs="Arial"/>
              </w:rPr>
              <w:t xml:space="preserve"> in Schedule 10 (prohibited carcinogens, restricted carcinogens and restricted hazardous</w:t>
            </w:r>
            <w:r w:rsidR="00827827" w:rsidRPr="00827827">
              <w:rPr>
                <w:rStyle w:val="checkbox"/>
                <w:rFonts w:ascii="Arial" w:hAnsi="Arial" w:cs="Arial"/>
              </w:rPr>
              <w:t xml:space="preserve"> </w:t>
            </w:r>
            <w:r w:rsidR="00536343" w:rsidRPr="00827827">
              <w:rPr>
                <w:rStyle w:val="checkbox"/>
                <w:rFonts w:ascii="Arial" w:hAnsi="Arial" w:cs="Arial"/>
              </w:rPr>
              <w:t>chemicals)</w:t>
            </w:r>
            <w:r w:rsidR="000608D7">
              <w:rPr>
                <w:rStyle w:val="checkbox"/>
                <w:rFonts w:ascii="Arial" w:hAnsi="Arial" w:cs="Arial"/>
              </w:rPr>
              <w:t>;</w:t>
            </w:r>
            <w:r w:rsidR="00536343" w:rsidRPr="00827827">
              <w:rPr>
                <w:rStyle w:val="checkbox"/>
                <w:rFonts w:ascii="Arial" w:hAnsi="Arial" w:cs="Arial"/>
              </w:rPr>
              <w:t xml:space="preserve"> restricted use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536343" w:rsidRPr="00827827">
              <w:rPr>
                <w:rStyle w:val="checkbox"/>
                <w:rFonts w:ascii="Arial" w:hAnsi="Arial" w:cs="Arial"/>
              </w:rPr>
              <w:t>as</w:t>
            </w:r>
            <w:r w:rsidR="00827827" w:rsidRPr="00827827">
              <w:rPr>
                <w:rStyle w:val="checkbox"/>
                <w:rFonts w:ascii="Arial" w:hAnsi="Arial" w:cs="Arial"/>
              </w:rPr>
              <w:t xml:space="preserve"> </w:t>
            </w:r>
            <w:r w:rsidR="00536343" w:rsidRPr="00827827">
              <w:rPr>
                <w:rStyle w:val="checkbox"/>
                <w:rFonts w:ascii="Arial" w:hAnsi="Arial" w:cs="Arial"/>
              </w:rPr>
              <w:t>'for abrasive blasting at a concentration of greater than 0.1% as beryllium'</w:t>
            </w:r>
            <w:r w:rsidR="000608D7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0E7D9952" w14:textId="77777777" w:rsidTr="005E58E5">
        <w:trPr>
          <w:cantSplit/>
        </w:trPr>
        <w:tc>
          <w:tcPr>
            <w:tcW w:w="1497" w:type="dxa"/>
          </w:tcPr>
          <w:p w14:paraId="3E544C02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42F4BA06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C252A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1915517" w14:textId="77777777" w:rsidR="004966BF" w:rsidRPr="004C23F4" w:rsidRDefault="004F111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2012</w:t>
            </w:r>
          </w:p>
        </w:tc>
        <w:tc>
          <w:tcPr>
            <w:tcW w:w="6445" w:type="dxa"/>
          </w:tcPr>
          <w:p w14:paraId="7F7A362F" w14:textId="77777777" w:rsidR="00536343" w:rsidRPr="004C23F4" w:rsidRDefault="004F1119" w:rsidP="00E56930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Sufficient evidence in humans for the carcinogenicity of </w:t>
            </w:r>
            <w:r w:rsidR="00E56930">
              <w:rPr>
                <w:rStyle w:val="checkbox"/>
                <w:rFonts w:ascii="Arial" w:hAnsi="Arial" w:cs="Arial"/>
              </w:rPr>
              <w:t>causing cancer in the lung – Be and compounds</w:t>
            </w:r>
            <w:r w:rsidR="000608D7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C544EFC" w14:textId="77777777" w:rsidTr="005E58E5">
        <w:trPr>
          <w:cantSplit/>
        </w:trPr>
        <w:tc>
          <w:tcPr>
            <w:tcW w:w="1497" w:type="dxa"/>
          </w:tcPr>
          <w:p w14:paraId="036F962A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6AE085A6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4F111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2741A94" w14:textId="77777777" w:rsidR="004966BF" w:rsidRPr="004C23F4" w:rsidRDefault="004F111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1999</w:t>
            </w:r>
          </w:p>
        </w:tc>
        <w:tc>
          <w:tcPr>
            <w:tcW w:w="6445" w:type="dxa"/>
          </w:tcPr>
          <w:p w14:paraId="7B2C818B" w14:textId="77777777" w:rsidR="004966BF" w:rsidRDefault="00325742" w:rsidP="00E56930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Sufficient evidence of </w:t>
            </w:r>
            <w:r w:rsidR="00E56930">
              <w:rPr>
                <w:rStyle w:val="checkbox"/>
                <w:rFonts w:ascii="Arial" w:hAnsi="Arial" w:cs="Arial"/>
              </w:rPr>
              <w:t>Be and</w:t>
            </w:r>
            <w:r>
              <w:rPr>
                <w:rStyle w:val="checkbox"/>
                <w:rFonts w:ascii="Arial" w:hAnsi="Arial" w:cs="Arial"/>
              </w:rPr>
              <w:t xml:space="preserve"> comp</w:t>
            </w:r>
            <w:r w:rsidR="00E56930">
              <w:rPr>
                <w:rStyle w:val="checkbox"/>
                <w:rFonts w:ascii="Arial" w:hAnsi="Arial" w:cs="Arial"/>
              </w:rPr>
              <w:t>ounds causing cancer in humans</w:t>
            </w:r>
          </w:p>
          <w:p w14:paraId="7572B345" w14:textId="77777777" w:rsidR="001C743B" w:rsidRPr="004C23F4" w:rsidRDefault="00E56930" w:rsidP="00E56930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Highest exposures</w:t>
            </w:r>
            <w:r w:rsidR="00325742">
              <w:rPr>
                <w:rStyle w:val="checkbox"/>
                <w:rFonts w:ascii="Arial" w:hAnsi="Arial" w:cs="Arial"/>
              </w:rPr>
              <w:t xml:space="preserve"> are through occupational exposures of inhalable dust </w:t>
            </w:r>
            <w:r>
              <w:rPr>
                <w:rStyle w:val="checkbox"/>
                <w:rFonts w:ascii="Arial" w:hAnsi="Arial" w:cs="Arial"/>
              </w:rPr>
              <w:t>or dermal contact with products</w:t>
            </w:r>
            <w:r w:rsidR="00AA672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9BB6D56" w14:textId="77777777" w:rsidTr="005E58E5">
        <w:trPr>
          <w:cantSplit/>
        </w:trPr>
        <w:tc>
          <w:tcPr>
            <w:tcW w:w="1497" w:type="dxa"/>
          </w:tcPr>
          <w:p w14:paraId="5966E93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5C0D0039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610AD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9CE7B79" w14:textId="77777777" w:rsidR="004966BF" w:rsidRPr="004C23F4" w:rsidRDefault="00610AD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1998</w:t>
            </w:r>
          </w:p>
        </w:tc>
        <w:tc>
          <w:tcPr>
            <w:tcW w:w="6445" w:type="dxa"/>
          </w:tcPr>
          <w:p w14:paraId="0163B8F6" w14:textId="77777777" w:rsidR="004966BF" w:rsidRPr="004C23F4" w:rsidRDefault="00610ADF" w:rsidP="00E56930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>No additional data</w:t>
            </w:r>
            <w:r w:rsidR="00E56930">
              <w:t>.</w:t>
            </w:r>
          </w:p>
        </w:tc>
      </w:tr>
    </w:tbl>
    <w:bookmarkEnd w:id="1"/>
    <w:p w14:paraId="565E706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6"/>
        <w:gridCol w:w="2430"/>
      </w:tblGrid>
      <w:tr w:rsidR="002E0D61" w14:paraId="164B9275" w14:textId="77777777" w:rsidTr="00F877BD">
        <w:trPr>
          <w:trHeight w:val="454"/>
          <w:tblHeader/>
        </w:trPr>
        <w:tc>
          <w:tcPr>
            <w:tcW w:w="3654" w:type="pct"/>
            <w:vAlign w:val="center"/>
          </w:tcPr>
          <w:p w14:paraId="000A336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1346" w:type="pct"/>
                <w:vAlign w:val="center"/>
              </w:tcPr>
              <w:p w14:paraId="2261A033" w14:textId="77777777" w:rsidR="002E0D61" w:rsidRDefault="002652F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2843B4D" w14:textId="77777777" w:rsidTr="00F877BD">
        <w:trPr>
          <w:trHeight w:val="454"/>
        </w:trPr>
        <w:tc>
          <w:tcPr>
            <w:tcW w:w="3654" w:type="pct"/>
            <w:vAlign w:val="center"/>
          </w:tcPr>
          <w:p w14:paraId="6C3E500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1346" w:type="pct"/>
                <w:vAlign w:val="center"/>
              </w:tcPr>
              <w:p w14:paraId="2D90AE87" w14:textId="77777777" w:rsidR="008A36CF" w:rsidRDefault="002652F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0608D7" w14:paraId="4A642910" w14:textId="77777777" w:rsidTr="000608D7">
        <w:trPr>
          <w:trHeight w:val="454"/>
        </w:trPr>
        <w:sdt>
          <w:sdtPr>
            <w:rPr>
              <w:b/>
            </w:rPr>
            <w:id w:val="1830936485"/>
            <w:placeholder>
              <w:docPart w:val="F07CE4B970CA46B8AFA7C7825F3D437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5000" w:type="pct"/>
                <w:gridSpan w:val="2"/>
                <w:vAlign w:val="center"/>
              </w:tcPr>
              <w:p w14:paraId="45E3ACAC" w14:textId="77777777" w:rsidR="000608D7" w:rsidRDefault="000608D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2"/>
    <w:p w14:paraId="7F8817D6" w14:textId="77777777" w:rsidR="00687890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19"/>
        <w:gridCol w:w="5907"/>
      </w:tblGrid>
      <w:tr w:rsidR="00687890" w:rsidRPr="004C23F4" w14:paraId="0626B810" w14:textId="77777777" w:rsidTr="00824428">
        <w:trPr>
          <w:cantSplit/>
          <w:tblHeader/>
        </w:trPr>
        <w:tc>
          <w:tcPr>
            <w:tcW w:w="3119" w:type="dxa"/>
            <w:shd w:val="clear" w:color="auto" w:fill="BFBFBF" w:themeFill="background1" w:themeFillShade="BF"/>
            <w:vAlign w:val="center"/>
          </w:tcPr>
          <w:p w14:paraId="23076275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5907" w:type="dxa"/>
            <w:shd w:val="clear" w:color="auto" w:fill="BFBFBF" w:themeFill="background1" w:themeFillShade="BF"/>
            <w:vAlign w:val="center"/>
          </w:tcPr>
          <w:p w14:paraId="6D58E3C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8FA9D4C" w14:textId="77777777" w:rsidTr="00824428">
        <w:trPr>
          <w:cantSplit/>
        </w:trPr>
        <w:tc>
          <w:tcPr>
            <w:tcW w:w="3119" w:type="dxa"/>
          </w:tcPr>
          <w:p w14:paraId="166FF9F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907" w:type="dxa"/>
          </w:tcPr>
          <w:p w14:paraId="60D5E68D" w14:textId="77777777" w:rsidR="00687890" w:rsidRPr="00DD2F9B" w:rsidRDefault="00081887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70D2FFA8" w14:textId="77777777" w:rsidTr="00824428">
        <w:trPr>
          <w:cantSplit/>
        </w:trPr>
        <w:tc>
          <w:tcPr>
            <w:tcW w:w="3119" w:type="dxa"/>
          </w:tcPr>
          <w:p w14:paraId="1171199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5907" w:type="dxa"/>
          </w:tcPr>
          <w:p w14:paraId="3AEEA8EA" w14:textId="77777777" w:rsidR="007925F0" w:rsidRPr="00DD2F9B" w:rsidRDefault="00890703" w:rsidP="0059251E">
            <w:pPr>
              <w:pStyle w:val="Tablefont"/>
            </w:pPr>
            <w:r>
              <w:t>Carcinogenicity – category 1B</w:t>
            </w:r>
            <w:r w:rsidR="00824428">
              <w:t xml:space="preserve">; </w:t>
            </w:r>
            <w:r w:rsidR="00974AB3" w:rsidRPr="00974AB3">
              <w:t>Skin sensitisation – category 1</w:t>
            </w:r>
          </w:p>
        </w:tc>
      </w:tr>
      <w:tr w:rsidR="00AF483F" w:rsidRPr="004C23F4" w14:paraId="60DCF461" w14:textId="77777777" w:rsidTr="00824428">
        <w:trPr>
          <w:cantSplit/>
        </w:trPr>
        <w:tc>
          <w:tcPr>
            <w:tcW w:w="3119" w:type="dxa"/>
          </w:tcPr>
          <w:p w14:paraId="69A6CA6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5907" w:type="dxa"/>
          </w:tcPr>
          <w:p w14:paraId="3EAF29A2" w14:textId="77777777" w:rsidR="00AF483F" w:rsidRPr="00DD2F9B" w:rsidRDefault="00E56930">
            <w:pPr>
              <w:pStyle w:val="Tablefont"/>
            </w:pPr>
            <w:r>
              <w:t>Carc</w:t>
            </w:r>
            <w:r w:rsidR="00081887">
              <w:t>inogenicity –</w:t>
            </w:r>
            <w:r>
              <w:t xml:space="preserve"> </w:t>
            </w:r>
            <w:r w:rsidR="00081887">
              <w:t>c</w:t>
            </w:r>
            <w:r w:rsidR="00974AB3">
              <w:t>at</w:t>
            </w:r>
            <w:r w:rsidR="00081887">
              <w:t>egory</w:t>
            </w:r>
            <w:r w:rsidR="00974AB3">
              <w:t xml:space="preserve"> </w:t>
            </w:r>
            <w:r>
              <w:t>1B</w:t>
            </w:r>
            <w:r w:rsidR="00824428">
              <w:t xml:space="preserve">; </w:t>
            </w:r>
            <w:r w:rsidR="00EC68C0" w:rsidRPr="00974AB3">
              <w:t>Skin sensitisation – category 1</w:t>
            </w:r>
          </w:p>
        </w:tc>
      </w:tr>
      <w:tr w:rsidR="00687890" w:rsidRPr="004C23F4" w14:paraId="69F74137" w14:textId="77777777" w:rsidTr="00824428">
        <w:trPr>
          <w:cantSplit/>
        </w:trPr>
        <w:tc>
          <w:tcPr>
            <w:tcW w:w="3119" w:type="dxa"/>
          </w:tcPr>
          <w:p w14:paraId="179826D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5907" w:type="dxa"/>
          </w:tcPr>
          <w:p w14:paraId="4317251A" w14:textId="77777777" w:rsidR="00687890" w:rsidRPr="00DD2F9B" w:rsidRDefault="00632E56">
            <w:r>
              <w:t>Carcinogenicity – category 1B</w:t>
            </w:r>
            <w:r w:rsidR="00824428">
              <w:t xml:space="preserve">; </w:t>
            </w:r>
            <w:r>
              <w:t>Skin sensitisation – category 1</w:t>
            </w:r>
          </w:p>
        </w:tc>
      </w:tr>
      <w:tr w:rsidR="00E41A26" w:rsidRPr="004C23F4" w14:paraId="274402DA" w14:textId="77777777" w:rsidTr="00824428">
        <w:trPr>
          <w:cantSplit/>
        </w:trPr>
        <w:tc>
          <w:tcPr>
            <w:tcW w:w="3119" w:type="dxa"/>
          </w:tcPr>
          <w:p w14:paraId="4D8DD4F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5907" w:type="dxa"/>
          </w:tcPr>
          <w:p w14:paraId="552FD67B" w14:textId="77777777" w:rsidR="00E41A26" w:rsidRPr="00DD2F9B" w:rsidRDefault="00632E56" w:rsidP="00E80131">
            <w:r>
              <w:t>Carcinogenicity – category 1B</w:t>
            </w:r>
          </w:p>
        </w:tc>
      </w:tr>
      <w:tr w:rsidR="002E0D61" w:rsidRPr="004C23F4" w14:paraId="4670B248" w14:textId="77777777" w:rsidTr="00824428">
        <w:trPr>
          <w:cantSplit/>
        </w:trPr>
        <w:tc>
          <w:tcPr>
            <w:tcW w:w="3119" w:type="dxa"/>
          </w:tcPr>
          <w:p w14:paraId="772E3AA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5907" w:type="dxa"/>
          </w:tcPr>
          <w:p w14:paraId="438E5571" w14:textId="77777777" w:rsidR="008E0F30" w:rsidRPr="00DD2F9B" w:rsidRDefault="008E0F30">
            <w:pPr>
              <w:pStyle w:val="Tablefont"/>
            </w:pPr>
            <w:r>
              <w:t>Carcinogenicity – A1</w:t>
            </w:r>
            <w:r w:rsidR="00975E59">
              <w:t>;</w:t>
            </w:r>
            <w:r w:rsidR="002C3B34">
              <w:t xml:space="preserve"> </w:t>
            </w:r>
            <w:r>
              <w:t>DSEN</w:t>
            </w:r>
            <w:r w:rsidR="00975E59">
              <w:t>;</w:t>
            </w:r>
            <w:r w:rsidR="002C3B34">
              <w:t xml:space="preserve"> </w:t>
            </w:r>
            <w:r>
              <w:t>RSEN</w:t>
            </w:r>
          </w:p>
        </w:tc>
      </w:tr>
      <w:tr w:rsidR="002E0D61" w:rsidRPr="004C23F4" w14:paraId="6369C3D6" w14:textId="77777777" w:rsidTr="00824428">
        <w:trPr>
          <w:cantSplit/>
        </w:trPr>
        <w:tc>
          <w:tcPr>
            <w:tcW w:w="3119" w:type="dxa"/>
          </w:tcPr>
          <w:p w14:paraId="6C74530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5907" w:type="dxa"/>
          </w:tcPr>
          <w:p w14:paraId="45A198A5" w14:textId="77777777" w:rsidR="0052720C" w:rsidRPr="00DD2F9B" w:rsidRDefault="0052720C">
            <w:pPr>
              <w:pStyle w:val="Tablefont"/>
            </w:pPr>
            <w:r>
              <w:t xml:space="preserve">Carcinogenicity </w:t>
            </w:r>
            <w:r w:rsidR="00824428">
              <w:t xml:space="preserve">– 1; </w:t>
            </w:r>
            <w:r w:rsidR="00622205">
              <w:t>S</w:t>
            </w:r>
            <w:r w:rsidR="0009410C">
              <w:t>a</w:t>
            </w:r>
            <w:r w:rsidR="00DA0579">
              <w:t>h</w:t>
            </w:r>
            <w:r w:rsidR="00AE57F1">
              <w:t xml:space="preserve"> (dermal sensitiser</w:t>
            </w:r>
            <w:r w:rsidR="0009410C">
              <w:t xml:space="preserve">; </w:t>
            </w:r>
            <w:r w:rsidR="00AE57F1">
              <w:t>respiratory sensitiser</w:t>
            </w:r>
            <w:r w:rsidR="00622205">
              <w:t>)</w:t>
            </w:r>
          </w:p>
        </w:tc>
      </w:tr>
      <w:tr w:rsidR="002E0D61" w:rsidRPr="004C23F4" w14:paraId="66B14116" w14:textId="77777777" w:rsidTr="00824428">
        <w:trPr>
          <w:cantSplit/>
        </w:trPr>
        <w:tc>
          <w:tcPr>
            <w:tcW w:w="3119" w:type="dxa"/>
          </w:tcPr>
          <w:p w14:paraId="6B8AD70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5907" w:type="dxa"/>
          </w:tcPr>
          <w:p w14:paraId="48685C7F" w14:textId="77777777" w:rsidR="005A7559" w:rsidRPr="00DD2F9B" w:rsidRDefault="005A7559">
            <w:pPr>
              <w:pStyle w:val="Tablefont"/>
            </w:pPr>
            <w:r w:rsidRPr="005A7559">
              <w:t xml:space="preserve">Carcinogenicity </w:t>
            </w:r>
            <w:r>
              <w:t>–</w:t>
            </w:r>
            <w:r w:rsidRPr="005A7559">
              <w:t xml:space="preserve"> C</w:t>
            </w:r>
            <w:r w:rsidR="00824428">
              <w:t xml:space="preserve">; </w:t>
            </w:r>
            <w:r>
              <w:t>Sensitisation (dermal)</w:t>
            </w:r>
            <w:r w:rsidR="00824428">
              <w:t xml:space="preserve">; </w:t>
            </w:r>
            <w:r>
              <w:t>Sensitisation (respiratory)</w:t>
            </w:r>
          </w:p>
        </w:tc>
      </w:tr>
      <w:tr w:rsidR="002E0D61" w:rsidRPr="004C23F4" w14:paraId="22572E9C" w14:textId="77777777" w:rsidTr="00824428">
        <w:trPr>
          <w:cantSplit/>
        </w:trPr>
        <w:tc>
          <w:tcPr>
            <w:tcW w:w="3119" w:type="dxa"/>
          </w:tcPr>
          <w:p w14:paraId="391AD7B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5907" w:type="dxa"/>
          </w:tcPr>
          <w:p w14:paraId="55D332F8" w14:textId="77777777" w:rsidR="002E0D61" w:rsidRPr="00DD2F9B" w:rsidRDefault="00081887" w:rsidP="00632E56">
            <w:pPr>
              <w:pStyle w:val="Tablefont"/>
            </w:pPr>
            <w:r>
              <w:t>—</w:t>
            </w:r>
          </w:p>
        </w:tc>
      </w:tr>
      <w:tr w:rsidR="00386093" w:rsidRPr="004C23F4" w14:paraId="4B6FAB18" w14:textId="77777777" w:rsidTr="00824428">
        <w:trPr>
          <w:cantSplit/>
        </w:trPr>
        <w:tc>
          <w:tcPr>
            <w:tcW w:w="3119" w:type="dxa"/>
          </w:tcPr>
          <w:p w14:paraId="05A3DA5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5907" w:type="dxa"/>
          </w:tcPr>
          <w:p w14:paraId="79FBC98A" w14:textId="77777777" w:rsidR="00386093" w:rsidRPr="00DD2F9B" w:rsidRDefault="00EC68C0" w:rsidP="00DD2F9B">
            <w:pPr>
              <w:pStyle w:val="Tablefont"/>
            </w:pPr>
            <w:r w:rsidRPr="00EC68C0">
              <w:t>Carcinogenicity – Group 1</w:t>
            </w:r>
          </w:p>
        </w:tc>
      </w:tr>
      <w:tr w:rsidR="00386093" w:rsidRPr="004C23F4" w14:paraId="6ED4DFDD" w14:textId="77777777" w:rsidTr="00824428">
        <w:trPr>
          <w:cantSplit/>
        </w:trPr>
        <w:tc>
          <w:tcPr>
            <w:tcW w:w="3119" w:type="dxa"/>
          </w:tcPr>
          <w:p w14:paraId="16038A3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5907" w:type="dxa"/>
          </w:tcPr>
          <w:p w14:paraId="20DA394C" w14:textId="77777777" w:rsidR="00386093" w:rsidRPr="00DD2F9B" w:rsidRDefault="00081887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3"/>
    <w:p w14:paraId="779D178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09C3B6E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A5993BB" w14:textId="77777777" w:rsidTr="004F23C7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4A0DD6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D995B70" w14:textId="77777777" w:rsidTr="004F23C7">
        <w:trPr>
          <w:cantSplit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192"/>
              <w:gridCol w:w="3530"/>
              <w:gridCol w:w="744"/>
              <w:gridCol w:w="768"/>
              <w:gridCol w:w="2576"/>
            </w:tblGrid>
            <w:tr w:rsidR="001F249A" w:rsidRPr="001F249A" w14:paraId="0DB78DE5" w14:textId="77777777" w:rsidTr="001F249A">
              <w:trPr>
                <w:trHeight w:val="264"/>
              </w:trPr>
              <w:tc>
                <w:tcPr>
                  <w:tcW w:w="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8516F8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180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CEFE1C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F76618" w14:textId="77777777" w:rsidR="001F249A" w:rsidRPr="001F249A" w:rsidRDefault="001F249A" w:rsidP="001F24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146C2E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86E2CC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F249A" w:rsidRPr="001F249A" w14:paraId="0817CA4D" w14:textId="77777777" w:rsidTr="001F249A">
              <w:trPr>
                <w:trHeight w:val="342"/>
              </w:trPr>
              <w:tc>
                <w:tcPr>
                  <w:tcW w:w="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CB3F51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48D7F2" w14:textId="77777777" w:rsidR="001F249A" w:rsidRPr="001F249A" w:rsidRDefault="001F249A" w:rsidP="001F24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29150BC" w14:textId="77777777" w:rsidR="001F249A" w:rsidRPr="001F249A" w:rsidRDefault="001F249A" w:rsidP="001F24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D2EC79" w14:textId="77777777" w:rsidR="001F249A" w:rsidRPr="001F249A" w:rsidRDefault="001F249A" w:rsidP="001F24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2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C6D64B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F249A" w:rsidRPr="001F249A" w14:paraId="540D8106" w14:textId="77777777" w:rsidTr="001F249A">
              <w:trPr>
                <w:trHeight w:val="342"/>
              </w:trPr>
              <w:tc>
                <w:tcPr>
                  <w:tcW w:w="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B8914A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AA88E5" w14:textId="77777777" w:rsidR="001F249A" w:rsidRPr="001F249A" w:rsidRDefault="001F249A" w:rsidP="001F24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5277D4" w14:textId="77777777" w:rsidR="001F249A" w:rsidRPr="001F249A" w:rsidRDefault="001F249A" w:rsidP="001F24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CBFA86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56BFEC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F249A" w:rsidRPr="001F249A" w14:paraId="6E79B2EE" w14:textId="77777777" w:rsidTr="001F249A">
              <w:trPr>
                <w:trHeight w:val="342"/>
              </w:trPr>
              <w:tc>
                <w:tcPr>
                  <w:tcW w:w="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1B972D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836494" w14:textId="77777777" w:rsidR="001F249A" w:rsidRPr="001F249A" w:rsidRDefault="001F249A" w:rsidP="001F24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B64355" w14:textId="77777777" w:rsidR="001F249A" w:rsidRPr="001F249A" w:rsidRDefault="001F249A" w:rsidP="001F24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41C4E2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2AE401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F249A" w:rsidRPr="001F249A" w14:paraId="366B6B7C" w14:textId="77777777" w:rsidTr="001F249A">
              <w:trPr>
                <w:trHeight w:val="342"/>
              </w:trPr>
              <w:tc>
                <w:tcPr>
                  <w:tcW w:w="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D259FC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D2E666" w14:textId="77777777" w:rsidR="001F249A" w:rsidRPr="001F249A" w:rsidRDefault="001F249A" w:rsidP="001F24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DDA654" w14:textId="77777777" w:rsidR="001F249A" w:rsidRPr="001F249A" w:rsidRDefault="001F249A" w:rsidP="001F24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42C519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902F18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F249A" w:rsidRPr="001F249A" w14:paraId="44542ECE" w14:textId="77777777" w:rsidTr="001F249A">
              <w:trPr>
                <w:trHeight w:val="342"/>
              </w:trPr>
              <w:tc>
                <w:tcPr>
                  <w:tcW w:w="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073DA0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D416A9" w14:textId="77777777" w:rsidR="001F249A" w:rsidRPr="001F249A" w:rsidRDefault="001F249A" w:rsidP="001F24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76550B" w14:textId="77777777" w:rsidR="001F249A" w:rsidRPr="001F249A" w:rsidRDefault="001F249A" w:rsidP="001F24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A96662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C979D8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F249A" w:rsidRPr="001F249A" w14:paraId="5BD1F840" w14:textId="77777777" w:rsidTr="001F249A">
              <w:trPr>
                <w:trHeight w:val="342"/>
              </w:trPr>
              <w:tc>
                <w:tcPr>
                  <w:tcW w:w="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947EC8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D0B8B8" w14:textId="77777777" w:rsidR="001F249A" w:rsidRPr="001F249A" w:rsidRDefault="001F249A" w:rsidP="001F24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4B1A46" w14:textId="77777777" w:rsidR="001F249A" w:rsidRPr="001F249A" w:rsidRDefault="001F249A" w:rsidP="001F24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3BC873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858F29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F249A" w:rsidRPr="001F249A" w14:paraId="60BC1AEF" w14:textId="77777777" w:rsidTr="001F249A">
              <w:trPr>
                <w:trHeight w:val="342"/>
              </w:trPr>
              <w:tc>
                <w:tcPr>
                  <w:tcW w:w="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2D9FB8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5521F8" w14:textId="77777777" w:rsidR="001F249A" w:rsidRPr="001F249A" w:rsidRDefault="001F249A" w:rsidP="001F24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0515E9" w14:textId="77777777" w:rsidR="001F249A" w:rsidRPr="001F249A" w:rsidRDefault="001F249A" w:rsidP="001F24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267E5D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CA6CC9" w14:textId="77777777" w:rsidR="001F249A" w:rsidRPr="001F249A" w:rsidRDefault="001F249A" w:rsidP="001F249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249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B621A5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2F55BDB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1F4101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75CE4C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11C1C6CB" w14:textId="77777777" w:rsidR="00EB3D1B" w:rsidRDefault="00803396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B19507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2"/>
        <w:gridCol w:w="5034"/>
      </w:tblGrid>
      <w:tr w:rsidR="001B79E5" w:rsidRPr="004C23F4" w14:paraId="51650141" w14:textId="77777777" w:rsidTr="004F23C7">
        <w:trPr>
          <w:cantSplit/>
          <w:tblHeader/>
        </w:trPr>
        <w:tc>
          <w:tcPr>
            <w:tcW w:w="4077" w:type="dxa"/>
            <w:vAlign w:val="center"/>
          </w:tcPr>
          <w:p w14:paraId="3530BB7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2994ED6C" w14:textId="77777777" w:rsidR="001B79E5" w:rsidRDefault="00C844FC" w:rsidP="001B79E5">
                <w:pPr>
                  <w:pStyle w:val="Tablefont"/>
                </w:pPr>
                <w:r>
                  <w:t>9.01</w:t>
                </w:r>
                <w:r w:rsidR="00A16BEB">
                  <w:t xml:space="preserve"> (elemental) </w:t>
                </w:r>
              </w:p>
            </w:tc>
          </w:sdtContent>
        </w:sdt>
      </w:tr>
      <w:tr w:rsidR="00A31D99" w:rsidRPr="004C23F4" w14:paraId="44DD8529" w14:textId="77777777" w:rsidTr="00D14B47">
        <w:trPr>
          <w:cantSplit/>
        </w:trPr>
        <w:tc>
          <w:tcPr>
            <w:tcW w:w="4077" w:type="dxa"/>
            <w:vAlign w:val="center"/>
          </w:tcPr>
          <w:p w14:paraId="2AEDFD3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71828A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CC10874" w14:textId="77777777" w:rsidTr="00D14B47">
        <w:trPr>
          <w:cantSplit/>
        </w:trPr>
        <w:tc>
          <w:tcPr>
            <w:tcW w:w="4077" w:type="dxa"/>
            <w:vAlign w:val="center"/>
          </w:tcPr>
          <w:p w14:paraId="014A499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9F5FB9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DF4E5F9" w14:textId="77777777" w:rsidTr="00D14B47">
        <w:trPr>
          <w:cantSplit/>
        </w:trPr>
        <w:tc>
          <w:tcPr>
            <w:tcW w:w="4077" w:type="dxa"/>
            <w:vAlign w:val="center"/>
          </w:tcPr>
          <w:p w14:paraId="646E052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BC84B1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72EE821" w14:textId="77777777" w:rsidTr="00D14B47">
        <w:trPr>
          <w:cantSplit/>
        </w:trPr>
        <w:tc>
          <w:tcPr>
            <w:tcW w:w="4077" w:type="dxa"/>
            <w:vAlign w:val="center"/>
          </w:tcPr>
          <w:p w14:paraId="37278C2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338700A" w14:textId="77777777" w:rsidR="00687890" w:rsidRPr="004C23F4" w:rsidRDefault="00E85215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1C050108" w14:textId="77777777" w:rsidTr="00D14B47">
        <w:trPr>
          <w:cantSplit/>
        </w:trPr>
        <w:tc>
          <w:tcPr>
            <w:tcW w:w="4077" w:type="dxa"/>
            <w:vAlign w:val="center"/>
          </w:tcPr>
          <w:p w14:paraId="4D8C122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1A2578A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9E4DD3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9E4DD3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E85215">
                  <w:sym w:font="Wingdings" w:char="F0FC"/>
                </w:r>
              </w:sdtContent>
            </w:sdt>
            <w:r w:rsidR="00E06F40" w:rsidRPr="00A006A0">
              <w:t xml:space="preserve"> SCOEL</w:t>
            </w:r>
          </w:p>
        </w:tc>
      </w:tr>
    </w:tbl>
    <w:p w14:paraId="070556B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A9AF0E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2DC76E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ECA869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A3634F1" w14:textId="77777777" w:rsidTr="00F053FA">
        <w:trPr>
          <w:tblHeader/>
        </w:trPr>
        <w:sdt>
          <w:sdtPr>
            <w:id w:val="-25557549"/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7518ACC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EA9267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1C99EFD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89319B1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4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E4D8E8B" w14:textId="77777777" w:rsidR="00E903B1" w:rsidRDefault="005D1502" w:rsidP="005D1502">
      <w:pPr>
        <w:autoSpaceDE w:val="0"/>
        <w:autoSpaceDN w:val="0"/>
        <w:adjustRightInd w:val="0"/>
        <w:spacing w:after="0" w:line="240" w:lineRule="auto"/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(2005) Beryllium and its inorganic compounds – </w:t>
      </w:r>
      <w:r w:rsidR="005A7559">
        <w:t>BAT</w:t>
      </w:r>
      <w:r>
        <w:t xml:space="preserve"> value documentation.</w:t>
      </w:r>
    </w:p>
    <w:p w14:paraId="20622BE9" w14:textId="77777777" w:rsidR="003C7E66" w:rsidRDefault="003C7E66" w:rsidP="005D150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</w:p>
    <w:p w14:paraId="713B5312" w14:textId="77777777" w:rsidR="005A7559" w:rsidRDefault="005A7559" w:rsidP="005A7559">
      <w:pPr>
        <w:autoSpaceDE w:val="0"/>
        <w:autoSpaceDN w:val="0"/>
        <w:adjustRightInd w:val="0"/>
        <w:spacing w:after="0" w:line="240" w:lineRule="auto"/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(2005) Beryllium and its inorganic compounds – MAK value documentation.</w:t>
      </w:r>
    </w:p>
    <w:p w14:paraId="0BEEDA0B" w14:textId="77777777" w:rsidR="005A7559" w:rsidRDefault="005A7559" w:rsidP="005D150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</w:p>
    <w:p w14:paraId="652F9F40" w14:textId="77777777" w:rsidR="00381823" w:rsidRPr="00381823" w:rsidRDefault="00E85215" w:rsidP="005D1502">
      <w:pPr>
        <w:autoSpaceDE w:val="0"/>
        <w:autoSpaceDN w:val="0"/>
        <w:adjustRightInd w:val="0"/>
        <w:spacing w:after="0" w:line="240" w:lineRule="auto"/>
      </w:pPr>
      <w:r w:rsidRPr="002022B6">
        <w:t>EU Scientific Committee on Occupational Exposure Limits (SCOEL)</w:t>
      </w:r>
      <w:r>
        <w:t xml:space="preserve"> (2017) Recommendation from the Scientific Committee on Occupational Exposure Limits for Beryllium and Inorganic Beryllium Compounds. SCOEL/REC/175.</w:t>
      </w:r>
    </w:p>
    <w:p w14:paraId="6EFD507C" w14:textId="77777777" w:rsidR="00381823" w:rsidRDefault="00381823" w:rsidP="005D150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9"/>
          <w:szCs w:val="19"/>
        </w:rPr>
      </w:pPr>
    </w:p>
    <w:p w14:paraId="11C65938" w14:textId="57EA6C45" w:rsidR="005D1502" w:rsidRDefault="000C3CE2" w:rsidP="00E903B1">
      <w:r w:rsidRPr="00254047">
        <w:rPr>
          <w:rFonts w:cs="Arial"/>
          <w:szCs w:val="20"/>
        </w:rPr>
        <w:lastRenderedPageBreak/>
        <w:t xml:space="preserve">European Chemicals Agency (ECHA) (2014) Beryllium – REACH assessment. </w:t>
      </w:r>
      <w:r w:rsidR="003C7E66" w:rsidRPr="002022B6">
        <w:t>International Agency for Research on Cancer</w:t>
      </w:r>
      <w:r w:rsidR="003C7E66">
        <w:t xml:space="preserve"> (IARC) (2012) </w:t>
      </w:r>
      <w:r w:rsidR="003C7E66" w:rsidRPr="003C7E66">
        <w:t>100C Beryllium and Beryllium Compounds</w:t>
      </w:r>
      <w:r w:rsidR="003C7E66">
        <w:t>. IARC Monographs on the evaluation of the carcinogenic risk to humans.</w:t>
      </w:r>
    </w:p>
    <w:p w14:paraId="0159700C" w14:textId="77777777" w:rsidR="00D14B47" w:rsidRDefault="008F02C2" w:rsidP="00E903B1">
      <w:r w:rsidRPr="002022B6">
        <w:t>National Industrial Chemicals Notification and Assessment Scheme (NICNAS)</w:t>
      </w:r>
      <w:r>
        <w:t xml:space="preserve"> (2014) Beryllium metal and Beryllium oxide</w:t>
      </w:r>
      <w:r w:rsidRPr="0071660C">
        <w:t xml:space="preserve">: Human health </w:t>
      </w:r>
      <w:r>
        <w:t xml:space="preserve">tier II </w:t>
      </w:r>
      <w:r w:rsidRPr="0071660C">
        <w:t>assessment</w:t>
      </w:r>
      <w:r>
        <w:t xml:space="preserve"> – IMAP report.</w:t>
      </w:r>
    </w:p>
    <w:p w14:paraId="5F2C2066" w14:textId="77777777" w:rsidR="00381823" w:rsidRDefault="00381823" w:rsidP="00381823">
      <w:r>
        <w:t>National Toxicology Program (NTP) (1999) NTP-</w:t>
      </w:r>
      <w:proofErr w:type="spellStart"/>
      <w:r>
        <w:t>RoC</w:t>
      </w:r>
      <w:proofErr w:type="spellEnd"/>
      <w:r>
        <w:t>: Ber</w:t>
      </w:r>
      <w:r w:rsidR="000C3CE2">
        <w:t>yllium and Beryllium Compounds.</w:t>
      </w:r>
    </w:p>
    <w:p w14:paraId="3AE3D10F" w14:textId="77777777" w:rsidR="000C3CE2" w:rsidRDefault="000C3CE2" w:rsidP="00381823">
      <w:r>
        <w:rPr>
          <w:color w:val="000000"/>
        </w:rP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50D7EFE2" w14:textId="77777777" w:rsidR="008F02C2" w:rsidRDefault="00381823" w:rsidP="00381823">
      <w:r>
        <w:t>US Environmental Protection Authority (US EPA)</w:t>
      </w:r>
      <w:r w:rsidR="003448DD">
        <w:t xml:space="preserve"> (1998)</w:t>
      </w:r>
      <w:r>
        <w:t xml:space="preserve"> </w:t>
      </w:r>
      <w:r w:rsidR="003448DD" w:rsidRPr="003448DD">
        <w:t>Integrated R</w:t>
      </w:r>
      <w:r w:rsidR="003448DD">
        <w:t xml:space="preserve">isk Information System (IRIS) </w:t>
      </w:r>
      <w:r w:rsidR="003448DD" w:rsidRPr="003448DD">
        <w:t>Chemical Assessment Summary</w:t>
      </w:r>
      <w:r w:rsidR="003448DD">
        <w:t xml:space="preserve"> – Beryllium and compounds.</w:t>
      </w:r>
    </w:p>
    <w:p w14:paraId="071A9D3A" w14:textId="77777777" w:rsidR="000C3CE2" w:rsidRPr="00351FE0" w:rsidRDefault="000C3CE2" w:rsidP="00381823">
      <w:r>
        <w:t xml:space="preserve">US National Institute for Occupational Safety and Health (NIOSH) (1994) Immediately dangerous to life or health concentrations – beryllium compounds. </w:t>
      </w:r>
    </w:p>
    <w:sectPr w:rsidR="000C3CE2" w:rsidRPr="00351FE0" w:rsidSect="00B87D4C">
      <w:headerReference w:type="default" r:id="rId15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B595D" w14:textId="77777777" w:rsidR="00F332B4" w:rsidRDefault="00F332B4" w:rsidP="00F43AD5">
      <w:pPr>
        <w:spacing w:after="0" w:line="240" w:lineRule="auto"/>
      </w:pPr>
      <w:r>
        <w:separator/>
      </w:r>
    </w:p>
  </w:endnote>
  <w:endnote w:type="continuationSeparator" w:id="0">
    <w:p w14:paraId="7AD33751" w14:textId="77777777" w:rsidR="00F332B4" w:rsidRDefault="00F332B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B4B85E2" w14:textId="77777777" w:rsidR="003C75B8" w:rsidRDefault="003C75B8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Beryllium &amp; Compounds (7440-41-7)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7B5C26FC" w14:textId="51D43C1E" w:rsidR="003C75B8" w:rsidRPr="00F43AD5" w:rsidRDefault="003C75B8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45565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D0075" w14:textId="77777777" w:rsidR="00F332B4" w:rsidRDefault="00F332B4" w:rsidP="00F43AD5">
      <w:pPr>
        <w:spacing w:after="0" w:line="240" w:lineRule="auto"/>
      </w:pPr>
      <w:r>
        <w:separator/>
      </w:r>
    </w:p>
  </w:footnote>
  <w:footnote w:type="continuationSeparator" w:id="0">
    <w:p w14:paraId="776DC21B" w14:textId="77777777" w:rsidR="00F332B4" w:rsidRDefault="00F332B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D3AEC" w14:textId="0E03C556" w:rsidR="003C75B8" w:rsidRDefault="003C75B8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51029" w14:textId="41B62372" w:rsidR="00445565" w:rsidRDefault="00445565" w:rsidP="00445565">
    <w:pPr>
      <w:pStyle w:val="Header"/>
      <w:jc w:val="right"/>
    </w:pPr>
  </w:p>
  <w:p w14:paraId="40CC5D54" w14:textId="0B39B0EB" w:rsidR="009E1028" w:rsidRDefault="00445565" w:rsidP="00445565">
    <w:pPr>
      <w:pStyle w:val="Header"/>
      <w:jc w:val="right"/>
    </w:pPr>
    <w:r>
      <w:rPr>
        <w:noProof/>
        <w:lang w:eastAsia="en-AU"/>
      </w:rPr>
      <w:t xml:space="preserve"> </w:t>
    </w:r>
    <w:r>
      <w:rPr>
        <w:noProof/>
        <w:lang w:eastAsia="en-AU"/>
      </w:rPr>
      <w:drawing>
        <wp:inline distT="0" distB="0" distL="0" distR="0" wp14:anchorId="0F9BD1D0" wp14:editId="67CCCBD0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472CC" w14:textId="221ACF5E" w:rsidR="00445565" w:rsidRDefault="00445565" w:rsidP="00445565">
    <w:pPr>
      <w:pStyle w:val="Header"/>
      <w:jc w:val="right"/>
    </w:pPr>
  </w:p>
  <w:p w14:paraId="026D6CF6" w14:textId="77777777" w:rsidR="003C75B8" w:rsidRDefault="003C75B8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1A96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CA5F45"/>
    <w:multiLevelType w:val="hybridMultilevel"/>
    <w:tmpl w:val="6A70ABC4"/>
    <w:lvl w:ilvl="0" w:tplc="4CD4DFCC">
      <w:start w:val="1"/>
      <w:numFmt w:val="bullet"/>
      <w:pStyle w:val="List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F6B0C"/>
    <w:multiLevelType w:val="hybridMultilevel"/>
    <w:tmpl w:val="282C8C16"/>
    <w:lvl w:ilvl="0" w:tplc="9D6EEB28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3765C"/>
    <w:multiLevelType w:val="hybridMultilevel"/>
    <w:tmpl w:val="DFD6C0D4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3CBC2BB4"/>
    <w:multiLevelType w:val="hybridMultilevel"/>
    <w:tmpl w:val="BCD614F6"/>
    <w:lvl w:ilvl="0" w:tplc="D7686C9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E130E"/>
    <w:multiLevelType w:val="hybridMultilevel"/>
    <w:tmpl w:val="521C51FA"/>
    <w:lvl w:ilvl="0" w:tplc="5874CCB6">
      <w:start w:val="1"/>
      <w:numFmt w:val="bullet"/>
      <w:lvlText w:val=""/>
      <w:lvlJc w:val="left"/>
      <w:pPr>
        <w:tabs>
          <w:tab w:val="num" w:pos="284"/>
        </w:tabs>
        <w:ind w:left="397" w:hanging="22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C7D3E"/>
    <w:multiLevelType w:val="hybridMultilevel"/>
    <w:tmpl w:val="E912FED6"/>
    <w:lvl w:ilvl="0" w:tplc="F5AC8500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779761">
    <w:abstractNumId w:val="0"/>
  </w:num>
  <w:num w:numId="2" w16cid:durableId="497617951">
    <w:abstractNumId w:val="0"/>
  </w:num>
  <w:num w:numId="3" w16cid:durableId="1063870129">
    <w:abstractNumId w:val="0"/>
  </w:num>
  <w:num w:numId="4" w16cid:durableId="1223178189">
    <w:abstractNumId w:val="0"/>
  </w:num>
  <w:num w:numId="5" w16cid:durableId="2121408814">
    <w:abstractNumId w:val="0"/>
  </w:num>
  <w:num w:numId="6" w16cid:durableId="1451633843">
    <w:abstractNumId w:val="0"/>
  </w:num>
  <w:num w:numId="7" w16cid:durableId="1736124121">
    <w:abstractNumId w:val="0"/>
  </w:num>
  <w:num w:numId="8" w16cid:durableId="241916910">
    <w:abstractNumId w:val="0"/>
  </w:num>
  <w:num w:numId="9" w16cid:durableId="326636494">
    <w:abstractNumId w:val="0"/>
  </w:num>
  <w:num w:numId="10" w16cid:durableId="2108187641">
    <w:abstractNumId w:val="0"/>
  </w:num>
  <w:num w:numId="11" w16cid:durableId="603921546">
    <w:abstractNumId w:val="0"/>
  </w:num>
  <w:num w:numId="12" w16cid:durableId="1270817334">
    <w:abstractNumId w:val="0"/>
  </w:num>
  <w:num w:numId="13" w16cid:durableId="369574173">
    <w:abstractNumId w:val="0"/>
  </w:num>
  <w:num w:numId="14" w16cid:durableId="2062627434">
    <w:abstractNumId w:val="0"/>
  </w:num>
  <w:num w:numId="15" w16cid:durableId="462501164">
    <w:abstractNumId w:val="0"/>
  </w:num>
  <w:num w:numId="16" w16cid:durableId="321353423">
    <w:abstractNumId w:val="0"/>
  </w:num>
  <w:num w:numId="17" w16cid:durableId="560332908">
    <w:abstractNumId w:val="0"/>
  </w:num>
  <w:num w:numId="18" w16cid:durableId="1258563415">
    <w:abstractNumId w:val="0"/>
  </w:num>
  <w:num w:numId="19" w16cid:durableId="1715763538">
    <w:abstractNumId w:val="3"/>
  </w:num>
  <w:num w:numId="20" w16cid:durableId="1112937173">
    <w:abstractNumId w:val="0"/>
  </w:num>
  <w:num w:numId="21" w16cid:durableId="700398906">
    <w:abstractNumId w:val="0"/>
  </w:num>
  <w:num w:numId="22" w16cid:durableId="712076015">
    <w:abstractNumId w:val="4"/>
  </w:num>
  <w:num w:numId="23" w16cid:durableId="1923488672">
    <w:abstractNumId w:val="2"/>
  </w:num>
  <w:num w:numId="24" w16cid:durableId="198205574">
    <w:abstractNumId w:val="5"/>
  </w:num>
  <w:num w:numId="25" w16cid:durableId="1633556441">
    <w:abstractNumId w:val="6"/>
  </w:num>
  <w:num w:numId="26" w16cid:durableId="1489975563">
    <w:abstractNumId w:val="1"/>
  </w:num>
  <w:num w:numId="27" w16cid:durableId="769737470">
    <w:abstractNumId w:val="1"/>
  </w:num>
  <w:num w:numId="28" w16cid:durableId="1271356048">
    <w:abstractNumId w:val="1"/>
  </w:num>
  <w:num w:numId="29" w16cid:durableId="1302424384">
    <w:abstractNumId w:val="1"/>
  </w:num>
  <w:num w:numId="30" w16cid:durableId="1514564082">
    <w:abstractNumId w:val="1"/>
  </w:num>
  <w:num w:numId="31" w16cid:durableId="1592158728">
    <w:abstractNumId w:val="1"/>
  </w:num>
  <w:num w:numId="32" w16cid:durableId="2119713287">
    <w:abstractNumId w:val="1"/>
  </w:num>
  <w:num w:numId="33" w16cid:durableId="627709299">
    <w:abstractNumId w:val="1"/>
  </w:num>
  <w:num w:numId="34" w16cid:durableId="657418573">
    <w:abstractNumId w:val="1"/>
  </w:num>
  <w:num w:numId="35" w16cid:durableId="1040978579">
    <w:abstractNumId w:val="1"/>
  </w:num>
  <w:num w:numId="36" w16cid:durableId="32197841">
    <w:abstractNumId w:val="1"/>
  </w:num>
  <w:num w:numId="37" w16cid:durableId="2036812042">
    <w:abstractNumId w:val="1"/>
  </w:num>
  <w:num w:numId="38" w16cid:durableId="1891383950">
    <w:abstractNumId w:val="1"/>
  </w:num>
  <w:num w:numId="39" w16cid:durableId="779573042">
    <w:abstractNumId w:val="1"/>
  </w:num>
  <w:num w:numId="40" w16cid:durableId="1210607211">
    <w:abstractNumId w:val="1"/>
  </w:num>
  <w:num w:numId="41" w16cid:durableId="2071004000">
    <w:abstractNumId w:val="1"/>
  </w:num>
  <w:num w:numId="42" w16cid:durableId="1721709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NameType" w:val="ANZ"/>
    <w:docVar w:name="WSPAuthor" w:val=" "/>
    <w:docVar w:name="WSPContentType" w:val="~"/>
    <w:docVar w:name="WSPDiscipline" w:val="~"/>
    <w:docVar w:name="WSPDocDescription" w:val=" "/>
    <w:docVar w:name="WSPDocNamingDate" w:val=" "/>
    <w:docVar w:name="WSPDocNo" w:val="~"/>
    <w:docVar w:name="WSPGeneralOurRef" w:val=" "/>
    <w:docVar w:name="WSPOfficeCode" w:val=" "/>
    <w:docVar w:name="WSPProjectCode" w:val="~"/>
    <w:docVar w:name="xAppendixName" w:val="Appendix"/>
  </w:docVars>
  <w:rsids>
    <w:rsidRoot w:val="00610F2E"/>
    <w:rsid w:val="00000109"/>
    <w:rsid w:val="00001AAF"/>
    <w:rsid w:val="000068CB"/>
    <w:rsid w:val="00007B80"/>
    <w:rsid w:val="00013A22"/>
    <w:rsid w:val="00014C3F"/>
    <w:rsid w:val="00017C82"/>
    <w:rsid w:val="0002163C"/>
    <w:rsid w:val="00032B88"/>
    <w:rsid w:val="00046DF5"/>
    <w:rsid w:val="00052060"/>
    <w:rsid w:val="0005574A"/>
    <w:rsid w:val="00055FE1"/>
    <w:rsid w:val="00056EC2"/>
    <w:rsid w:val="000608D7"/>
    <w:rsid w:val="00060B48"/>
    <w:rsid w:val="00067F32"/>
    <w:rsid w:val="00071807"/>
    <w:rsid w:val="000803E1"/>
    <w:rsid w:val="00081887"/>
    <w:rsid w:val="00084513"/>
    <w:rsid w:val="00084859"/>
    <w:rsid w:val="00087F0D"/>
    <w:rsid w:val="00092D94"/>
    <w:rsid w:val="000940D9"/>
    <w:rsid w:val="0009410C"/>
    <w:rsid w:val="000A51A6"/>
    <w:rsid w:val="000B0868"/>
    <w:rsid w:val="000B3E12"/>
    <w:rsid w:val="000B3E78"/>
    <w:rsid w:val="000B7B48"/>
    <w:rsid w:val="000C096D"/>
    <w:rsid w:val="000C139A"/>
    <w:rsid w:val="000C2053"/>
    <w:rsid w:val="000C248C"/>
    <w:rsid w:val="000C3CE2"/>
    <w:rsid w:val="000D291C"/>
    <w:rsid w:val="000E5A54"/>
    <w:rsid w:val="000E63D3"/>
    <w:rsid w:val="000E67CF"/>
    <w:rsid w:val="0010461E"/>
    <w:rsid w:val="00106FAA"/>
    <w:rsid w:val="00113443"/>
    <w:rsid w:val="00121CCC"/>
    <w:rsid w:val="001269A7"/>
    <w:rsid w:val="00131092"/>
    <w:rsid w:val="00140E6A"/>
    <w:rsid w:val="00143487"/>
    <w:rsid w:val="00146545"/>
    <w:rsid w:val="00146B75"/>
    <w:rsid w:val="0015266D"/>
    <w:rsid w:val="0015288A"/>
    <w:rsid w:val="00160F47"/>
    <w:rsid w:val="00177CA1"/>
    <w:rsid w:val="00183823"/>
    <w:rsid w:val="00183942"/>
    <w:rsid w:val="00187BD9"/>
    <w:rsid w:val="00195376"/>
    <w:rsid w:val="001A009E"/>
    <w:rsid w:val="001A1287"/>
    <w:rsid w:val="001A3859"/>
    <w:rsid w:val="001A3C9D"/>
    <w:rsid w:val="001A43F8"/>
    <w:rsid w:val="001B4281"/>
    <w:rsid w:val="001B79E5"/>
    <w:rsid w:val="001C6ED5"/>
    <w:rsid w:val="001C743B"/>
    <w:rsid w:val="001D179A"/>
    <w:rsid w:val="001D32E1"/>
    <w:rsid w:val="001D56F0"/>
    <w:rsid w:val="001D663B"/>
    <w:rsid w:val="001D7B41"/>
    <w:rsid w:val="001E46DA"/>
    <w:rsid w:val="001E7D80"/>
    <w:rsid w:val="001F249A"/>
    <w:rsid w:val="001F4B6C"/>
    <w:rsid w:val="001F62CB"/>
    <w:rsid w:val="001F6D9C"/>
    <w:rsid w:val="001F6ED0"/>
    <w:rsid w:val="001F72E6"/>
    <w:rsid w:val="001F73C5"/>
    <w:rsid w:val="002046A6"/>
    <w:rsid w:val="00204956"/>
    <w:rsid w:val="00204D84"/>
    <w:rsid w:val="00213640"/>
    <w:rsid w:val="002165B6"/>
    <w:rsid w:val="00221547"/>
    <w:rsid w:val="002216FC"/>
    <w:rsid w:val="00222533"/>
    <w:rsid w:val="00222F30"/>
    <w:rsid w:val="002231DB"/>
    <w:rsid w:val="00224DD3"/>
    <w:rsid w:val="00224EE2"/>
    <w:rsid w:val="00227EC7"/>
    <w:rsid w:val="00244AD1"/>
    <w:rsid w:val="002463BC"/>
    <w:rsid w:val="002465CE"/>
    <w:rsid w:val="00254047"/>
    <w:rsid w:val="0025734A"/>
    <w:rsid w:val="00263255"/>
    <w:rsid w:val="002652F2"/>
    <w:rsid w:val="00276494"/>
    <w:rsid w:val="00277B0C"/>
    <w:rsid w:val="002B1A2C"/>
    <w:rsid w:val="002C34F2"/>
    <w:rsid w:val="002C3B34"/>
    <w:rsid w:val="002C58FF"/>
    <w:rsid w:val="002C7AFE"/>
    <w:rsid w:val="002D05D2"/>
    <w:rsid w:val="002D508E"/>
    <w:rsid w:val="002E0D61"/>
    <w:rsid w:val="002E1A4C"/>
    <w:rsid w:val="002E4C7B"/>
    <w:rsid w:val="002F34F2"/>
    <w:rsid w:val="0030740C"/>
    <w:rsid w:val="0031055D"/>
    <w:rsid w:val="00315833"/>
    <w:rsid w:val="003215EE"/>
    <w:rsid w:val="003224BF"/>
    <w:rsid w:val="003241A8"/>
    <w:rsid w:val="003253F0"/>
    <w:rsid w:val="00325742"/>
    <w:rsid w:val="003337DA"/>
    <w:rsid w:val="00334EFB"/>
    <w:rsid w:val="00335CDE"/>
    <w:rsid w:val="003365A5"/>
    <w:rsid w:val="003447A6"/>
    <w:rsid w:val="003448DD"/>
    <w:rsid w:val="00347192"/>
    <w:rsid w:val="0034744C"/>
    <w:rsid w:val="00351FE0"/>
    <w:rsid w:val="00352615"/>
    <w:rsid w:val="0035412B"/>
    <w:rsid w:val="003567A8"/>
    <w:rsid w:val="00357A96"/>
    <w:rsid w:val="00362895"/>
    <w:rsid w:val="00370DBF"/>
    <w:rsid w:val="00381823"/>
    <w:rsid w:val="00386093"/>
    <w:rsid w:val="003904A4"/>
    <w:rsid w:val="003911AC"/>
    <w:rsid w:val="00391841"/>
    <w:rsid w:val="00391B6D"/>
    <w:rsid w:val="00394922"/>
    <w:rsid w:val="003A0260"/>
    <w:rsid w:val="003A0E32"/>
    <w:rsid w:val="003A2B94"/>
    <w:rsid w:val="003B19E8"/>
    <w:rsid w:val="003B322A"/>
    <w:rsid w:val="003B387D"/>
    <w:rsid w:val="003B6E8F"/>
    <w:rsid w:val="003C0D58"/>
    <w:rsid w:val="003C42E5"/>
    <w:rsid w:val="003C75B8"/>
    <w:rsid w:val="003C7E66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31DC"/>
    <w:rsid w:val="00414565"/>
    <w:rsid w:val="00417A56"/>
    <w:rsid w:val="00420957"/>
    <w:rsid w:val="00422A10"/>
    <w:rsid w:val="00425B04"/>
    <w:rsid w:val="00427A4F"/>
    <w:rsid w:val="00430179"/>
    <w:rsid w:val="0043077C"/>
    <w:rsid w:val="004414B5"/>
    <w:rsid w:val="00444482"/>
    <w:rsid w:val="00444B42"/>
    <w:rsid w:val="00445565"/>
    <w:rsid w:val="00445E44"/>
    <w:rsid w:val="004465FC"/>
    <w:rsid w:val="004509E2"/>
    <w:rsid w:val="004515EE"/>
    <w:rsid w:val="004529F0"/>
    <w:rsid w:val="00460A03"/>
    <w:rsid w:val="00466A78"/>
    <w:rsid w:val="00472A11"/>
    <w:rsid w:val="00472AAD"/>
    <w:rsid w:val="00474E33"/>
    <w:rsid w:val="00476803"/>
    <w:rsid w:val="004811FE"/>
    <w:rsid w:val="00485BFD"/>
    <w:rsid w:val="004867A2"/>
    <w:rsid w:val="004873F2"/>
    <w:rsid w:val="00487AC6"/>
    <w:rsid w:val="00490D4C"/>
    <w:rsid w:val="00493A35"/>
    <w:rsid w:val="0049527A"/>
    <w:rsid w:val="004966BF"/>
    <w:rsid w:val="00497984"/>
    <w:rsid w:val="004A42B8"/>
    <w:rsid w:val="004A5088"/>
    <w:rsid w:val="004B2283"/>
    <w:rsid w:val="004C1E3F"/>
    <w:rsid w:val="004C23F4"/>
    <w:rsid w:val="004C3475"/>
    <w:rsid w:val="004C42EE"/>
    <w:rsid w:val="004C4A72"/>
    <w:rsid w:val="004C58B6"/>
    <w:rsid w:val="004D16A3"/>
    <w:rsid w:val="004D4AA1"/>
    <w:rsid w:val="004D6D68"/>
    <w:rsid w:val="004E2F15"/>
    <w:rsid w:val="004E5EDD"/>
    <w:rsid w:val="004F1119"/>
    <w:rsid w:val="004F23C7"/>
    <w:rsid w:val="004F448A"/>
    <w:rsid w:val="004F493D"/>
    <w:rsid w:val="004F65E8"/>
    <w:rsid w:val="0050005E"/>
    <w:rsid w:val="00502B88"/>
    <w:rsid w:val="005142C4"/>
    <w:rsid w:val="0051509C"/>
    <w:rsid w:val="0052720C"/>
    <w:rsid w:val="005272E2"/>
    <w:rsid w:val="0053108F"/>
    <w:rsid w:val="00532B56"/>
    <w:rsid w:val="00534B10"/>
    <w:rsid w:val="00536343"/>
    <w:rsid w:val="00543988"/>
    <w:rsid w:val="005446A2"/>
    <w:rsid w:val="00544D2F"/>
    <w:rsid w:val="00551BD8"/>
    <w:rsid w:val="00581055"/>
    <w:rsid w:val="00591E38"/>
    <w:rsid w:val="0059251E"/>
    <w:rsid w:val="00593D3A"/>
    <w:rsid w:val="005A19C5"/>
    <w:rsid w:val="005A3034"/>
    <w:rsid w:val="005A462D"/>
    <w:rsid w:val="005A7559"/>
    <w:rsid w:val="005B253B"/>
    <w:rsid w:val="005B771D"/>
    <w:rsid w:val="005C435B"/>
    <w:rsid w:val="005C5D16"/>
    <w:rsid w:val="005D1502"/>
    <w:rsid w:val="005D3193"/>
    <w:rsid w:val="005D4A6E"/>
    <w:rsid w:val="005E58E5"/>
    <w:rsid w:val="005E6979"/>
    <w:rsid w:val="005E75CB"/>
    <w:rsid w:val="006013C1"/>
    <w:rsid w:val="00603111"/>
    <w:rsid w:val="00605095"/>
    <w:rsid w:val="0060669E"/>
    <w:rsid w:val="00610ADF"/>
    <w:rsid w:val="00610F2E"/>
    <w:rsid w:val="00611399"/>
    <w:rsid w:val="0061557E"/>
    <w:rsid w:val="00622205"/>
    <w:rsid w:val="00624C4E"/>
    <w:rsid w:val="00625200"/>
    <w:rsid w:val="00627DB2"/>
    <w:rsid w:val="00632E56"/>
    <w:rsid w:val="006363A8"/>
    <w:rsid w:val="00636DB7"/>
    <w:rsid w:val="0064621B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4202"/>
    <w:rsid w:val="006B160A"/>
    <w:rsid w:val="006B3885"/>
    <w:rsid w:val="006B4E6C"/>
    <w:rsid w:val="006B50B6"/>
    <w:rsid w:val="006B753E"/>
    <w:rsid w:val="006D79EA"/>
    <w:rsid w:val="006D7AE7"/>
    <w:rsid w:val="006E5D05"/>
    <w:rsid w:val="00701053"/>
    <w:rsid w:val="00701507"/>
    <w:rsid w:val="00707A74"/>
    <w:rsid w:val="00714021"/>
    <w:rsid w:val="00716A0F"/>
    <w:rsid w:val="00717D45"/>
    <w:rsid w:val="007208F7"/>
    <w:rsid w:val="00721841"/>
    <w:rsid w:val="007218AF"/>
    <w:rsid w:val="00727D57"/>
    <w:rsid w:val="00732236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47B0"/>
    <w:rsid w:val="00785CDD"/>
    <w:rsid w:val="00785D24"/>
    <w:rsid w:val="0078627A"/>
    <w:rsid w:val="00791847"/>
    <w:rsid w:val="007925F0"/>
    <w:rsid w:val="007939B3"/>
    <w:rsid w:val="0079509C"/>
    <w:rsid w:val="00796708"/>
    <w:rsid w:val="007B1B42"/>
    <w:rsid w:val="007B1D61"/>
    <w:rsid w:val="007C30EB"/>
    <w:rsid w:val="007C52EA"/>
    <w:rsid w:val="007D586E"/>
    <w:rsid w:val="007E063C"/>
    <w:rsid w:val="007E2A4B"/>
    <w:rsid w:val="007E307D"/>
    <w:rsid w:val="007E6A4E"/>
    <w:rsid w:val="007E6C94"/>
    <w:rsid w:val="007F1005"/>
    <w:rsid w:val="007F25E0"/>
    <w:rsid w:val="007F5328"/>
    <w:rsid w:val="00803396"/>
    <w:rsid w:val="00804F5A"/>
    <w:rsid w:val="00810C6D"/>
    <w:rsid w:val="00812887"/>
    <w:rsid w:val="00824428"/>
    <w:rsid w:val="00826F21"/>
    <w:rsid w:val="00827827"/>
    <w:rsid w:val="008321CE"/>
    <w:rsid w:val="008337A2"/>
    <w:rsid w:val="00834CC8"/>
    <w:rsid w:val="00835E00"/>
    <w:rsid w:val="00837113"/>
    <w:rsid w:val="008414E4"/>
    <w:rsid w:val="00843E21"/>
    <w:rsid w:val="00843FF2"/>
    <w:rsid w:val="0084508E"/>
    <w:rsid w:val="00853D64"/>
    <w:rsid w:val="00857A8A"/>
    <w:rsid w:val="008630EE"/>
    <w:rsid w:val="00864D13"/>
    <w:rsid w:val="00871CD5"/>
    <w:rsid w:val="008745A2"/>
    <w:rsid w:val="008768A8"/>
    <w:rsid w:val="008849F2"/>
    <w:rsid w:val="0088534D"/>
    <w:rsid w:val="00885EB9"/>
    <w:rsid w:val="0088798F"/>
    <w:rsid w:val="00887E4B"/>
    <w:rsid w:val="00890703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0F30"/>
    <w:rsid w:val="008E1884"/>
    <w:rsid w:val="008E7B64"/>
    <w:rsid w:val="008F02C2"/>
    <w:rsid w:val="008F5DCD"/>
    <w:rsid w:val="008F7EA6"/>
    <w:rsid w:val="00900951"/>
    <w:rsid w:val="00903152"/>
    <w:rsid w:val="0090690B"/>
    <w:rsid w:val="009118A6"/>
    <w:rsid w:val="00911B6B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9B9"/>
    <w:rsid w:val="00946044"/>
    <w:rsid w:val="0094660B"/>
    <w:rsid w:val="00946A33"/>
    <w:rsid w:val="0095260E"/>
    <w:rsid w:val="00954CA8"/>
    <w:rsid w:val="009578DD"/>
    <w:rsid w:val="00961124"/>
    <w:rsid w:val="009621B6"/>
    <w:rsid w:val="00974AB3"/>
    <w:rsid w:val="00974F2D"/>
    <w:rsid w:val="00975E59"/>
    <w:rsid w:val="00977524"/>
    <w:rsid w:val="00977E88"/>
    <w:rsid w:val="00984920"/>
    <w:rsid w:val="0099303A"/>
    <w:rsid w:val="009971C2"/>
    <w:rsid w:val="009A1254"/>
    <w:rsid w:val="009A2F23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1028"/>
    <w:rsid w:val="009E2214"/>
    <w:rsid w:val="009E355A"/>
    <w:rsid w:val="009E4DD3"/>
    <w:rsid w:val="009E63E2"/>
    <w:rsid w:val="009F04D2"/>
    <w:rsid w:val="009F05CF"/>
    <w:rsid w:val="009F0F3A"/>
    <w:rsid w:val="00A01D0C"/>
    <w:rsid w:val="00A0643F"/>
    <w:rsid w:val="00A067EE"/>
    <w:rsid w:val="00A10FCE"/>
    <w:rsid w:val="00A11D70"/>
    <w:rsid w:val="00A14EA6"/>
    <w:rsid w:val="00A16BEB"/>
    <w:rsid w:val="00A16D91"/>
    <w:rsid w:val="00A16E75"/>
    <w:rsid w:val="00A174CC"/>
    <w:rsid w:val="00A17D7B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45FA"/>
    <w:rsid w:val="00A84504"/>
    <w:rsid w:val="00A8672F"/>
    <w:rsid w:val="00A93057"/>
    <w:rsid w:val="00A968B0"/>
    <w:rsid w:val="00AA672E"/>
    <w:rsid w:val="00AB2672"/>
    <w:rsid w:val="00AB2817"/>
    <w:rsid w:val="00AB43C4"/>
    <w:rsid w:val="00AC32E7"/>
    <w:rsid w:val="00AC3A9F"/>
    <w:rsid w:val="00AC6D2F"/>
    <w:rsid w:val="00AD43FA"/>
    <w:rsid w:val="00AE2745"/>
    <w:rsid w:val="00AE2F64"/>
    <w:rsid w:val="00AE57F1"/>
    <w:rsid w:val="00AF42CB"/>
    <w:rsid w:val="00AF483F"/>
    <w:rsid w:val="00AF5E07"/>
    <w:rsid w:val="00AF5F06"/>
    <w:rsid w:val="00B00A25"/>
    <w:rsid w:val="00B06526"/>
    <w:rsid w:val="00B12C87"/>
    <w:rsid w:val="00B13318"/>
    <w:rsid w:val="00B1422A"/>
    <w:rsid w:val="00B1765C"/>
    <w:rsid w:val="00B213C4"/>
    <w:rsid w:val="00B40C60"/>
    <w:rsid w:val="00B479A9"/>
    <w:rsid w:val="00B52EDF"/>
    <w:rsid w:val="00B71188"/>
    <w:rsid w:val="00B711CC"/>
    <w:rsid w:val="00B74E9E"/>
    <w:rsid w:val="00B75E3B"/>
    <w:rsid w:val="00B76A41"/>
    <w:rsid w:val="00B87D4C"/>
    <w:rsid w:val="00B93646"/>
    <w:rsid w:val="00BA0B38"/>
    <w:rsid w:val="00BA1DBB"/>
    <w:rsid w:val="00BA4510"/>
    <w:rsid w:val="00BA529A"/>
    <w:rsid w:val="00BB612A"/>
    <w:rsid w:val="00BD4331"/>
    <w:rsid w:val="00BD499F"/>
    <w:rsid w:val="00BD56DE"/>
    <w:rsid w:val="00BE038C"/>
    <w:rsid w:val="00BF2406"/>
    <w:rsid w:val="00C06E43"/>
    <w:rsid w:val="00C16315"/>
    <w:rsid w:val="00C22C3B"/>
    <w:rsid w:val="00C252A2"/>
    <w:rsid w:val="00C3091E"/>
    <w:rsid w:val="00C355D3"/>
    <w:rsid w:val="00C40FF1"/>
    <w:rsid w:val="00C419E2"/>
    <w:rsid w:val="00C5020E"/>
    <w:rsid w:val="00C52157"/>
    <w:rsid w:val="00C57452"/>
    <w:rsid w:val="00C61EDF"/>
    <w:rsid w:val="00C6239D"/>
    <w:rsid w:val="00C6594B"/>
    <w:rsid w:val="00C67FFB"/>
    <w:rsid w:val="00C7155E"/>
    <w:rsid w:val="00C71D1E"/>
    <w:rsid w:val="00C71D7D"/>
    <w:rsid w:val="00C74745"/>
    <w:rsid w:val="00C74833"/>
    <w:rsid w:val="00C8103F"/>
    <w:rsid w:val="00C844FC"/>
    <w:rsid w:val="00C850A0"/>
    <w:rsid w:val="00C85A86"/>
    <w:rsid w:val="00C92D2F"/>
    <w:rsid w:val="00C978F0"/>
    <w:rsid w:val="00CA45C4"/>
    <w:rsid w:val="00CA58FE"/>
    <w:rsid w:val="00CA5E3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1381"/>
    <w:rsid w:val="00D140FC"/>
    <w:rsid w:val="00D14B47"/>
    <w:rsid w:val="00D1588A"/>
    <w:rsid w:val="00D21D8C"/>
    <w:rsid w:val="00D31357"/>
    <w:rsid w:val="00D3308A"/>
    <w:rsid w:val="00D33220"/>
    <w:rsid w:val="00D334D1"/>
    <w:rsid w:val="00D354C5"/>
    <w:rsid w:val="00D44C89"/>
    <w:rsid w:val="00D504C2"/>
    <w:rsid w:val="00D516CD"/>
    <w:rsid w:val="00D616B9"/>
    <w:rsid w:val="00D668E6"/>
    <w:rsid w:val="00D70670"/>
    <w:rsid w:val="00D74D80"/>
    <w:rsid w:val="00D76624"/>
    <w:rsid w:val="00D87570"/>
    <w:rsid w:val="00D91CB9"/>
    <w:rsid w:val="00D97989"/>
    <w:rsid w:val="00D97D8D"/>
    <w:rsid w:val="00DA0579"/>
    <w:rsid w:val="00DA352E"/>
    <w:rsid w:val="00DC7694"/>
    <w:rsid w:val="00DD1BF6"/>
    <w:rsid w:val="00DD2F9B"/>
    <w:rsid w:val="00DE06F7"/>
    <w:rsid w:val="00DE2513"/>
    <w:rsid w:val="00DE26E8"/>
    <w:rsid w:val="00DF6F36"/>
    <w:rsid w:val="00E0084C"/>
    <w:rsid w:val="00E025AB"/>
    <w:rsid w:val="00E02B23"/>
    <w:rsid w:val="00E06F40"/>
    <w:rsid w:val="00E07CE8"/>
    <w:rsid w:val="00E104FA"/>
    <w:rsid w:val="00E26A07"/>
    <w:rsid w:val="00E26D69"/>
    <w:rsid w:val="00E26DFB"/>
    <w:rsid w:val="00E32595"/>
    <w:rsid w:val="00E37CFD"/>
    <w:rsid w:val="00E41A26"/>
    <w:rsid w:val="00E45495"/>
    <w:rsid w:val="00E46BCB"/>
    <w:rsid w:val="00E47629"/>
    <w:rsid w:val="00E51CAF"/>
    <w:rsid w:val="00E56930"/>
    <w:rsid w:val="00E60F04"/>
    <w:rsid w:val="00E62AAC"/>
    <w:rsid w:val="00E67C2F"/>
    <w:rsid w:val="00E67EF5"/>
    <w:rsid w:val="00E706CD"/>
    <w:rsid w:val="00E715DC"/>
    <w:rsid w:val="00E80131"/>
    <w:rsid w:val="00E804EA"/>
    <w:rsid w:val="00E80A71"/>
    <w:rsid w:val="00E82337"/>
    <w:rsid w:val="00E85215"/>
    <w:rsid w:val="00E903B1"/>
    <w:rsid w:val="00E92499"/>
    <w:rsid w:val="00E92A16"/>
    <w:rsid w:val="00E949AF"/>
    <w:rsid w:val="00E96077"/>
    <w:rsid w:val="00EA0A06"/>
    <w:rsid w:val="00EA6243"/>
    <w:rsid w:val="00EA74AB"/>
    <w:rsid w:val="00EB3D1B"/>
    <w:rsid w:val="00EC68C0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32B4"/>
    <w:rsid w:val="00F40F20"/>
    <w:rsid w:val="00F43AD5"/>
    <w:rsid w:val="00F4402E"/>
    <w:rsid w:val="00F51231"/>
    <w:rsid w:val="00F56DD0"/>
    <w:rsid w:val="00F61910"/>
    <w:rsid w:val="00F6491C"/>
    <w:rsid w:val="00F66952"/>
    <w:rsid w:val="00F67BBB"/>
    <w:rsid w:val="00F877BD"/>
    <w:rsid w:val="00F87D92"/>
    <w:rsid w:val="00F90AA7"/>
    <w:rsid w:val="00F92498"/>
    <w:rsid w:val="00F9496B"/>
    <w:rsid w:val="00F970C9"/>
    <w:rsid w:val="00FA06A8"/>
    <w:rsid w:val="00FA07EE"/>
    <w:rsid w:val="00FA3DF5"/>
    <w:rsid w:val="00FA741F"/>
    <w:rsid w:val="00FB4E07"/>
    <w:rsid w:val="00FB62C5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6E7CD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355D3"/>
    <w:pPr>
      <w:numPr>
        <w:numId w:val="26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27D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7D5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D5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D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D57"/>
    <w:rPr>
      <w:b/>
      <w:bCs/>
      <w:szCs w:val="20"/>
    </w:rPr>
  </w:style>
  <w:style w:type="paragraph" w:styleId="Revision">
    <w:name w:val="Revision"/>
    <w:hidden/>
    <w:uiPriority w:val="99"/>
    <w:semiHidden/>
    <w:rsid w:val="00727D57"/>
    <w:pPr>
      <w:spacing w:after="0" w:line="240" w:lineRule="auto"/>
    </w:pPr>
  </w:style>
  <w:style w:type="table" w:customStyle="1" w:styleId="LightList1">
    <w:name w:val="Light List1"/>
    <w:basedOn w:val="TableNormal"/>
    <w:next w:val="LightList"/>
    <w:uiPriority w:val="61"/>
    <w:rsid w:val="00824428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gih.org/tlv-bei-guidelines/policies-procedures-presentation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7CE4B970CA46B8AFA7C7825F3D4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800BF-B6DA-449C-97CC-0E038BFAE766}"/>
      </w:docPartPr>
      <w:docPartBody>
        <w:p w:rsidR="006B7E0F" w:rsidRDefault="005622FB" w:rsidP="005622FB">
          <w:pPr>
            <w:pStyle w:val="F07CE4B970CA46B8AFA7C7825F3D437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214EE"/>
    <w:rsid w:val="00247B05"/>
    <w:rsid w:val="00345FC0"/>
    <w:rsid w:val="00465F90"/>
    <w:rsid w:val="005622FB"/>
    <w:rsid w:val="005F3AFC"/>
    <w:rsid w:val="006B7E0F"/>
    <w:rsid w:val="008A1B0B"/>
    <w:rsid w:val="009A2F23"/>
    <w:rsid w:val="00C12B84"/>
    <w:rsid w:val="00D21A9F"/>
    <w:rsid w:val="00EC4D64"/>
    <w:rsid w:val="00F4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22F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F07CE4B970CA46B8AFA7C7825F3D4375">
    <w:name w:val="F07CE4B970CA46B8AFA7C7825F3D4375"/>
    <w:rsid w:val="005622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7B9583-C13E-4214-AB86-4B8E6F7B8D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94E00432-5222-48EF-A738-F0F5B03A2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1640</Words>
  <Characters>9799</Characters>
  <Application>Microsoft Office Word</Application>
  <DocSecurity>0</DocSecurity>
  <Lines>298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14</cp:revision>
  <cp:lastPrinted>2019-06-28T07:46:00Z</cp:lastPrinted>
  <dcterms:created xsi:type="dcterms:W3CDTF">2019-07-19T02:01:00Z</dcterms:created>
  <dcterms:modified xsi:type="dcterms:W3CDTF">2026-01-08T23:25:00Z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2025-12-17T05:34:43Z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36cb511b-c611-421e-ba19-80eb42aad27b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