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Content>
        <w:p w14:paraId="5F7E1D8E" w14:textId="31167F4F" w:rsidR="00BD499F" w:rsidRPr="004C23F4" w:rsidRDefault="006B4EB9" w:rsidP="00B40C60">
          <w:pPr>
            <w:pStyle w:val="Heading1"/>
            <w:jc w:val="center"/>
            <w:rPr>
              <w:rFonts w:ascii="Arial" w:hAnsi="Arial" w:cs="Arial"/>
            </w:rPr>
          </w:pPr>
          <w:r>
            <w:rPr>
              <w:rFonts w:ascii="Arial" w:hAnsi="Arial" w:cs="Arial"/>
            </w:rPr>
            <w:t>Benzyl chloride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73"/>
        <w:gridCol w:w="5053"/>
      </w:tblGrid>
      <w:tr w:rsidR="00F43AD5" w:rsidRPr="004C23F4" w14:paraId="5F7E1D91" w14:textId="77777777" w:rsidTr="00717206">
        <w:trPr>
          <w:cantSplit/>
          <w:tblHeader/>
        </w:trPr>
        <w:tc>
          <w:tcPr>
            <w:tcW w:w="3973" w:type="dxa"/>
          </w:tcPr>
          <w:p w14:paraId="5F7E1D8F" w14:textId="77777777" w:rsidR="00F43AD5" w:rsidRPr="00921DE7" w:rsidRDefault="00CB1CB1" w:rsidP="00B76A41">
            <w:pPr>
              <w:pStyle w:val="Tablerowright"/>
            </w:pPr>
            <w:r w:rsidRPr="00921DE7">
              <w:t>CAS number:</w:t>
            </w:r>
          </w:p>
        </w:tc>
        <w:tc>
          <w:tcPr>
            <w:tcW w:w="5053" w:type="dxa"/>
          </w:tcPr>
          <w:p w14:paraId="5F7E1D90" w14:textId="2ADEAC12" w:rsidR="00F43AD5" w:rsidRPr="00717D45" w:rsidRDefault="00820FDC" w:rsidP="00B76A41">
            <w:pPr>
              <w:pStyle w:val="Tablefont"/>
            </w:pPr>
            <w:r w:rsidRPr="00820FDC">
              <w:t>100-44-7</w:t>
            </w:r>
          </w:p>
        </w:tc>
      </w:tr>
      <w:tr w:rsidR="00F43AD5" w:rsidRPr="004C23F4" w14:paraId="5F7E1D94" w14:textId="77777777" w:rsidTr="00717206">
        <w:trPr>
          <w:cantSplit/>
        </w:trPr>
        <w:tc>
          <w:tcPr>
            <w:tcW w:w="3973" w:type="dxa"/>
          </w:tcPr>
          <w:p w14:paraId="5F7E1D92" w14:textId="77777777" w:rsidR="00F43AD5" w:rsidRPr="00921DE7" w:rsidRDefault="00CB1CB1" w:rsidP="00B76A41">
            <w:pPr>
              <w:pStyle w:val="Tablerowright"/>
            </w:pPr>
            <w:r w:rsidRPr="00921DE7">
              <w:t>Synonyms:</w:t>
            </w:r>
          </w:p>
        </w:tc>
        <w:tc>
          <w:tcPr>
            <w:tcW w:w="5053" w:type="dxa"/>
          </w:tcPr>
          <w:p w14:paraId="5F7E1D93" w14:textId="4086BFB4" w:rsidR="00F43AD5" w:rsidRPr="00717D45" w:rsidRDefault="00A1684B" w:rsidP="00B76A41">
            <w:pPr>
              <w:pStyle w:val="Tablefont"/>
            </w:pPr>
            <w:r>
              <w:t xml:space="preserve">alpha-Chlorotoluene, </w:t>
            </w:r>
            <w:r w:rsidRPr="00A1684B">
              <w:t>α-</w:t>
            </w:r>
            <w:r>
              <w:t>c</w:t>
            </w:r>
            <w:r w:rsidRPr="00A1684B">
              <w:t>hlor</w:t>
            </w:r>
            <w:r w:rsidR="00CC620A">
              <w:t>otoluene</w:t>
            </w:r>
            <w:r w:rsidR="00553F08">
              <w:t xml:space="preserve">, </w:t>
            </w:r>
            <w:r w:rsidR="00690E53" w:rsidRPr="00690E53">
              <w:rPr>
                <w:i/>
                <w:iCs/>
              </w:rPr>
              <w:t>ω</w:t>
            </w:r>
            <w:r w:rsidR="00690E53">
              <w:noBreakHyphen/>
            </w:r>
            <w:r w:rsidR="00690E53" w:rsidRPr="00690E53">
              <w:t>chlorotoluene</w:t>
            </w:r>
            <w:r w:rsidR="00690E53">
              <w:t xml:space="preserve">, </w:t>
            </w:r>
            <w:proofErr w:type="spellStart"/>
            <w:r w:rsidR="00095272">
              <w:t>chlorophenylmethane</w:t>
            </w:r>
            <w:proofErr w:type="spellEnd"/>
            <w:r w:rsidR="00690E53">
              <w:t>,</w:t>
            </w:r>
            <w:r w:rsidR="0006457C">
              <w:t xml:space="preserve"> </w:t>
            </w:r>
            <w:r w:rsidR="00690E53">
              <w:t>tolyl chloride</w:t>
            </w:r>
          </w:p>
        </w:tc>
      </w:tr>
      <w:tr w:rsidR="00F43AD5" w:rsidRPr="004C23F4" w14:paraId="5F7E1D97" w14:textId="77777777" w:rsidTr="00717206">
        <w:trPr>
          <w:cantSplit/>
        </w:trPr>
        <w:tc>
          <w:tcPr>
            <w:tcW w:w="3973" w:type="dxa"/>
          </w:tcPr>
          <w:p w14:paraId="5F7E1D95" w14:textId="77777777" w:rsidR="00F43AD5" w:rsidRPr="00921DE7" w:rsidRDefault="00CB1CB1" w:rsidP="00B76A41">
            <w:pPr>
              <w:pStyle w:val="Tablerowright"/>
            </w:pPr>
            <w:r w:rsidRPr="00921DE7">
              <w:t>Chemical formula:</w:t>
            </w:r>
          </w:p>
        </w:tc>
        <w:tc>
          <w:tcPr>
            <w:tcW w:w="5053" w:type="dxa"/>
          </w:tcPr>
          <w:p w14:paraId="5F7E1D96" w14:textId="388AE860" w:rsidR="00F43AD5" w:rsidRPr="00717D45" w:rsidRDefault="00B53959" w:rsidP="00B76A41">
            <w:pPr>
              <w:pStyle w:val="Tablefont"/>
            </w:pPr>
            <w:r w:rsidRPr="00B53959">
              <w:t>C</w:t>
            </w:r>
            <w:r w:rsidRPr="00B53959">
              <w:rPr>
                <w:vertAlign w:val="subscript"/>
              </w:rPr>
              <w:t>7</w:t>
            </w:r>
            <w:r w:rsidRPr="00B53959">
              <w:t>H</w:t>
            </w:r>
            <w:r w:rsidRPr="00B53959">
              <w:rPr>
                <w:vertAlign w:val="subscript"/>
              </w:rPr>
              <w:t>7</w:t>
            </w:r>
            <w:r w:rsidRPr="00B53959">
              <w:t>Cl</w:t>
            </w:r>
          </w:p>
        </w:tc>
      </w:tr>
    </w:tbl>
    <w:p w14:paraId="5F7E1D9B" w14:textId="75ABAB65"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D87378">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7"/>
        <w:gridCol w:w="5029"/>
      </w:tblGrid>
      <w:tr w:rsidR="002C7AFE" w:rsidRPr="004C23F4" w14:paraId="5F7E1D9E" w14:textId="77777777" w:rsidTr="00610F2E">
        <w:trPr>
          <w:cantSplit/>
          <w:tblHeader/>
        </w:trPr>
        <w:tc>
          <w:tcPr>
            <w:tcW w:w="4077" w:type="dxa"/>
            <w:vAlign w:val="center"/>
          </w:tcPr>
          <w:p w14:paraId="5F7E1D9C" w14:textId="77777777" w:rsidR="002C7AFE" w:rsidRPr="002C58FF" w:rsidRDefault="00921DE7" w:rsidP="00921DE7">
            <w:pPr>
              <w:pStyle w:val="Tablerowright"/>
            </w:pPr>
            <w:r>
              <w:t>TWA:</w:t>
            </w:r>
          </w:p>
        </w:tc>
        <w:tc>
          <w:tcPr>
            <w:tcW w:w="5165" w:type="dxa"/>
          </w:tcPr>
          <w:p w14:paraId="5F7E1D9D" w14:textId="572D114B" w:rsidR="002C7AFE" w:rsidRPr="00EB3D1B" w:rsidRDefault="003D315A" w:rsidP="00017C82">
            <w:pPr>
              <w:pStyle w:val="Tablefont"/>
              <w:rPr>
                <w:b/>
              </w:rPr>
            </w:pPr>
            <w:r w:rsidRPr="003D315A">
              <w:rPr>
                <w:b/>
              </w:rPr>
              <w:t>1 ppm (5.2 mg/m</w:t>
            </w:r>
            <w:r w:rsidRPr="003D315A">
              <w:rPr>
                <w:b/>
                <w:vertAlign w:val="superscript"/>
              </w:rPr>
              <w:t>3</w:t>
            </w:r>
            <w:r w:rsidRPr="003D315A">
              <w:rPr>
                <w:b/>
              </w:rPr>
              <w:t>)</w:t>
            </w:r>
          </w:p>
        </w:tc>
      </w:tr>
      <w:tr w:rsidR="002C7AFE" w:rsidRPr="004C23F4" w14:paraId="5F7E1DA1" w14:textId="77777777" w:rsidTr="00921DE7">
        <w:trPr>
          <w:cantSplit/>
        </w:trPr>
        <w:tc>
          <w:tcPr>
            <w:tcW w:w="4077" w:type="dxa"/>
            <w:vAlign w:val="center"/>
          </w:tcPr>
          <w:p w14:paraId="5F7E1D9F" w14:textId="77777777" w:rsidR="002C7AFE" w:rsidRPr="002C58FF" w:rsidRDefault="002C7AFE" w:rsidP="00921DE7">
            <w:pPr>
              <w:pStyle w:val="Tablerowright"/>
            </w:pPr>
            <w:r w:rsidRPr="002C58FF">
              <w:t>STEL</w:t>
            </w:r>
            <w:r w:rsidR="00921DE7">
              <w:t>:</w:t>
            </w:r>
          </w:p>
        </w:tc>
        <w:tc>
          <w:tcPr>
            <w:tcW w:w="5165" w:type="dxa"/>
          </w:tcPr>
          <w:p w14:paraId="5F7E1DA0" w14:textId="02D1B5E4" w:rsidR="002C7AFE" w:rsidRPr="00EB3D1B" w:rsidRDefault="003D315A" w:rsidP="00017C82">
            <w:pPr>
              <w:pStyle w:val="Tablefont"/>
              <w:rPr>
                <w:b/>
              </w:rPr>
            </w:pPr>
            <w:r>
              <w:rPr>
                <w:b/>
              </w:rPr>
              <w:t>—</w:t>
            </w:r>
          </w:p>
        </w:tc>
      </w:tr>
      <w:tr w:rsidR="002C7AFE" w:rsidRPr="004C23F4" w14:paraId="5F7E1DA4" w14:textId="77777777" w:rsidTr="00921DE7">
        <w:trPr>
          <w:cantSplit/>
        </w:trPr>
        <w:tc>
          <w:tcPr>
            <w:tcW w:w="4077" w:type="dxa"/>
            <w:vAlign w:val="center"/>
          </w:tcPr>
          <w:p w14:paraId="5F7E1DA2" w14:textId="77777777" w:rsidR="002C7AFE" w:rsidRPr="002C58FF" w:rsidRDefault="00921DE7" w:rsidP="00921DE7">
            <w:pPr>
              <w:pStyle w:val="Tablerowright"/>
            </w:pPr>
            <w:r>
              <w:t>Peak limitation:</w:t>
            </w:r>
          </w:p>
        </w:tc>
        <w:tc>
          <w:tcPr>
            <w:tcW w:w="5165" w:type="dxa"/>
          </w:tcPr>
          <w:p w14:paraId="5F7E1DA3" w14:textId="50960347" w:rsidR="002C7AFE" w:rsidRPr="00BF06C1" w:rsidRDefault="006A1642" w:rsidP="00017C82">
            <w:pPr>
              <w:pStyle w:val="Tablefont"/>
              <w:rPr>
                <w:b/>
              </w:rPr>
            </w:pPr>
            <w:r>
              <w:rPr>
                <w:b/>
              </w:rPr>
              <w:t>—</w:t>
            </w:r>
          </w:p>
        </w:tc>
      </w:tr>
      <w:tr w:rsidR="002C7AFE" w:rsidRPr="004C23F4" w14:paraId="5F7E1DA7" w14:textId="77777777" w:rsidTr="00A2073D">
        <w:trPr>
          <w:cantSplit/>
        </w:trPr>
        <w:tc>
          <w:tcPr>
            <w:tcW w:w="4077" w:type="dxa"/>
          </w:tcPr>
          <w:p w14:paraId="5F7E1DA5"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165" w:type="dxa"/>
          </w:tcPr>
          <w:p w14:paraId="5F7E1DA6" w14:textId="094C5DA6" w:rsidR="002C7AFE" w:rsidRPr="00EB3D1B" w:rsidRDefault="002C0BC7" w:rsidP="008A36CF">
            <w:pPr>
              <w:pStyle w:val="Tablefont"/>
              <w:rPr>
                <w:b/>
              </w:rPr>
            </w:pPr>
            <w:proofErr w:type="spellStart"/>
            <w:r>
              <w:rPr>
                <w:b/>
              </w:rPr>
              <w:t>Carc</w:t>
            </w:r>
            <w:proofErr w:type="spellEnd"/>
            <w:r w:rsidR="00B41323">
              <w:rPr>
                <w:b/>
              </w:rPr>
              <w:t xml:space="preserve">. </w:t>
            </w:r>
            <w:r w:rsidR="00E623AD">
              <w:rPr>
                <w:b/>
              </w:rPr>
              <w:t>1B</w:t>
            </w:r>
            <w:r>
              <w:rPr>
                <w:b/>
              </w:rPr>
              <w:t>,</w:t>
            </w:r>
            <w:r w:rsidR="00B41323">
              <w:rPr>
                <w:b/>
              </w:rPr>
              <w:t xml:space="preserve"> DSEN</w:t>
            </w:r>
          </w:p>
        </w:tc>
      </w:tr>
      <w:tr w:rsidR="002C7AFE" w:rsidRPr="004C23F4" w14:paraId="5F7E1DAB" w14:textId="77777777" w:rsidTr="00921DE7">
        <w:trPr>
          <w:cantSplit/>
        </w:trPr>
        <w:tc>
          <w:tcPr>
            <w:tcW w:w="4077" w:type="dxa"/>
            <w:vAlign w:val="center"/>
          </w:tcPr>
          <w:p w14:paraId="5F7E1DA9" w14:textId="2D978157" w:rsidR="00F10C97" w:rsidRPr="002C58FF" w:rsidRDefault="00921DE7" w:rsidP="002D6CFF">
            <w:pPr>
              <w:pStyle w:val="Tablerowright"/>
            </w:pPr>
            <w:r>
              <w:t>IDLH:</w:t>
            </w:r>
          </w:p>
        </w:tc>
        <w:tc>
          <w:tcPr>
            <w:tcW w:w="5165" w:type="dxa"/>
          </w:tcPr>
          <w:p w14:paraId="5F7E1DAA" w14:textId="55B1DD02" w:rsidR="002C7AFE" w:rsidRPr="00BB7DD2" w:rsidRDefault="00A70F62" w:rsidP="00017C82">
            <w:pPr>
              <w:pStyle w:val="Tablefont"/>
              <w:rPr>
                <w:b/>
              </w:rPr>
            </w:pPr>
            <w:r>
              <w:rPr>
                <w:b/>
              </w:rPr>
              <w:t>10 ppm (52 mg/m</w:t>
            </w:r>
            <w:r w:rsidR="00BB7DD2">
              <w:rPr>
                <w:b/>
                <w:vertAlign w:val="superscript"/>
              </w:rPr>
              <w:t>3</w:t>
            </w:r>
            <w:r w:rsidR="00BB7DD2">
              <w:rPr>
                <w:b/>
              </w:rPr>
              <w:t>)</w:t>
            </w:r>
          </w:p>
        </w:tc>
      </w:tr>
      <w:tr w:rsidR="002D6CFF" w:rsidRPr="004C23F4" w14:paraId="238830B7" w14:textId="77777777" w:rsidTr="002D6CFF">
        <w:trPr>
          <w:cantSplit/>
        </w:trPr>
        <w:tc>
          <w:tcPr>
            <w:tcW w:w="4077" w:type="dxa"/>
          </w:tcPr>
          <w:p w14:paraId="68AC544C" w14:textId="1A494EB9" w:rsidR="002D6CFF" w:rsidRDefault="002D6CFF" w:rsidP="002D6CFF">
            <w:pPr>
              <w:pStyle w:val="Tablerowright"/>
            </w:pPr>
            <w:r>
              <w:t>Sampling and analysis:</w:t>
            </w:r>
          </w:p>
        </w:tc>
        <w:tc>
          <w:tcPr>
            <w:tcW w:w="5165" w:type="dxa"/>
          </w:tcPr>
          <w:p w14:paraId="362AD05C" w14:textId="56690CCD" w:rsidR="002D6CFF" w:rsidRPr="002D6CFF" w:rsidRDefault="002D6CFF" w:rsidP="002D6CFF">
            <w:pPr>
              <w:pStyle w:val="Tablefont"/>
            </w:pPr>
            <w:r w:rsidRPr="002D6CFF">
              <w:t xml:space="preserve">The recommended value is readily quantifiable through currently available sampling and analysis techniques. </w:t>
            </w:r>
          </w:p>
        </w:tc>
      </w:tr>
    </w:tbl>
    <w:p w14:paraId="5F7E1DAC" w14:textId="77777777" w:rsidR="00CB1CB1" w:rsidRPr="003365A5" w:rsidRDefault="00F10C97" w:rsidP="003365A5">
      <w:pPr>
        <w:pStyle w:val="Heading2"/>
      </w:pPr>
      <w:r>
        <w:t>Recommendation and basis for workplace exposure standard</w:t>
      </w:r>
    </w:p>
    <w:p w14:paraId="4E8B9CE9" w14:textId="76D10546" w:rsidR="002B15E0" w:rsidRPr="00CE00C6" w:rsidRDefault="000414AD" w:rsidP="000C139A">
      <w:pPr>
        <w:rPr>
          <w:rFonts w:cs="Arial"/>
        </w:rPr>
      </w:pPr>
      <w:r>
        <w:rPr>
          <w:rFonts w:cs="Arial"/>
        </w:rPr>
        <w:t>A TWA of 1 ppm (5.2 mg/m</w:t>
      </w:r>
      <w:r>
        <w:rPr>
          <w:rFonts w:cs="Arial"/>
          <w:vertAlign w:val="superscript"/>
        </w:rPr>
        <w:t>3</w:t>
      </w:r>
      <w:r>
        <w:rPr>
          <w:rFonts w:cs="Arial"/>
        </w:rPr>
        <w:t xml:space="preserve">) </w:t>
      </w:r>
      <w:r w:rsidR="00006B3D">
        <w:rPr>
          <w:rFonts w:cs="Arial"/>
        </w:rPr>
        <w:t xml:space="preserve">for benzyl chloride </w:t>
      </w:r>
      <w:r>
        <w:rPr>
          <w:rFonts w:cs="Arial"/>
        </w:rPr>
        <w:t xml:space="preserve">is recommended to protect </w:t>
      </w:r>
      <w:r w:rsidR="001757D6">
        <w:rPr>
          <w:rFonts w:cs="Arial"/>
        </w:rPr>
        <w:t>for</w:t>
      </w:r>
      <w:r w:rsidR="00351F16">
        <w:rPr>
          <w:rFonts w:cs="Arial"/>
        </w:rPr>
        <w:t xml:space="preserve"> irritation of </w:t>
      </w:r>
      <w:r w:rsidR="00006B3D">
        <w:rPr>
          <w:rFonts w:cs="Arial"/>
        </w:rPr>
        <w:t xml:space="preserve">the </w:t>
      </w:r>
      <w:r w:rsidR="002B15E0">
        <w:rPr>
          <w:rFonts w:cs="Arial"/>
        </w:rPr>
        <w:t xml:space="preserve">eyes, </w:t>
      </w:r>
      <w:r w:rsidR="00351F16">
        <w:rPr>
          <w:rFonts w:cs="Arial"/>
        </w:rPr>
        <w:t>nose and throat</w:t>
      </w:r>
      <w:r w:rsidR="00006B3D">
        <w:rPr>
          <w:rFonts w:cs="Arial"/>
        </w:rPr>
        <w:t xml:space="preserve"> in exposed workers</w:t>
      </w:r>
      <w:r w:rsidR="002B15E0">
        <w:rPr>
          <w:rFonts w:cs="Arial"/>
        </w:rPr>
        <w:t>.</w:t>
      </w:r>
      <w:r w:rsidR="00E623AD">
        <w:rPr>
          <w:rFonts w:cs="Arial"/>
        </w:rPr>
        <w:t xml:space="preserve"> </w:t>
      </w:r>
    </w:p>
    <w:p w14:paraId="5F7E1DAE" w14:textId="77777777" w:rsidR="00C7155E" w:rsidRPr="004C23F4" w:rsidRDefault="00F10C97" w:rsidP="003365A5">
      <w:pPr>
        <w:pStyle w:val="Heading2"/>
      </w:pPr>
      <w:r>
        <w:t>Discussion and conclusions</w:t>
      </w:r>
    </w:p>
    <w:p w14:paraId="07029DC7" w14:textId="72C7FD1B" w:rsidR="009A5FC0" w:rsidRDefault="00AE5507" w:rsidP="006639B4">
      <w:pPr>
        <w:rPr>
          <w:rFonts w:cs="Arial"/>
        </w:rPr>
      </w:pPr>
      <w:r>
        <w:rPr>
          <w:rFonts w:cs="Arial"/>
        </w:rPr>
        <w:t xml:space="preserve">Benzyl chloride is a </w:t>
      </w:r>
      <w:r w:rsidR="00522AE2">
        <w:rPr>
          <w:rFonts w:cs="Arial"/>
        </w:rPr>
        <w:t xml:space="preserve">reactive </w:t>
      </w:r>
      <w:r>
        <w:rPr>
          <w:rFonts w:cs="Arial"/>
        </w:rPr>
        <w:t>b</w:t>
      </w:r>
      <w:r w:rsidR="00365C3B">
        <w:rPr>
          <w:rFonts w:cs="Arial"/>
        </w:rPr>
        <w:t>y-product of chemical manufacture</w:t>
      </w:r>
      <w:r w:rsidR="00630CC6">
        <w:rPr>
          <w:rFonts w:cs="Arial"/>
        </w:rPr>
        <w:t xml:space="preserve"> and frequently present</w:t>
      </w:r>
      <w:r w:rsidR="00BC0048">
        <w:rPr>
          <w:rFonts w:cs="Arial"/>
        </w:rPr>
        <w:t>s</w:t>
      </w:r>
      <w:r w:rsidR="00630CC6">
        <w:rPr>
          <w:rFonts w:cs="Arial"/>
        </w:rPr>
        <w:t xml:space="preserve"> as a mixture with dichloro</w:t>
      </w:r>
      <w:r w:rsidR="004D2D4F">
        <w:rPr>
          <w:rFonts w:cs="Arial"/>
        </w:rPr>
        <w:t xml:space="preserve">toluene and </w:t>
      </w:r>
      <w:proofErr w:type="spellStart"/>
      <w:r w:rsidR="004D2D4F">
        <w:rPr>
          <w:rFonts w:cs="Arial"/>
        </w:rPr>
        <w:t>trichlorotoluene</w:t>
      </w:r>
      <w:proofErr w:type="spellEnd"/>
      <w:r w:rsidR="00F47E9C">
        <w:rPr>
          <w:rFonts w:cs="Arial"/>
        </w:rPr>
        <w:t xml:space="preserve"> in technical-grade preparations</w:t>
      </w:r>
      <w:r w:rsidR="004D2D4F">
        <w:rPr>
          <w:rFonts w:cs="Arial"/>
        </w:rPr>
        <w:t>.</w:t>
      </w:r>
      <w:r w:rsidR="00FF5716">
        <w:rPr>
          <w:rFonts w:cs="Arial"/>
        </w:rPr>
        <w:t xml:space="preserve"> </w:t>
      </w:r>
    </w:p>
    <w:p w14:paraId="2E831DE0" w14:textId="32D8CD76" w:rsidR="009B70A6" w:rsidRPr="0096372D" w:rsidRDefault="009A5FC0" w:rsidP="009B70A6">
      <w:pPr>
        <w:rPr>
          <w:rFonts w:cs="Arial"/>
        </w:rPr>
      </w:pPr>
      <w:r>
        <w:t>Benzyl chloride is carcinogen</w:t>
      </w:r>
      <w:r w:rsidR="00EE4CF8">
        <w:t>ic</w:t>
      </w:r>
      <w:r>
        <w:t xml:space="preserve"> in animals and mutagenic in bacterial and isolated mammalian cell assays (DFG, 1992). Available human carcinogenicity studies, while suggestive of causality, are inadequate for an assessment due to small cohort sizes and mixed exposures with other related compounds.</w:t>
      </w:r>
      <w:r w:rsidR="009B70A6">
        <w:t xml:space="preserve"> Animal studies indicate the chemical is a dermal sensitiser (NICNAS, 2013). The IDLH value of 10 ppm (52 mg/m</w:t>
      </w:r>
      <w:r w:rsidR="009B70A6">
        <w:rPr>
          <w:vertAlign w:val="superscript"/>
        </w:rPr>
        <w:t>3</w:t>
      </w:r>
      <w:r w:rsidR="009B70A6">
        <w:t>) is based human data that suggests a concentration of 20 ppm (104 mg/m</w:t>
      </w:r>
      <w:r w:rsidR="009B70A6">
        <w:rPr>
          <w:vertAlign w:val="superscript"/>
        </w:rPr>
        <w:t>3</w:t>
      </w:r>
      <w:r w:rsidR="009B70A6">
        <w:t xml:space="preserve">) produces an intolerable and irrespirable atmosphere. </w:t>
      </w:r>
    </w:p>
    <w:p w14:paraId="4C8C03BF" w14:textId="2D1C5273" w:rsidR="009A5FC0" w:rsidRDefault="002D70F6" w:rsidP="006639B4">
      <w:r>
        <w:rPr>
          <w:rFonts w:cs="Arial"/>
        </w:rPr>
        <w:t xml:space="preserve">Critical effects of exposure </w:t>
      </w:r>
      <w:r w:rsidR="00702AAA">
        <w:rPr>
          <w:rFonts w:cs="Arial"/>
        </w:rPr>
        <w:t>are acute eye and upper respiratory tract irritation</w:t>
      </w:r>
      <w:r w:rsidR="009A5FC0">
        <w:rPr>
          <w:rFonts w:cs="Arial"/>
        </w:rPr>
        <w:t xml:space="preserve"> that</w:t>
      </w:r>
      <w:r w:rsidR="003643A9">
        <w:rPr>
          <w:rFonts w:cs="Arial"/>
        </w:rPr>
        <w:t xml:space="preserve"> may lead to </w:t>
      </w:r>
      <w:r w:rsidR="00914462">
        <w:rPr>
          <w:rFonts w:cs="Arial"/>
        </w:rPr>
        <w:t xml:space="preserve">lung oedema, </w:t>
      </w:r>
      <w:r w:rsidR="003643A9">
        <w:t>weakness, anorexia and insomnia</w:t>
      </w:r>
      <w:r w:rsidR="00C95F0D">
        <w:t xml:space="preserve"> upon chronic exposure</w:t>
      </w:r>
      <w:r w:rsidR="00484493">
        <w:t xml:space="preserve"> (DFG, 1992)</w:t>
      </w:r>
      <w:r w:rsidR="00C95F0D">
        <w:t xml:space="preserve">. The TWA </w:t>
      </w:r>
      <w:r w:rsidR="006A1642">
        <w:t xml:space="preserve">is </w:t>
      </w:r>
      <w:r w:rsidR="00C95F0D">
        <w:t xml:space="preserve">derived from </w:t>
      </w:r>
      <w:r w:rsidR="00BE7E4F">
        <w:t xml:space="preserve">human sensory data </w:t>
      </w:r>
      <w:r w:rsidR="009A5FC0">
        <w:t>indicating</w:t>
      </w:r>
      <w:r w:rsidR="00581338">
        <w:t xml:space="preserve"> </w:t>
      </w:r>
      <w:r w:rsidR="00026C8F">
        <w:t>exposures below 1 ppm</w:t>
      </w:r>
      <w:r w:rsidR="004651DC">
        <w:t xml:space="preserve"> </w:t>
      </w:r>
      <w:r w:rsidR="00581338">
        <w:t xml:space="preserve">do </w:t>
      </w:r>
      <w:r w:rsidR="004651DC">
        <w:t>not cause</w:t>
      </w:r>
      <w:r w:rsidR="00026C8F">
        <w:t xml:space="preserve"> lung injury (ACGIH, </w:t>
      </w:r>
      <w:r w:rsidR="005D6A42">
        <w:t>2018</w:t>
      </w:r>
      <w:r w:rsidR="00026C8F">
        <w:t xml:space="preserve">). </w:t>
      </w:r>
    </w:p>
    <w:p w14:paraId="5F7E1DB0" w14:textId="79F98EFD" w:rsidR="004529F0" w:rsidRPr="004C23F4" w:rsidRDefault="004529F0" w:rsidP="004529F0">
      <w:pPr>
        <w:pStyle w:val="Heading2"/>
      </w:pPr>
      <w:r>
        <w:t>Recommendation for notations</w:t>
      </w:r>
    </w:p>
    <w:p w14:paraId="2F48EA8B" w14:textId="01572E45" w:rsidR="008123DF" w:rsidRDefault="002C0BC7" w:rsidP="008123DF">
      <w:r>
        <w:t xml:space="preserve">Classified as a </w:t>
      </w:r>
      <w:r w:rsidR="00B05D58">
        <w:t>category</w:t>
      </w:r>
      <w:r>
        <w:t xml:space="preserve"> 1B</w:t>
      </w:r>
      <w:r w:rsidR="00B05D58">
        <w:t xml:space="preserve"> carcinogen</w:t>
      </w:r>
      <w:r w:rsidR="008123DF">
        <w:t xml:space="preserve"> according to the Globally Harmonized System of Classification and Labelling of Chemicals (GHS).</w:t>
      </w:r>
    </w:p>
    <w:p w14:paraId="3DFF6AEA" w14:textId="23A57F0A" w:rsidR="002C0BC7" w:rsidRDefault="00534568" w:rsidP="002C0BC7">
      <w:r>
        <w:t xml:space="preserve">Classified as a </w:t>
      </w:r>
      <w:r w:rsidR="00F85B5D">
        <w:t>dermal</w:t>
      </w:r>
      <w:r>
        <w:t xml:space="preserve"> sensitiser </w:t>
      </w:r>
      <w:r w:rsidR="00E56F66">
        <w:t>and</w:t>
      </w:r>
      <w:r w:rsidR="00F85B5D">
        <w:t xml:space="preserve"> n</w:t>
      </w:r>
      <w:r w:rsidR="0033642F" w:rsidRPr="0033642F">
        <w:t>ot a respiratory sensitiser according to the GHS.</w:t>
      </w:r>
    </w:p>
    <w:p w14:paraId="5F7E1DB3" w14:textId="40209388" w:rsidR="005E6979" w:rsidRPr="004C23F4" w:rsidRDefault="00F85B5D">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r>
        <w:rPr>
          <w:rFonts w:cs="Arial"/>
        </w:rPr>
        <w:t>A</w:t>
      </w:r>
      <w:r w:rsidR="00081456">
        <w:rPr>
          <w:rFonts w:cs="Arial"/>
        </w:rPr>
        <w:t xml:space="preserve"> skin </w:t>
      </w:r>
      <w:r w:rsidR="003635D4">
        <w:rPr>
          <w:rFonts w:cs="Arial"/>
        </w:rPr>
        <w:t>no</w:t>
      </w:r>
      <w:r w:rsidR="005820BA">
        <w:rPr>
          <w:rFonts w:cs="Arial"/>
        </w:rPr>
        <w:t>tation</w:t>
      </w:r>
      <w:r>
        <w:rPr>
          <w:rFonts w:cs="Arial"/>
        </w:rPr>
        <w:t xml:space="preserve"> is not </w:t>
      </w:r>
      <w:r w:rsidR="00E56F66">
        <w:rPr>
          <w:rFonts w:cs="Arial"/>
        </w:rPr>
        <w:t>recommended</w:t>
      </w:r>
      <w:r>
        <w:rPr>
          <w:rFonts w:cs="Arial"/>
        </w:rPr>
        <w:t xml:space="preserve"> based on the available evidence</w:t>
      </w:r>
      <w:r w:rsidR="005820BA">
        <w:rPr>
          <w:rFonts w:cs="Arial"/>
        </w:rPr>
        <w:t>.</w:t>
      </w:r>
    </w:p>
    <w:p w14:paraId="5F7E1DB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5F7E1DB5"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5F7E1DB7" w14:textId="77777777" w:rsidTr="00DE26E8">
        <w:trPr>
          <w:gridAfter w:val="1"/>
          <w:wAfter w:w="8" w:type="pct"/>
          <w:cantSplit/>
          <w:trHeight w:val="393"/>
          <w:tblHeader/>
        </w:trPr>
        <w:tc>
          <w:tcPr>
            <w:tcW w:w="4992" w:type="pct"/>
            <w:shd w:val="clear" w:color="auto" w:fill="BFBFBF" w:themeFill="background1" w:themeFillShade="BF"/>
            <w:vAlign w:val="center"/>
          </w:tcPr>
          <w:p w14:paraId="5F7E1DB6"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F7E1DB9" w14:textId="77777777" w:rsidTr="00DE26E8">
        <w:trPr>
          <w:cantSplit/>
        </w:trPr>
        <w:tc>
          <w:tcPr>
            <w:tcW w:w="5000" w:type="pct"/>
            <w:gridSpan w:val="2"/>
            <w:shd w:val="clear" w:color="auto" w:fill="F2F2F2" w:themeFill="background1" w:themeFillShade="F2"/>
          </w:tcPr>
          <w:p w14:paraId="5F7E1DB8" w14:textId="580FF26E"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showingPlcHdr/>
                <w:text/>
              </w:sdtPr>
              <w:sdtContent>
                <w:r>
                  <w:rPr>
                    <w:rStyle w:val="PlaceholderText"/>
                    <w:i w:val="0"/>
                  </w:rPr>
                  <w:t>Y</w:t>
                </w:r>
                <w:r w:rsidRPr="003365A5">
                  <w:rPr>
                    <w:rStyle w:val="PlaceholderText"/>
                    <w:i w:val="0"/>
                  </w:rPr>
                  <w:t>ear</w:t>
                </w:r>
              </w:sdtContent>
            </w:sdt>
            <w:r w:rsidRPr="003365A5">
              <w:tab/>
            </w:r>
            <w:r>
              <w:tab/>
            </w:r>
            <w:sdt>
              <w:sdtPr>
                <w:alias w:val="SWA WES"/>
                <w:tag w:val="SWA WES"/>
                <w:id w:val="857077202"/>
                <w:placeholder>
                  <w:docPart w:val="81CFEC2FDBC5451289F394E66D92D1A0"/>
                </w:placeholder>
              </w:sdtPr>
              <w:sdtContent>
                <w:r w:rsidR="006B10B5">
                  <w:t xml:space="preserve">TWA: </w:t>
                </w:r>
                <w:r w:rsidR="006B10B5" w:rsidRPr="006B10B5">
                  <w:t>1</w:t>
                </w:r>
                <w:r w:rsidR="006B10B5">
                  <w:t xml:space="preserve"> ppm</w:t>
                </w:r>
                <w:r w:rsidR="006B10B5" w:rsidRPr="006B10B5">
                  <w:t xml:space="preserve"> </w:t>
                </w:r>
                <w:r w:rsidR="006B10B5">
                  <w:t>(</w:t>
                </w:r>
                <w:r w:rsidR="006B10B5" w:rsidRPr="006B10B5">
                  <w:t>5.2</w:t>
                </w:r>
                <w:r w:rsidR="006B10B5">
                  <w:t xml:space="preserve"> mg/m</w:t>
                </w:r>
                <w:r w:rsidR="006B10B5">
                  <w:rPr>
                    <w:vertAlign w:val="superscript"/>
                  </w:rPr>
                  <w:t>3</w:t>
                </w:r>
                <w:r w:rsidR="006B10B5">
                  <w:t>)</w:t>
                </w:r>
              </w:sdtContent>
            </w:sdt>
          </w:p>
        </w:tc>
      </w:tr>
      <w:tr w:rsidR="00C978F0" w:rsidRPr="00DA352E" w14:paraId="5F7E1DBB" w14:textId="77777777" w:rsidTr="00DE26E8">
        <w:trPr>
          <w:gridAfter w:val="1"/>
          <w:wAfter w:w="8" w:type="pct"/>
          <w:cantSplit/>
        </w:trPr>
        <w:tc>
          <w:tcPr>
            <w:tcW w:w="4992" w:type="pct"/>
          </w:tcPr>
          <w:p w14:paraId="5F7E1DBA" w14:textId="77777777" w:rsidR="00C978F0" w:rsidRPr="00DA352E" w:rsidRDefault="00C978F0" w:rsidP="003365A5">
            <w:pPr>
              <w:pStyle w:val="Tabletextprimarysource"/>
            </w:pPr>
          </w:p>
        </w:tc>
      </w:tr>
      <w:tr w:rsidR="00C978F0" w:rsidRPr="00DA352E" w14:paraId="5F7E1DBD" w14:textId="77777777" w:rsidTr="00DE26E8">
        <w:trPr>
          <w:gridAfter w:val="1"/>
          <w:wAfter w:w="8" w:type="pct"/>
          <w:cantSplit/>
        </w:trPr>
        <w:tc>
          <w:tcPr>
            <w:tcW w:w="4992" w:type="pct"/>
            <w:shd w:val="clear" w:color="auto" w:fill="F2F2F2" w:themeFill="background1" w:themeFillShade="F2"/>
          </w:tcPr>
          <w:p w14:paraId="5F7E1DBC" w14:textId="6D52A411"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Content>
                <w:r w:rsidR="00115ED6">
                  <w:t>2001</w:t>
                </w:r>
              </w:sdtContent>
            </w:sdt>
            <w:r w:rsidR="00916EC0" w:rsidRPr="003365A5">
              <w:tab/>
            </w:r>
            <w:r w:rsidR="0051509C">
              <w:tab/>
            </w:r>
            <w:sdt>
              <w:sdtPr>
                <w:alias w:val="ACGIH WES equivalent"/>
                <w:tag w:val="ACGIH WES equivalent"/>
                <w:id w:val="-1676410403"/>
                <w:placeholder>
                  <w:docPart w:val="522022AAE76B4622AC0DF750489702EB"/>
                </w:placeholder>
              </w:sdtPr>
              <w:sdtContent>
                <w:r w:rsidR="00115ED6" w:rsidRPr="00115ED6">
                  <w:t>TLV</w:t>
                </w:r>
                <w:r w:rsidR="00457518">
                  <w:t>-</w:t>
                </w:r>
                <w:r w:rsidR="00115ED6" w:rsidRPr="00115ED6">
                  <w:t>TWA</w:t>
                </w:r>
                <w:r w:rsidR="00BC0048">
                  <w:t>:</w:t>
                </w:r>
                <w:r w:rsidR="00115ED6" w:rsidRPr="00115ED6">
                  <w:t xml:space="preserve"> 1 ppm (5.2 mg/m</w:t>
                </w:r>
                <w:r w:rsidR="00115ED6" w:rsidRPr="00115ED6">
                  <w:rPr>
                    <w:vertAlign w:val="superscript"/>
                  </w:rPr>
                  <w:t>3</w:t>
                </w:r>
                <w:r w:rsidR="00115ED6" w:rsidRPr="00115ED6">
                  <w:t>)</w:t>
                </w:r>
              </w:sdtContent>
            </w:sdt>
          </w:p>
        </w:tc>
      </w:tr>
      <w:tr w:rsidR="00C978F0" w:rsidRPr="00DA352E" w14:paraId="5F7E1DBF" w14:textId="77777777" w:rsidTr="00DE26E8">
        <w:trPr>
          <w:gridAfter w:val="1"/>
          <w:wAfter w:w="8" w:type="pct"/>
          <w:cantSplit/>
        </w:trPr>
        <w:tc>
          <w:tcPr>
            <w:tcW w:w="4992" w:type="pct"/>
          </w:tcPr>
          <w:p w14:paraId="1F685090" w14:textId="1D286088" w:rsidR="00E56F66" w:rsidRDefault="007D1B42" w:rsidP="002C2C57">
            <w:pPr>
              <w:pStyle w:val="Tablefont"/>
            </w:pPr>
            <w:r w:rsidRPr="002C2C57">
              <w:t xml:space="preserve">TLV-TWA intended to minimise potential for acute </w:t>
            </w:r>
            <w:r w:rsidR="002B0FBC" w:rsidRPr="002C2C57">
              <w:t>irritation to eyes, nose</w:t>
            </w:r>
            <w:r w:rsidRPr="002C2C57">
              <w:t xml:space="preserve"> and throat</w:t>
            </w:r>
            <w:r w:rsidR="00FC6D2B">
              <w:t xml:space="preserve"> and development of lung</w:t>
            </w:r>
            <w:r w:rsidRPr="002C2C57">
              <w:t xml:space="preserve"> </w:t>
            </w:r>
            <w:r w:rsidR="00914462" w:rsidRPr="002C2C57">
              <w:t>oedema</w:t>
            </w:r>
            <w:r w:rsidRPr="002C2C57">
              <w:t xml:space="preserve"> </w:t>
            </w:r>
            <w:r w:rsidR="00FC6D2B">
              <w:t>following</w:t>
            </w:r>
            <w:r w:rsidRPr="002C2C57">
              <w:t xml:space="preserve"> prolonged</w:t>
            </w:r>
            <w:r w:rsidR="00351C06" w:rsidRPr="002C2C57">
              <w:t xml:space="preserve"> </w:t>
            </w:r>
            <w:r w:rsidRPr="002C2C57">
              <w:t>exposures</w:t>
            </w:r>
            <w:r w:rsidR="00081456">
              <w:t>. TLV-TWA d</w:t>
            </w:r>
            <w:r w:rsidR="00397B94" w:rsidRPr="002C2C57">
              <w:t xml:space="preserve">erived </w:t>
            </w:r>
            <w:r w:rsidR="00EE39F5" w:rsidRPr="002C2C57">
              <w:t xml:space="preserve">from </w:t>
            </w:r>
            <w:r w:rsidR="00ED0514" w:rsidRPr="002C2C57">
              <w:t>1 ppm threshold limit based on human sensory data</w:t>
            </w:r>
            <w:r w:rsidR="0046643D" w:rsidRPr="002C2C57">
              <w:t>, which prevented lung injury.</w:t>
            </w:r>
            <w:r w:rsidR="003404E4" w:rsidRPr="002C2C57">
              <w:t xml:space="preserve"> </w:t>
            </w:r>
          </w:p>
          <w:p w14:paraId="29DB74E1" w14:textId="7AFC202C" w:rsidR="00E56F66" w:rsidRDefault="003404E4" w:rsidP="00D42A31">
            <w:pPr>
              <w:pStyle w:val="Tablefont"/>
            </w:pPr>
            <w:r w:rsidRPr="002C2C57">
              <w:t xml:space="preserve">Insufficient data available to recommend </w:t>
            </w:r>
            <w:r w:rsidR="000B021C" w:rsidRPr="002C2C57">
              <w:t xml:space="preserve">notations for </w:t>
            </w:r>
            <w:r w:rsidRPr="002C2C57">
              <w:t>skin</w:t>
            </w:r>
            <w:r w:rsidR="00E56F66">
              <w:t xml:space="preserve"> and</w:t>
            </w:r>
            <w:r w:rsidRPr="002C2C57">
              <w:t xml:space="preserve"> sensiti</w:t>
            </w:r>
            <w:r w:rsidR="000B021C" w:rsidRPr="002C2C57">
              <w:t>sation</w:t>
            </w:r>
            <w:r w:rsidRPr="002C2C57">
              <w:t xml:space="preserve"> or a TLV</w:t>
            </w:r>
            <w:r w:rsidR="00457518">
              <w:t>-</w:t>
            </w:r>
            <w:r w:rsidRPr="002C2C57">
              <w:t>STEL.</w:t>
            </w:r>
            <w:r w:rsidR="00594391" w:rsidRPr="002C2C57">
              <w:t xml:space="preserve"> </w:t>
            </w:r>
          </w:p>
          <w:p w14:paraId="0133FD56" w14:textId="301A9D6D" w:rsidR="00D42A31" w:rsidRPr="002C2C57" w:rsidRDefault="00594391" w:rsidP="00D42A31">
            <w:pPr>
              <w:pStyle w:val="Tablefont"/>
            </w:pPr>
            <w:r w:rsidRPr="002C2C57">
              <w:t>Confirmed animal carcinogen with unknown relevance to humans.</w:t>
            </w:r>
          </w:p>
          <w:p w14:paraId="445E3424" w14:textId="7E2BB62A" w:rsidR="00351C06" w:rsidRDefault="00351C06" w:rsidP="00D42A31">
            <w:pPr>
              <w:pStyle w:val="Tablefont"/>
            </w:pPr>
            <w:r>
              <w:t>Summary of data:</w:t>
            </w:r>
          </w:p>
          <w:p w14:paraId="2C56FBC2" w14:textId="5190E3DA" w:rsidR="00351C06" w:rsidRDefault="00351C06" w:rsidP="002C0BC7">
            <w:pPr>
              <w:pStyle w:val="ListBullet"/>
              <w:numPr>
                <w:ilvl w:val="0"/>
                <w:numId w:val="0"/>
              </w:numPr>
              <w:ind w:left="360" w:hanging="360"/>
            </w:pPr>
            <w:r>
              <w:t>Human data:</w:t>
            </w:r>
          </w:p>
          <w:p w14:paraId="1AE08AFA" w14:textId="066B5CA8" w:rsidR="00705279" w:rsidRDefault="00705279" w:rsidP="00803147">
            <w:pPr>
              <w:pStyle w:val="ListBullet"/>
              <w:spacing w:before="0" w:after="80"/>
              <w:ind w:left="720" w:hanging="357"/>
              <w:contextualSpacing w:val="0"/>
            </w:pPr>
            <w:r>
              <w:t>Potent lac</w:t>
            </w:r>
            <w:r w:rsidR="006F734E">
              <w:t>h</w:t>
            </w:r>
            <w:r>
              <w:t>r</w:t>
            </w:r>
            <w:r w:rsidR="006F734E">
              <w:t>y</w:t>
            </w:r>
            <w:r>
              <w:t>mator</w:t>
            </w:r>
            <w:r w:rsidR="00356DFC">
              <w:t xml:space="preserve"> and can cause corneal injury</w:t>
            </w:r>
          </w:p>
          <w:p w14:paraId="7C3E8FF6" w14:textId="0BF8007F" w:rsidR="00356DFC" w:rsidRDefault="008130B9" w:rsidP="00803147">
            <w:pPr>
              <w:pStyle w:val="ListBullet"/>
              <w:spacing w:before="0" w:after="80"/>
              <w:ind w:left="720" w:hanging="357"/>
              <w:contextualSpacing w:val="0"/>
            </w:pPr>
            <w:r>
              <w:t xml:space="preserve">Lung injury prevented below 1 ppm according to </w:t>
            </w:r>
            <w:r w:rsidR="00A0385D">
              <w:t>human sensory data (no further information provided)</w:t>
            </w:r>
          </w:p>
          <w:p w14:paraId="3A864D5C" w14:textId="310C152D" w:rsidR="00182DE3" w:rsidRDefault="005A0835" w:rsidP="00803147">
            <w:pPr>
              <w:pStyle w:val="ListBullet"/>
              <w:spacing w:before="0" w:after="80"/>
              <w:ind w:left="720" w:hanging="357"/>
              <w:contextualSpacing w:val="0"/>
            </w:pPr>
            <w:r>
              <w:t xml:space="preserve">Slight conjunctivitis at 1.5 ppm </w:t>
            </w:r>
            <w:r w:rsidR="009A5FC0">
              <w:t>after</w:t>
            </w:r>
            <w:r w:rsidR="00BA7644">
              <w:t xml:space="preserve"> 5 min exposure (no further information provided)</w:t>
            </w:r>
          </w:p>
          <w:p w14:paraId="3C5F0A8B" w14:textId="0BF9B001" w:rsidR="0070228C" w:rsidRDefault="003F3E0C" w:rsidP="00803147">
            <w:pPr>
              <w:pStyle w:val="ListBullet"/>
              <w:spacing w:before="0" w:after="80"/>
              <w:ind w:left="720" w:hanging="357"/>
              <w:contextualSpacing w:val="0"/>
            </w:pPr>
            <w:r>
              <w:t>Threshold for eye irritation</w:t>
            </w:r>
            <w:r w:rsidR="000001D7">
              <w:t xml:space="preserve"> of</w:t>
            </w:r>
            <w:r w:rsidR="008E43E6">
              <w:t xml:space="preserve"> </w:t>
            </w:r>
            <w:r w:rsidR="006750C9">
              <w:t>8 ppm</w:t>
            </w:r>
            <w:r w:rsidR="0070228C">
              <w:t xml:space="preserve"> </w:t>
            </w:r>
            <w:r w:rsidR="000001D7">
              <w:t>(</w:t>
            </w:r>
            <w:r w:rsidR="0070228C">
              <w:t>10 s exposure</w:t>
            </w:r>
            <w:r w:rsidR="000001D7">
              <w:t>, no further information provided</w:t>
            </w:r>
            <w:r w:rsidR="0070228C">
              <w:t>)</w:t>
            </w:r>
          </w:p>
          <w:p w14:paraId="04E1DE73" w14:textId="6DC0E687" w:rsidR="00271E13" w:rsidRDefault="00271E13" w:rsidP="00803147">
            <w:pPr>
              <w:pStyle w:val="ListBullet"/>
              <w:spacing w:before="0" w:after="80"/>
              <w:ind w:left="720" w:hanging="357"/>
              <w:contextualSpacing w:val="0"/>
            </w:pPr>
            <w:r>
              <w:t>Single breath containing 35 ppm caused nasal irritation (no further information provided)</w:t>
            </w:r>
          </w:p>
          <w:p w14:paraId="065753AA" w14:textId="2807BF7E" w:rsidR="00BA7644" w:rsidRDefault="00A14534" w:rsidP="00803147">
            <w:pPr>
              <w:pStyle w:val="ListBullet"/>
              <w:spacing w:before="0" w:after="80"/>
              <w:ind w:left="720" w:hanging="357"/>
              <w:contextualSpacing w:val="0"/>
            </w:pPr>
            <w:r>
              <w:t xml:space="preserve">Intolerable at 16 ppm </w:t>
            </w:r>
            <w:r w:rsidR="001612FD">
              <w:t>for 1 min (no further information provided)</w:t>
            </w:r>
            <w:r w:rsidR="00D76561">
              <w:t>.</w:t>
            </w:r>
          </w:p>
          <w:p w14:paraId="469B349B" w14:textId="4A797B12" w:rsidR="00351C06" w:rsidRDefault="00FB6F6B" w:rsidP="002C0BC7">
            <w:pPr>
              <w:pStyle w:val="ListBullet"/>
              <w:numPr>
                <w:ilvl w:val="0"/>
                <w:numId w:val="0"/>
              </w:numPr>
              <w:ind w:left="360" w:hanging="360"/>
            </w:pPr>
            <w:r>
              <w:t>Animal data:</w:t>
            </w:r>
          </w:p>
          <w:p w14:paraId="2C03046B" w14:textId="6008010E" w:rsidR="00FB6F6B" w:rsidRDefault="00784255" w:rsidP="00803147">
            <w:pPr>
              <w:pStyle w:val="ListBullet"/>
              <w:spacing w:before="0" w:after="80"/>
              <w:ind w:left="720" w:hanging="357"/>
              <w:contextualSpacing w:val="0"/>
            </w:pPr>
            <w:r>
              <w:t>LC</w:t>
            </w:r>
            <w:r>
              <w:rPr>
                <w:vertAlign w:val="subscript"/>
              </w:rPr>
              <w:t>50</w:t>
            </w:r>
            <w:r>
              <w:t xml:space="preserve">: 80 ppm </w:t>
            </w:r>
            <w:r w:rsidR="008934C5">
              <w:t>(</w:t>
            </w:r>
            <w:r w:rsidR="003A3830">
              <w:t xml:space="preserve">mice, </w:t>
            </w:r>
            <w:r w:rsidR="008934C5">
              <w:t>2 h)</w:t>
            </w:r>
          </w:p>
          <w:p w14:paraId="1860A3E1" w14:textId="39F3F634" w:rsidR="008934C5" w:rsidRDefault="008934C5" w:rsidP="00803147">
            <w:pPr>
              <w:pStyle w:val="ListBullet"/>
              <w:spacing w:before="0" w:after="80"/>
              <w:ind w:left="720" w:hanging="357"/>
              <w:contextualSpacing w:val="0"/>
            </w:pPr>
            <w:r>
              <w:t>LC</w:t>
            </w:r>
            <w:r>
              <w:rPr>
                <w:vertAlign w:val="subscript"/>
              </w:rPr>
              <w:t>50</w:t>
            </w:r>
            <w:r>
              <w:t>: 150 ppm (</w:t>
            </w:r>
            <w:r w:rsidR="003A3830">
              <w:t xml:space="preserve">rats, </w:t>
            </w:r>
            <w:r>
              <w:t>2 h)</w:t>
            </w:r>
          </w:p>
          <w:p w14:paraId="31E851C3" w14:textId="46FA9397" w:rsidR="00462E02" w:rsidRDefault="00462E02" w:rsidP="00803147">
            <w:pPr>
              <w:pStyle w:val="ListBullet"/>
              <w:spacing w:before="0" w:after="80"/>
              <w:ind w:left="720" w:hanging="357"/>
              <w:contextualSpacing w:val="0"/>
            </w:pPr>
            <w:r>
              <w:t xml:space="preserve">Both rats and mice survive </w:t>
            </w:r>
            <w:r w:rsidR="00AB7F67">
              <w:t xml:space="preserve">at </w:t>
            </w:r>
            <w:r>
              <w:t>400 ppm (1 h)</w:t>
            </w:r>
          </w:p>
          <w:p w14:paraId="15FCDA35" w14:textId="73246F82" w:rsidR="00AB7F67" w:rsidRDefault="00D54218" w:rsidP="00803147">
            <w:pPr>
              <w:pStyle w:val="ListBullet"/>
              <w:spacing w:before="0" w:after="80"/>
              <w:ind w:left="720" w:hanging="357"/>
              <w:contextualSpacing w:val="0"/>
            </w:pPr>
            <w:r>
              <w:t>Eye and respiratory tract irritation at 95 ppm (</w:t>
            </w:r>
            <w:r w:rsidR="009569B9">
              <w:t xml:space="preserve">rabbits, cats, </w:t>
            </w:r>
            <w:r w:rsidR="003A3830">
              <w:t>8 h/d, 6 d)</w:t>
            </w:r>
          </w:p>
          <w:p w14:paraId="1B7E5676" w14:textId="77777777" w:rsidR="008934C5" w:rsidRDefault="002D39C2" w:rsidP="00803147">
            <w:pPr>
              <w:pStyle w:val="ListBullet"/>
              <w:spacing w:before="0" w:after="80"/>
              <w:ind w:left="720" w:hanging="357"/>
              <w:contextualSpacing w:val="0"/>
            </w:pPr>
            <w:r>
              <w:t>Skin sensitisation reported in guinea pigs (no further information provided)</w:t>
            </w:r>
          </w:p>
          <w:p w14:paraId="04D97EA3" w14:textId="77777777" w:rsidR="009A5FC0" w:rsidRDefault="00125ADA" w:rsidP="00803147">
            <w:pPr>
              <w:pStyle w:val="ListBullet"/>
              <w:spacing w:before="0" w:after="80"/>
              <w:ind w:left="720" w:hanging="357"/>
              <w:contextualSpacing w:val="0"/>
            </w:pPr>
            <w:r>
              <w:t xml:space="preserve">Sarcomas </w:t>
            </w:r>
            <w:r w:rsidR="00457518">
              <w:t>at</w:t>
            </w:r>
            <w:r w:rsidR="002B02F2">
              <w:t xml:space="preserve"> injection site</w:t>
            </w:r>
            <w:r w:rsidR="00785CC3">
              <w:t xml:space="preserve"> </w:t>
            </w:r>
            <w:r w:rsidR="004202A8">
              <w:t>and</w:t>
            </w:r>
            <w:r w:rsidR="00767A68">
              <w:t xml:space="preserve"> lung metastases</w:t>
            </w:r>
            <w:r w:rsidR="002B02F2">
              <w:t xml:space="preserve"> </w:t>
            </w:r>
            <w:r w:rsidR="004202A8">
              <w:t xml:space="preserve">formed </w:t>
            </w:r>
            <w:r w:rsidR="00D76561">
              <w:t xml:space="preserve">following weekly administration of </w:t>
            </w:r>
            <w:r w:rsidR="00767A68">
              <w:t xml:space="preserve">80 mg/kg </w:t>
            </w:r>
            <w:r w:rsidR="0022792B">
              <w:t xml:space="preserve">in repeat </w:t>
            </w:r>
            <w:r w:rsidR="007C1B98">
              <w:t xml:space="preserve">subcutaneous </w:t>
            </w:r>
            <w:r w:rsidR="0022792B">
              <w:t>dose study</w:t>
            </w:r>
            <w:r w:rsidR="009841B9">
              <w:t xml:space="preserve"> (</w:t>
            </w:r>
            <w:r w:rsidR="007C1B98">
              <w:t>rats,</w:t>
            </w:r>
            <w:r w:rsidR="0015227A">
              <w:t xml:space="preserve"> 51 </w:t>
            </w:r>
            <w:proofErr w:type="spellStart"/>
            <w:r w:rsidR="0015227A">
              <w:t>wk</w:t>
            </w:r>
            <w:proofErr w:type="spellEnd"/>
            <w:r w:rsidR="00B6629C">
              <w:t xml:space="preserve">, </w:t>
            </w:r>
            <w:r w:rsidR="00785CC3">
              <w:t>mean induction time 500 d</w:t>
            </w:r>
            <w:r w:rsidR="00B6629C">
              <w:t>)</w:t>
            </w:r>
          </w:p>
          <w:p w14:paraId="245F0BC8" w14:textId="37953C09" w:rsidR="00125ADA" w:rsidRDefault="00E56F66" w:rsidP="00B37D86">
            <w:pPr>
              <w:pStyle w:val="ListBullet"/>
              <w:numPr>
                <w:ilvl w:val="0"/>
                <w:numId w:val="10"/>
              </w:numPr>
              <w:spacing w:before="0" w:after="80"/>
              <w:ind w:hanging="357"/>
              <w:contextualSpacing w:val="0"/>
            </w:pPr>
            <w:r>
              <w:t>a</w:t>
            </w:r>
            <w:r w:rsidR="00436315">
              <w:t xml:space="preserve">t 40 mg/kg, </w:t>
            </w:r>
            <w:r w:rsidR="00A27BF4">
              <w:t xml:space="preserve">only </w:t>
            </w:r>
            <w:r w:rsidR="00436315">
              <w:t>some sarcomas formed</w:t>
            </w:r>
          </w:p>
          <w:p w14:paraId="45934F98" w14:textId="60A8C151" w:rsidR="00A27BF4" w:rsidRDefault="008044FA" w:rsidP="00803147">
            <w:pPr>
              <w:pStyle w:val="ListBullet"/>
              <w:spacing w:before="0" w:after="80"/>
              <w:ind w:left="720" w:hanging="357"/>
              <w:contextualSpacing w:val="0"/>
            </w:pPr>
            <w:proofErr w:type="spellStart"/>
            <w:r>
              <w:t>Papillomas</w:t>
            </w:r>
            <w:proofErr w:type="spellEnd"/>
            <w:r>
              <w:t xml:space="preserve"> and </w:t>
            </w:r>
            <w:r w:rsidR="00D43AAC">
              <w:t xml:space="preserve">carcinomas </w:t>
            </w:r>
            <w:r w:rsidR="00260A0B">
              <w:t>of stomach</w:t>
            </w:r>
            <w:r w:rsidR="00B02ACC">
              <w:t xml:space="preserve"> at 50</w:t>
            </w:r>
            <w:r w:rsidR="00BC7E9B">
              <w:t>–</w:t>
            </w:r>
            <w:r w:rsidR="00B02ACC">
              <w:t xml:space="preserve">100 mg/kg (mice) and </w:t>
            </w:r>
            <w:r w:rsidR="00EB63F3">
              <w:t>15</w:t>
            </w:r>
            <w:r w:rsidR="00BC7E9B">
              <w:t>–</w:t>
            </w:r>
            <w:r w:rsidR="00EB63F3">
              <w:t>30 mg/kg (rats) in repeat feeding study (3</w:t>
            </w:r>
            <w:r w:rsidR="00BC0048">
              <w:t>/</w:t>
            </w:r>
            <w:proofErr w:type="spellStart"/>
            <w:r w:rsidR="00F166FE">
              <w:t>wk</w:t>
            </w:r>
            <w:proofErr w:type="spellEnd"/>
            <w:r w:rsidR="00F166FE">
              <w:t>, 2 y</w:t>
            </w:r>
            <w:r w:rsidR="00BC0048">
              <w:t>r</w:t>
            </w:r>
            <w:r w:rsidR="00F166FE">
              <w:t>)</w:t>
            </w:r>
          </w:p>
          <w:p w14:paraId="3C849DD7" w14:textId="5FCE52E0" w:rsidR="00CF446A" w:rsidRDefault="00AE41A5" w:rsidP="00803147">
            <w:pPr>
              <w:pStyle w:val="ListBullet"/>
              <w:spacing w:before="0" w:after="80"/>
              <w:ind w:left="720" w:hanging="357"/>
              <w:contextualSpacing w:val="0"/>
            </w:pPr>
            <w:r>
              <w:t xml:space="preserve">Mutagenic and clastogenic in </w:t>
            </w:r>
            <w:r w:rsidR="00E37037">
              <w:t>rodent cells</w:t>
            </w:r>
            <w:r w:rsidR="00DB29E3">
              <w:t xml:space="preserve"> (</w:t>
            </w:r>
            <w:r w:rsidR="00610F8E">
              <w:t>species not specified)</w:t>
            </w:r>
            <w:r w:rsidR="002C2C57">
              <w:t>.</w:t>
            </w:r>
          </w:p>
          <w:p w14:paraId="5F7E1DBE" w14:textId="500A2DEC" w:rsidR="00D76561" w:rsidRPr="00784255" w:rsidRDefault="00D76561" w:rsidP="00990AE5">
            <w:pPr>
              <w:pStyle w:val="ListBullet"/>
              <w:numPr>
                <w:ilvl w:val="0"/>
                <w:numId w:val="0"/>
              </w:numPr>
              <w:spacing w:before="0" w:after="80"/>
              <w:ind w:left="360" w:hanging="360"/>
              <w:contextualSpacing w:val="0"/>
            </w:pPr>
          </w:p>
        </w:tc>
      </w:tr>
      <w:tr w:rsidR="00C978F0" w:rsidRPr="00DA352E" w14:paraId="5F7E1DC1" w14:textId="77777777" w:rsidTr="00DE26E8">
        <w:trPr>
          <w:gridAfter w:val="1"/>
          <w:wAfter w:w="8" w:type="pct"/>
          <w:cantSplit/>
        </w:trPr>
        <w:tc>
          <w:tcPr>
            <w:tcW w:w="4992" w:type="pct"/>
            <w:shd w:val="clear" w:color="auto" w:fill="F2F2F2" w:themeFill="background1" w:themeFillShade="F2"/>
          </w:tcPr>
          <w:p w14:paraId="5F7E1DC0" w14:textId="04C132C0"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Content>
                <w:r w:rsidR="00553F08">
                  <w:t>1992</w:t>
                </w:r>
              </w:sdtContent>
            </w:sdt>
            <w:r w:rsidR="00916EC0" w:rsidRPr="003365A5">
              <w:tab/>
            </w:r>
            <w:r w:rsidR="0051509C">
              <w:tab/>
            </w:r>
            <w:sdt>
              <w:sdtPr>
                <w:alias w:val="DFG WES equivalent"/>
                <w:tag w:val="DFG WES equivalent"/>
                <w:id w:val="-736175395"/>
                <w:placeholder>
                  <w:docPart w:val="1ED9AEC91FDC4528B51A567B2B19EB9F"/>
                </w:placeholder>
              </w:sdtPr>
              <w:sdtContent>
                <w:r w:rsidR="00C84FA6">
                  <w:t>Not a</w:t>
                </w:r>
                <w:r w:rsidR="002C0BC7">
                  <w:t>ssigned</w:t>
                </w:r>
              </w:sdtContent>
            </w:sdt>
          </w:p>
        </w:tc>
      </w:tr>
      <w:tr w:rsidR="00C978F0" w:rsidRPr="00DA352E" w14:paraId="5F7E1DC3" w14:textId="77777777" w:rsidTr="00717206">
        <w:trPr>
          <w:gridAfter w:val="1"/>
          <w:wAfter w:w="8" w:type="pct"/>
        </w:trPr>
        <w:tc>
          <w:tcPr>
            <w:tcW w:w="4992" w:type="pct"/>
          </w:tcPr>
          <w:p w14:paraId="1B81B763" w14:textId="5A78EFBE" w:rsidR="00D76561" w:rsidRDefault="00D76561" w:rsidP="003365A5">
            <w:pPr>
              <w:pStyle w:val="Tabletextprimarysource"/>
            </w:pPr>
            <w:r>
              <w:t xml:space="preserve">No MAK established due to good evidence of mutagenic and carcinogenic activity both </w:t>
            </w:r>
            <w:r w:rsidRPr="008903E2">
              <w:rPr>
                <w:i/>
              </w:rPr>
              <w:t>in vitro</w:t>
            </w:r>
            <w:r>
              <w:t xml:space="preserve"> and in animals.</w:t>
            </w:r>
          </w:p>
          <w:p w14:paraId="36BADD0A" w14:textId="42964FD7" w:rsidR="00C978F0" w:rsidRDefault="00A250A3" w:rsidP="003365A5">
            <w:pPr>
              <w:pStyle w:val="Tabletextprimarysource"/>
            </w:pPr>
            <w:r>
              <w:t>Summary of additional data:</w:t>
            </w:r>
          </w:p>
          <w:p w14:paraId="532CA15E" w14:textId="1BD92830" w:rsidR="001C4ED1" w:rsidRDefault="00E6445B" w:rsidP="003365A5">
            <w:pPr>
              <w:pStyle w:val="Tabletextprimarysource"/>
            </w:pPr>
            <w:r>
              <w:t xml:space="preserve">Frequently present as mixtures with </w:t>
            </w:r>
            <w:r w:rsidR="00AF2042">
              <w:t xml:space="preserve">both </w:t>
            </w:r>
            <w:r w:rsidR="00B6545D">
              <w:t xml:space="preserve">di- and </w:t>
            </w:r>
            <w:proofErr w:type="spellStart"/>
            <w:r w:rsidR="00B6545D">
              <w:t>tri</w:t>
            </w:r>
            <w:r w:rsidR="003C765D">
              <w:t>chloro</w:t>
            </w:r>
            <w:r w:rsidR="00B6545D">
              <w:t>toluene</w:t>
            </w:r>
            <w:proofErr w:type="spellEnd"/>
            <w:r w:rsidR="00B6545D">
              <w:t xml:space="preserve"> </w:t>
            </w:r>
            <w:r w:rsidR="001C4ED1">
              <w:t>in commercially available products</w:t>
            </w:r>
            <w:r w:rsidR="009A396E">
              <w:t xml:space="preserve">. </w:t>
            </w:r>
            <w:r w:rsidR="00634E54">
              <w:t xml:space="preserve">Toxicology of all three </w:t>
            </w:r>
            <w:r w:rsidR="00600F1A">
              <w:t>congeners</w:t>
            </w:r>
            <w:r w:rsidR="007052DE">
              <w:t xml:space="preserve"> and their mixtures</w:t>
            </w:r>
            <w:r w:rsidR="00600F1A">
              <w:t xml:space="preserve"> </w:t>
            </w:r>
            <w:r w:rsidR="007052DE">
              <w:t>are</w:t>
            </w:r>
            <w:r w:rsidR="00600F1A">
              <w:t xml:space="preserve"> considered </w:t>
            </w:r>
            <w:r w:rsidR="00414DA6">
              <w:t xml:space="preserve">separately </w:t>
            </w:r>
            <w:r w:rsidR="00600F1A">
              <w:t xml:space="preserve">in </w:t>
            </w:r>
            <w:r w:rsidR="007052DE">
              <w:t xml:space="preserve">the </w:t>
            </w:r>
            <w:r w:rsidR="00600F1A">
              <w:t>assessment</w:t>
            </w:r>
            <w:r w:rsidR="009A396E">
              <w:t>.</w:t>
            </w:r>
          </w:p>
          <w:p w14:paraId="508760D4" w14:textId="37DB675E" w:rsidR="00E7095F" w:rsidRDefault="00E7095F" w:rsidP="002C0BC7">
            <w:pPr>
              <w:pStyle w:val="ListBullet"/>
              <w:numPr>
                <w:ilvl w:val="0"/>
                <w:numId w:val="0"/>
              </w:numPr>
              <w:ind w:left="360" w:hanging="360"/>
            </w:pPr>
            <w:r>
              <w:t>Human data:</w:t>
            </w:r>
          </w:p>
          <w:p w14:paraId="73CA811C" w14:textId="77777777" w:rsidR="00C42FB9" w:rsidRDefault="00C42FB9" w:rsidP="00803147">
            <w:pPr>
              <w:pStyle w:val="ListBullet"/>
              <w:spacing w:before="0" w:after="80"/>
              <w:ind w:left="720" w:hanging="357"/>
              <w:contextualSpacing w:val="0"/>
            </w:pPr>
            <w:r>
              <w:t>Odour threshold of 0.047 ppm</w:t>
            </w:r>
          </w:p>
          <w:p w14:paraId="3C01A5CE" w14:textId="77777777" w:rsidR="009A5FC0" w:rsidRDefault="009D6A3A" w:rsidP="00803147">
            <w:pPr>
              <w:pStyle w:val="ListBullet"/>
              <w:spacing w:before="0" w:after="80"/>
              <w:ind w:left="720" w:hanging="357"/>
              <w:contextualSpacing w:val="0"/>
            </w:pPr>
            <w:r>
              <w:t>Weakness</w:t>
            </w:r>
            <w:r w:rsidR="00592C10">
              <w:t xml:space="preserve">, anorexia, and insomnia </w:t>
            </w:r>
            <w:r w:rsidR="00D1696E">
              <w:t>in workers regularly exposed to</w:t>
            </w:r>
            <w:r w:rsidR="00592C10">
              <w:t xml:space="preserve"> </w:t>
            </w:r>
            <w:r w:rsidR="00350E3D">
              <w:t>2</w:t>
            </w:r>
            <w:r w:rsidR="00C873F1">
              <w:t xml:space="preserve"> </w:t>
            </w:r>
            <w:r w:rsidR="00350E3D">
              <w:t>ppm</w:t>
            </w:r>
          </w:p>
          <w:p w14:paraId="0DD7F128" w14:textId="65D0ACC0" w:rsidR="00397633" w:rsidRDefault="00B20873" w:rsidP="00B37D86">
            <w:pPr>
              <w:pStyle w:val="ListBullet"/>
              <w:numPr>
                <w:ilvl w:val="0"/>
                <w:numId w:val="10"/>
              </w:numPr>
              <w:spacing w:before="0" w:after="80"/>
              <w:ind w:hanging="357"/>
              <w:contextualSpacing w:val="0"/>
            </w:pPr>
            <w:r>
              <w:lastRenderedPageBreak/>
              <w:t>w</w:t>
            </w:r>
            <w:r w:rsidR="002F3A61">
              <w:t xml:space="preserve">orkers </w:t>
            </w:r>
            <w:r w:rsidR="00D1696E">
              <w:t xml:space="preserve">also </w:t>
            </w:r>
            <w:r w:rsidR="002F3A61">
              <w:t xml:space="preserve">presented </w:t>
            </w:r>
            <w:r w:rsidR="00D1696E">
              <w:t>liver function di</w:t>
            </w:r>
            <w:r w:rsidR="00DE21B7">
              <w:t xml:space="preserve">sorders, tremor, and </w:t>
            </w:r>
            <w:r w:rsidR="005D7D37">
              <w:t>low white blood cell count</w:t>
            </w:r>
            <w:r w:rsidR="00217C25">
              <w:t xml:space="preserve"> (no further information provided)</w:t>
            </w:r>
          </w:p>
          <w:p w14:paraId="1E7BC4E9" w14:textId="0900D95C" w:rsidR="00CF446A" w:rsidRPr="00C873F1" w:rsidRDefault="00227C72" w:rsidP="00803147">
            <w:pPr>
              <w:pStyle w:val="ListBullet"/>
              <w:spacing w:before="0" w:after="80"/>
              <w:ind w:left="720" w:hanging="357"/>
              <w:contextualSpacing w:val="0"/>
            </w:pPr>
            <w:r>
              <w:t>Multiple small cohort studies</w:t>
            </w:r>
            <w:r w:rsidR="00472BB8">
              <w:t xml:space="preserve"> and case reports</w:t>
            </w:r>
            <w:r>
              <w:t xml:space="preserve"> </w:t>
            </w:r>
            <w:r w:rsidR="00472BB8">
              <w:t xml:space="preserve">indicate association </w:t>
            </w:r>
            <w:r w:rsidR="000A2CDE">
              <w:t>between</w:t>
            </w:r>
            <w:r w:rsidR="00BF330B">
              <w:t xml:space="preserve"> development of respiratory tract cancer and </w:t>
            </w:r>
            <w:r w:rsidR="000A2CDE">
              <w:t xml:space="preserve">exposure </w:t>
            </w:r>
            <w:r w:rsidR="00BF330B">
              <w:t xml:space="preserve">(as a mixture with </w:t>
            </w:r>
            <w:r w:rsidR="00BE1709">
              <w:t>dichlorotoluene</w:t>
            </w:r>
            <w:r w:rsidR="000A2CDE">
              <w:t xml:space="preserve"> </w:t>
            </w:r>
            <w:r w:rsidR="00BE1709">
              <w:t xml:space="preserve">and </w:t>
            </w:r>
            <w:proofErr w:type="spellStart"/>
            <w:r w:rsidR="00BE1709">
              <w:t>trichlorotoluene</w:t>
            </w:r>
            <w:proofErr w:type="spellEnd"/>
            <w:r w:rsidR="00BF330B">
              <w:t>)</w:t>
            </w:r>
            <w:r w:rsidR="00D76561">
              <w:t>.</w:t>
            </w:r>
          </w:p>
          <w:p w14:paraId="1FE77B81" w14:textId="7BAA01C3" w:rsidR="00C92146" w:rsidRDefault="00C92146" w:rsidP="002C0BC7">
            <w:pPr>
              <w:pStyle w:val="ListBullet"/>
              <w:numPr>
                <w:ilvl w:val="0"/>
                <w:numId w:val="0"/>
              </w:numPr>
              <w:ind w:left="360" w:hanging="360"/>
            </w:pPr>
            <w:r>
              <w:t xml:space="preserve">Animal </w:t>
            </w:r>
            <w:r w:rsidR="00E7095F">
              <w:t>data</w:t>
            </w:r>
            <w:r>
              <w:t>:</w:t>
            </w:r>
          </w:p>
          <w:p w14:paraId="043AA1C9" w14:textId="6B80C17A" w:rsidR="00080FD5" w:rsidRDefault="00A9077F" w:rsidP="00803147">
            <w:pPr>
              <w:pStyle w:val="ListBullet"/>
              <w:spacing w:before="0" w:after="80"/>
              <w:ind w:left="720" w:hanging="357"/>
              <w:contextualSpacing w:val="0"/>
            </w:pPr>
            <w:r>
              <w:t>LD</w:t>
            </w:r>
            <w:r>
              <w:rPr>
                <w:vertAlign w:val="subscript"/>
              </w:rPr>
              <w:t>50</w:t>
            </w:r>
            <w:r>
              <w:t xml:space="preserve">: </w:t>
            </w:r>
            <w:r w:rsidR="00DC2E33">
              <w:t>31</w:t>
            </w:r>
            <w:r w:rsidR="00A326A1">
              <w:t>3</w:t>
            </w:r>
            <w:r w:rsidR="002D7D08">
              <w:t xml:space="preserve"> </w:t>
            </w:r>
            <w:r w:rsidR="00DC2E33">
              <w:t>ppm</w:t>
            </w:r>
            <w:r w:rsidR="002D7D08">
              <w:t xml:space="preserve"> (</w:t>
            </w:r>
            <w:r w:rsidR="00BC0048">
              <w:t xml:space="preserve">mice, </w:t>
            </w:r>
            <w:r w:rsidR="002D7D08">
              <w:t>oral)</w:t>
            </w:r>
          </w:p>
          <w:p w14:paraId="40AFC93A" w14:textId="0B67499C" w:rsidR="002D7D08" w:rsidRDefault="002D7D08" w:rsidP="00803147">
            <w:pPr>
              <w:pStyle w:val="ListBullet"/>
              <w:spacing w:before="0" w:after="80"/>
              <w:ind w:left="720" w:hanging="357"/>
              <w:contextualSpacing w:val="0"/>
            </w:pPr>
            <w:r>
              <w:t>LD</w:t>
            </w:r>
            <w:r>
              <w:rPr>
                <w:vertAlign w:val="subscript"/>
              </w:rPr>
              <w:t>50</w:t>
            </w:r>
            <w:r>
              <w:t xml:space="preserve">: </w:t>
            </w:r>
            <w:r w:rsidR="00886721">
              <w:t>238 ppm (</w:t>
            </w:r>
            <w:r w:rsidR="00BC0048">
              <w:t xml:space="preserve">rats, </w:t>
            </w:r>
            <w:r w:rsidR="00886721">
              <w:t>oral)</w:t>
            </w:r>
          </w:p>
          <w:p w14:paraId="69ED3330" w14:textId="78410020" w:rsidR="006946E5" w:rsidRDefault="006946E5" w:rsidP="00803147">
            <w:pPr>
              <w:pStyle w:val="ListBullet"/>
              <w:spacing w:before="0" w:after="80"/>
              <w:ind w:left="720" w:hanging="357"/>
              <w:contextualSpacing w:val="0"/>
            </w:pPr>
            <w:r>
              <w:t>LD</w:t>
            </w:r>
            <w:r>
              <w:rPr>
                <w:vertAlign w:val="subscript"/>
              </w:rPr>
              <w:t>50</w:t>
            </w:r>
            <w:r>
              <w:t>: 193 ppm (</w:t>
            </w:r>
            <w:r w:rsidR="00BC0048">
              <w:t xml:space="preserve">rats, </w:t>
            </w:r>
            <w:r>
              <w:t>subcutaneou</w:t>
            </w:r>
            <w:r w:rsidR="00BC0048">
              <w:t>s</w:t>
            </w:r>
            <w:r>
              <w:t>)</w:t>
            </w:r>
          </w:p>
          <w:p w14:paraId="050982C2" w14:textId="44BCD6D6" w:rsidR="004F01FA" w:rsidRDefault="004F01FA" w:rsidP="00803147">
            <w:pPr>
              <w:pStyle w:val="ListBullet"/>
              <w:spacing w:before="0" w:after="80"/>
              <w:ind w:left="720" w:hanging="357"/>
              <w:contextualSpacing w:val="0"/>
            </w:pPr>
            <w:r>
              <w:t>In vitro bacterial and mammalian cell studies demonstrate mutagenic activity</w:t>
            </w:r>
            <w:r w:rsidR="00B20873">
              <w:t>; c</w:t>
            </w:r>
            <w:r>
              <w:t>an act by base-pair substitution</w:t>
            </w:r>
          </w:p>
          <w:p w14:paraId="58E9F756" w14:textId="77777777" w:rsidR="004F01FA" w:rsidRDefault="004F01FA" w:rsidP="00803147">
            <w:pPr>
              <w:pStyle w:val="ListBullet"/>
              <w:spacing w:before="0" w:after="80"/>
              <w:ind w:left="720" w:hanging="357"/>
              <w:contextualSpacing w:val="0"/>
            </w:pPr>
            <w:r>
              <w:t>Mutagenic in mice by DNA alkylation</w:t>
            </w:r>
          </w:p>
          <w:p w14:paraId="22C27430" w14:textId="77777777" w:rsidR="004F01FA" w:rsidRDefault="004F01FA" w:rsidP="00803147">
            <w:pPr>
              <w:pStyle w:val="ListBullet"/>
              <w:spacing w:before="0" w:after="80"/>
              <w:ind w:left="720" w:hanging="357"/>
              <w:contextualSpacing w:val="0"/>
            </w:pPr>
            <w:r>
              <w:t xml:space="preserve">Carcinogenic following </w:t>
            </w:r>
            <w:proofErr w:type="spellStart"/>
            <w:r>
              <w:t>epicutaneous</w:t>
            </w:r>
            <w:proofErr w:type="spellEnd"/>
            <w:r>
              <w:t xml:space="preserve"> application to mice and rats (no further information provided)</w:t>
            </w:r>
          </w:p>
          <w:p w14:paraId="7F2674EC" w14:textId="31B74EDA" w:rsidR="000E6E4A" w:rsidRDefault="005839AB" w:rsidP="00803147">
            <w:pPr>
              <w:pStyle w:val="ListBullet"/>
              <w:spacing w:before="0" w:after="80"/>
              <w:ind w:left="720" w:hanging="357"/>
              <w:contextualSpacing w:val="0"/>
            </w:pPr>
            <w:r>
              <w:t xml:space="preserve">Repeat </w:t>
            </w:r>
            <w:r w:rsidR="00B95239">
              <w:t xml:space="preserve">feeding study with male and female rats reported </w:t>
            </w:r>
            <w:r w:rsidR="007B2950">
              <w:t>hyper</w:t>
            </w:r>
            <w:r w:rsidR="008F5A2F">
              <w:t>keratosis and hyperplasia in stomach and necrosis of heart muscle</w:t>
            </w:r>
            <w:r w:rsidR="00795938">
              <w:t xml:space="preserve"> at doses </w:t>
            </w:r>
            <w:r w:rsidR="00BC0048">
              <w:t>&gt;</w:t>
            </w:r>
            <w:r w:rsidR="00EE4CF8">
              <w:t xml:space="preserve"> </w:t>
            </w:r>
            <w:r w:rsidR="00CC0C31">
              <w:t>15 mg/kg (3 d/</w:t>
            </w:r>
            <w:proofErr w:type="spellStart"/>
            <w:r w:rsidR="00CC0C31">
              <w:t>wk</w:t>
            </w:r>
            <w:proofErr w:type="spellEnd"/>
            <w:r w:rsidR="00CC0C31">
              <w:t xml:space="preserve">, </w:t>
            </w:r>
            <w:r w:rsidR="0009287D">
              <w:t xml:space="preserve">27 </w:t>
            </w:r>
            <w:proofErr w:type="spellStart"/>
            <w:r w:rsidR="0009287D">
              <w:t>wk</w:t>
            </w:r>
            <w:proofErr w:type="spellEnd"/>
            <w:r w:rsidR="0009287D">
              <w:t xml:space="preserve"> for female</w:t>
            </w:r>
            <w:r w:rsidR="009A5FC0">
              <w:t>s</w:t>
            </w:r>
            <w:r w:rsidR="0009287D">
              <w:t xml:space="preserve">; </w:t>
            </w:r>
            <w:r w:rsidR="00B20873">
              <w:t>37 </w:t>
            </w:r>
            <w:proofErr w:type="spellStart"/>
            <w:r w:rsidR="0009287D">
              <w:t>wk</w:t>
            </w:r>
            <w:proofErr w:type="spellEnd"/>
            <w:r w:rsidR="0009287D">
              <w:t xml:space="preserve"> for males)</w:t>
            </w:r>
          </w:p>
          <w:p w14:paraId="61D406B2" w14:textId="2C9BCFFF" w:rsidR="002368A4" w:rsidRDefault="00B20873" w:rsidP="00803147">
            <w:pPr>
              <w:pStyle w:val="ListBullet"/>
              <w:numPr>
                <w:ilvl w:val="0"/>
                <w:numId w:val="10"/>
              </w:numPr>
              <w:spacing w:before="0" w:after="80"/>
              <w:ind w:hanging="357"/>
              <w:contextualSpacing w:val="0"/>
            </w:pPr>
            <w:r>
              <w:t>f</w:t>
            </w:r>
            <w:r w:rsidR="00441780">
              <w:t>emale</w:t>
            </w:r>
            <w:r w:rsidR="000E6E4A">
              <w:t xml:space="preserve"> </w:t>
            </w:r>
            <w:r w:rsidR="00BC0048" w:rsidRPr="00441780">
              <w:t>rats</w:t>
            </w:r>
            <w:r w:rsidR="00BC0048">
              <w:t xml:space="preserve"> </w:t>
            </w:r>
            <w:r w:rsidR="000E6E4A">
              <w:t xml:space="preserve">died </w:t>
            </w:r>
            <w:r w:rsidR="00363F49">
              <w:t>after</w:t>
            </w:r>
            <w:r w:rsidR="00385915">
              <w:t xml:space="preserve"> single dose at</w:t>
            </w:r>
            <w:r w:rsidR="000E6E4A">
              <w:t xml:space="preserve"> 250 mg/kg</w:t>
            </w:r>
            <w:r w:rsidR="00EB7AB1">
              <w:t xml:space="preserve"> or 4 </w:t>
            </w:r>
            <w:r w:rsidR="004B0304">
              <w:t>doses at 125 mg/kg</w:t>
            </w:r>
          </w:p>
          <w:p w14:paraId="7DF636A7" w14:textId="54B10D62" w:rsidR="00385915" w:rsidRDefault="00B20873" w:rsidP="00803147">
            <w:pPr>
              <w:pStyle w:val="ListBullet"/>
              <w:numPr>
                <w:ilvl w:val="0"/>
                <w:numId w:val="10"/>
              </w:numPr>
              <w:spacing w:before="0" w:after="80"/>
              <w:ind w:hanging="357"/>
              <w:contextualSpacing w:val="0"/>
            </w:pPr>
            <w:r>
              <w:t>m</w:t>
            </w:r>
            <w:r w:rsidR="00385915">
              <w:t>ale</w:t>
            </w:r>
            <w:r w:rsidR="00363F49">
              <w:t xml:space="preserve"> </w:t>
            </w:r>
            <w:r w:rsidR="00BC0048" w:rsidRPr="00441780">
              <w:t>rats</w:t>
            </w:r>
            <w:r w:rsidR="00BC0048">
              <w:t xml:space="preserve"> </w:t>
            </w:r>
            <w:r w:rsidR="00363F49">
              <w:t>died after 5 doses of 250 mg/kg</w:t>
            </w:r>
            <w:r w:rsidR="00C77930">
              <w:t xml:space="preserve"> or 6</w:t>
            </w:r>
            <w:r w:rsidR="0010175B">
              <w:t>–</w:t>
            </w:r>
            <w:r w:rsidR="00C77930">
              <w:t>9 doses at 125 mg/kg</w:t>
            </w:r>
          </w:p>
          <w:p w14:paraId="3ED76477" w14:textId="65924488" w:rsidR="009E728E" w:rsidRDefault="00E70377" w:rsidP="00803147">
            <w:pPr>
              <w:pStyle w:val="ListBullet"/>
              <w:spacing w:before="0" w:after="80"/>
              <w:ind w:left="720" w:hanging="357"/>
              <w:contextualSpacing w:val="0"/>
            </w:pPr>
            <w:r>
              <w:t xml:space="preserve">Immediate </w:t>
            </w:r>
            <w:r w:rsidR="00A00289">
              <w:t>irritation at 400 ppm (cats, 7.5 h</w:t>
            </w:r>
            <w:r w:rsidR="00026075">
              <w:t>, inhalation</w:t>
            </w:r>
            <w:r w:rsidR="00A00289">
              <w:t>)</w:t>
            </w:r>
            <w:r w:rsidR="00E477AA">
              <w:t>; paralysis</w:t>
            </w:r>
            <w:r w:rsidR="005E37D8">
              <w:t xml:space="preserve"> </w:t>
            </w:r>
            <w:r w:rsidR="0082035C">
              <w:t>at 1</w:t>
            </w:r>
            <w:r w:rsidR="00BC7E9B">
              <w:t>,</w:t>
            </w:r>
            <w:r w:rsidR="0082035C">
              <w:t>000 ppm (cats, 2 h)</w:t>
            </w:r>
            <w:r w:rsidR="004C5B7D">
              <w:t xml:space="preserve"> </w:t>
            </w:r>
          </w:p>
          <w:p w14:paraId="0F16285D" w14:textId="77777777" w:rsidR="007B20D8" w:rsidRDefault="00970A1B" w:rsidP="00803147">
            <w:pPr>
              <w:pStyle w:val="ListBullet"/>
              <w:numPr>
                <w:ilvl w:val="0"/>
                <w:numId w:val="11"/>
              </w:numPr>
              <w:spacing w:before="0" w:after="80"/>
              <w:ind w:hanging="357"/>
              <w:contextualSpacing w:val="0"/>
            </w:pPr>
            <w:r>
              <w:t>coughing</w:t>
            </w:r>
            <w:r w:rsidR="00CB7028">
              <w:t>, sneezing, corneal clouding observed</w:t>
            </w:r>
            <w:r w:rsidR="009E728E">
              <w:t xml:space="preserve"> 1 d after exposure</w:t>
            </w:r>
          </w:p>
          <w:p w14:paraId="1A3E5626" w14:textId="767B14F2" w:rsidR="009E728E" w:rsidRDefault="009E728E" w:rsidP="00803147">
            <w:pPr>
              <w:pStyle w:val="ListBullet"/>
              <w:numPr>
                <w:ilvl w:val="0"/>
                <w:numId w:val="11"/>
              </w:numPr>
              <w:spacing w:before="0" w:after="80"/>
              <w:ind w:hanging="357"/>
              <w:contextualSpacing w:val="0"/>
            </w:pPr>
            <w:r>
              <w:t xml:space="preserve">death from pulmonary </w:t>
            </w:r>
            <w:r w:rsidR="008C3DBC">
              <w:t>oedema 2</w:t>
            </w:r>
            <w:r w:rsidR="0010175B">
              <w:t>–</w:t>
            </w:r>
            <w:r w:rsidR="008C3DBC">
              <w:t>3 d after exposure</w:t>
            </w:r>
          </w:p>
          <w:p w14:paraId="057C7831" w14:textId="009F59D8" w:rsidR="00CF446A" w:rsidRDefault="00057391" w:rsidP="00447E1A">
            <w:pPr>
              <w:pStyle w:val="ListBullet"/>
              <w:spacing w:before="0" w:after="80"/>
              <w:ind w:left="720" w:hanging="357"/>
              <w:contextualSpacing w:val="0"/>
            </w:pPr>
            <w:r>
              <w:t>Progressive i</w:t>
            </w:r>
            <w:r w:rsidR="00EC299D">
              <w:t xml:space="preserve">nflammation of airways </w:t>
            </w:r>
            <w:r w:rsidR="00A126AC">
              <w:t xml:space="preserve">at 93 ppm in repeat inhalation study (cats, </w:t>
            </w:r>
            <w:r>
              <w:t>8 h/d, 6 d)</w:t>
            </w:r>
            <w:r w:rsidR="00234522">
              <w:t xml:space="preserve">, symptoms were lethal in some animals (no further information </w:t>
            </w:r>
            <w:r w:rsidR="00EC394E">
              <w:t>provided)</w:t>
            </w:r>
            <w:r w:rsidR="002C2C57">
              <w:t>.</w:t>
            </w:r>
          </w:p>
          <w:p w14:paraId="5F7E1DC2" w14:textId="4EBAEC2B" w:rsidR="0010175B" w:rsidRPr="006946E5" w:rsidRDefault="0010175B" w:rsidP="00006B3D">
            <w:pPr>
              <w:pStyle w:val="ListBullet"/>
              <w:numPr>
                <w:ilvl w:val="0"/>
                <w:numId w:val="0"/>
              </w:numPr>
              <w:spacing w:before="0" w:after="80"/>
              <w:ind w:left="360" w:hanging="360"/>
              <w:contextualSpacing w:val="0"/>
            </w:pPr>
          </w:p>
        </w:tc>
      </w:tr>
      <w:tr w:rsidR="00C978F0" w:rsidRPr="00DA352E" w14:paraId="5F7E1DC5" w14:textId="77777777" w:rsidTr="00DE26E8">
        <w:trPr>
          <w:gridAfter w:val="1"/>
          <w:wAfter w:w="8" w:type="pct"/>
          <w:cantSplit/>
        </w:trPr>
        <w:tc>
          <w:tcPr>
            <w:tcW w:w="4992" w:type="pct"/>
            <w:shd w:val="clear" w:color="auto" w:fill="F2F2F2" w:themeFill="background1" w:themeFillShade="F2"/>
          </w:tcPr>
          <w:p w14:paraId="5F7E1DC4" w14:textId="57E1A844"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Content>
                <w:r w:rsidR="00251E23">
                  <w:t>NA</w:t>
                </w:r>
              </w:sdtContent>
            </w:sdt>
            <w:r w:rsidR="00916EC0" w:rsidRPr="003365A5">
              <w:tab/>
            </w:r>
            <w:r w:rsidR="0051509C">
              <w:tab/>
            </w:r>
            <w:sdt>
              <w:sdtPr>
                <w:alias w:val="SCOEL WES equivalent"/>
                <w:tag w:val="SCOEL WES equivalent"/>
                <w:id w:val="-1474213062"/>
                <w:placeholder>
                  <w:docPart w:val="9E827C9D0DA949E385F2E9AB4264125E"/>
                </w:placeholder>
              </w:sdtPr>
              <w:sdtContent>
                <w:proofErr w:type="spellStart"/>
                <w:r w:rsidR="00251E23">
                  <w:t>NA</w:t>
                </w:r>
                <w:proofErr w:type="spellEnd"/>
              </w:sdtContent>
            </w:sdt>
          </w:p>
        </w:tc>
      </w:tr>
      <w:tr w:rsidR="00C978F0" w:rsidRPr="00DA352E" w14:paraId="5F7E1DC7" w14:textId="77777777" w:rsidTr="00DE26E8">
        <w:trPr>
          <w:gridAfter w:val="1"/>
          <w:wAfter w:w="8" w:type="pct"/>
          <w:cantSplit/>
        </w:trPr>
        <w:tc>
          <w:tcPr>
            <w:tcW w:w="4992" w:type="pct"/>
          </w:tcPr>
          <w:p w14:paraId="5F7E1DC6" w14:textId="69CF926F" w:rsidR="00C978F0" w:rsidRPr="00DA352E" w:rsidRDefault="00D71DEB" w:rsidP="003365A5">
            <w:pPr>
              <w:pStyle w:val="Tabletextprimarysource"/>
            </w:pPr>
            <w:r>
              <w:t>No report</w:t>
            </w:r>
            <w:r w:rsidR="00717206">
              <w:t>.</w:t>
            </w:r>
          </w:p>
        </w:tc>
      </w:tr>
      <w:tr w:rsidR="00DA352E" w:rsidRPr="00DA352E" w14:paraId="5F7E1DC9" w14:textId="77777777" w:rsidTr="00DE26E8">
        <w:trPr>
          <w:gridAfter w:val="1"/>
          <w:wAfter w:w="8" w:type="pct"/>
          <w:cantSplit/>
        </w:trPr>
        <w:tc>
          <w:tcPr>
            <w:tcW w:w="4992" w:type="pct"/>
            <w:shd w:val="clear" w:color="auto" w:fill="F2F2F2" w:themeFill="background1" w:themeFillShade="F2"/>
          </w:tcPr>
          <w:p w14:paraId="5F7E1DC8" w14:textId="2AE8C219"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Content>
                <w:r w:rsidR="00251E23">
                  <w:t>NA</w:t>
                </w:r>
              </w:sdtContent>
            </w:sdt>
            <w:r w:rsidR="00916EC0" w:rsidRPr="003365A5">
              <w:tab/>
            </w:r>
            <w:r w:rsidR="0051509C">
              <w:tab/>
            </w:r>
            <w:sdt>
              <w:sdtPr>
                <w:alias w:val="OARS/AIHA WES equivalent"/>
                <w:tag w:val="OARS/AIHA WES equivalent"/>
                <w:id w:val="-1320338798"/>
                <w:placeholder>
                  <w:docPart w:val="5E4DD00C3A334F93BF5CC79754EBC5EA"/>
                </w:placeholder>
              </w:sdtPr>
              <w:sdtContent>
                <w:proofErr w:type="spellStart"/>
                <w:r w:rsidR="00251E23">
                  <w:t>NA</w:t>
                </w:r>
                <w:proofErr w:type="spellEnd"/>
              </w:sdtContent>
            </w:sdt>
          </w:p>
        </w:tc>
      </w:tr>
      <w:tr w:rsidR="00DA352E" w:rsidRPr="00DA352E" w14:paraId="5F7E1DCB" w14:textId="77777777" w:rsidTr="00DE26E8">
        <w:trPr>
          <w:gridAfter w:val="1"/>
          <w:wAfter w:w="8" w:type="pct"/>
          <w:cantSplit/>
        </w:trPr>
        <w:tc>
          <w:tcPr>
            <w:tcW w:w="4992" w:type="pct"/>
          </w:tcPr>
          <w:p w14:paraId="5F7E1DCA" w14:textId="5C7DA63E" w:rsidR="00DA352E" w:rsidRPr="00DA352E" w:rsidRDefault="00330468" w:rsidP="003365A5">
            <w:pPr>
              <w:pStyle w:val="Tabletextprimarysource"/>
            </w:pPr>
            <w:r>
              <w:t>No report</w:t>
            </w:r>
            <w:r w:rsidR="00717206">
              <w:t>.</w:t>
            </w:r>
          </w:p>
        </w:tc>
      </w:tr>
      <w:tr w:rsidR="00DA352E" w:rsidRPr="00DA352E" w14:paraId="5F7E1DCD" w14:textId="77777777" w:rsidTr="00DE26E8">
        <w:trPr>
          <w:gridAfter w:val="1"/>
          <w:wAfter w:w="8" w:type="pct"/>
          <w:cantSplit/>
        </w:trPr>
        <w:tc>
          <w:tcPr>
            <w:tcW w:w="4992" w:type="pct"/>
            <w:shd w:val="clear" w:color="auto" w:fill="F2F2F2" w:themeFill="background1" w:themeFillShade="F2"/>
          </w:tcPr>
          <w:p w14:paraId="5F7E1DCC" w14:textId="4253551C"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Content>
                <w:r w:rsidR="00251E23">
                  <w:t>NA</w:t>
                </w:r>
              </w:sdtContent>
            </w:sdt>
            <w:r w:rsidR="00916EC0" w:rsidRPr="003365A5">
              <w:tab/>
            </w:r>
            <w:r w:rsidR="0051509C">
              <w:tab/>
            </w:r>
            <w:sdt>
              <w:sdtPr>
                <w:alias w:val="HCOTN WES equivalent"/>
                <w:tag w:val="HCOTN WES equivalent"/>
                <w:id w:val="1471562734"/>
                <w:placeholder>
                  <w:docPart w:val="F3D4204BA37A4A21A656C76DA4274412"/>
                </w:placeholder>
              </w:sdtPr>
              <w:sdtContent>
                <w:proofErr w:type="spellStart"/>
                <w:r w:rsidR="00251E23">
                  <w:t>NA</w:t>
                </w:r>
                <w:proofErr w:type="spellEnd"/>
              </w:sdtContent>
            </w:sdt>
          </w:p>
        </w:tc>
      </w:tr>
      <w:tr w:rsidR="00DA352E" w:rsidRPr="00DA352E" w14:paraId="5F7E1DCF" w14:textId="77777777" w:rsidTr="00DE26E8">
        <w:trPr>
          <w:gridAfter w:val="1"/>
          <w:wAfter w:w="8" w:type="pct"/>
          <w:cantSplit/>
        </w:trPr>
        <w:tc>
          <w:tcPr>
            <w:tcW w:w="4992" w:type="pct"/>
          </w:tcPr>
          <w:p w14:paraId="5F7E1DCE" w14:textId="14919C1B" w:rsidR="00DA352E" w:rsidRPr="00DA352E" w:rsidRDefault="00251E23" w:rsidP="003365A5">
            <w:pPr>
              <w:pStyle w:val="Tabletextprimarysource"/>
            </w:pPr>
            <w:r>
              <w:t>No report</w:t>
            </w:r>
            <w:r w:rsidR="00717206">
              <w:t>.</w:t>
            </w:r>
          </w:p>
        </w:tc>
      </w:tr>
    </w:tbl>
    <w:p w14:paraId="5F7E1DD0"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87"/>
        <w:gridCol w:w="423"/>
        <w:gridCol w:w="661"/>
        <w:gridCol w:w="6455"/>
      </w:tblGrid>
      <w:tr w:rsidR="007129FC" w:rsidRPr="00263255" w14:paraId="5F7E1DD5" w14:textId="77777777" w:rsidTr="008903E2">
        <w:trPr>
          <w:cantSplit/>
          <w:trHeight w:val="393"/>
          <w:tblHeader/>
        </w:trPr>
        <w:tc>
          <w:tcPr>
            <w:tcW w:w="1487" w:type="dxa"/>
            <w:shd w:val="clear" w:color="auto" w:fill="BFBFBF" w:themeFill="background1" w:themeFillShade="BF"/>
            <w:vAlign w:val="center"/>
          </w:tcPr>
          <w:p w14:paraId="5F7E1DD1"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5F7E1DD2" w14:textId="77777777" w:rsidR="004966BF" w:rsidRPr="00263255" w:rsidRDefault="004966BF" w:rsidP="00263255">
            <w:pPr>
              <w:pStyle w:val="Tableheader"/>
            </w:pPr>
          </w:p>
        </w:tc>
        <w:tc>
          <w:tcPr>
            <w:tcW w:w="661" w:type="dxa"/>
            <w:shd w:val="clear" w:color="auto" w:fill="BFBFBF" w:themeFill="background1" w:themeFillShade="BF"/>
            <w:vAlign w:val="center"/>
          </w:tcPr>
          <w:p w14:paraId="5F7E1DD3" w14:textId="77777777" w:rsidR="004966BF" w:rsidRPr="00263255" w:rsidRDefault="004966BF" w:rsidP="00263255">
            <w:pPr>
              <w:pStyle w:val="Tableheader"/>
            </w:pPr>
            <w:r>
              <w:t>Year</w:t>
            </w:r>
          </w:p>
        </w:tc>
        <w:tc>
          <w:tcPr>
            <w:tcW w:w="6455" w:type="dxa"/>
            <w:shd w:val="clear" w:color="auto" w:fill="BFBFBF" w:themeFill="background1" w:themeFillShade="BF"/>
            <w:vAlign w:val="center"/>
          </w:tcPr>
          <w:p w14:paraId="5F7E1DD4" w14:textId="77777777" w:rsidR="004966BF" w:rsidRPr="00263255" w:rsidRDefault="004966BF" w:rsidP="00263255">
            <w:pPr>
              <w:pStyle w:val="Tableheader"/>
            </w:pPr>
            <w:r>
              <w:t>Additional information</w:t>
            </w:r>
          </w:p>
        </w:tc>
      </w:tr>
      <w:tr w:rsidR="004966BF" w:rsidRPr="004C23F4" w14:paraId="5F7E1DE4" w14:textId="77777777" w:rsidTr="008903E2">
        <w:trPr>
          <w:cantSplit/>
        </w:trPr>
        <w:tc>
          <w:tcPr>
            <w:tcW w:w="1487" w:type="dxa"/>
          </w:tcPr>
          <w:p w14:paraId="5F7E1DE0" w14:textId="77777777" w:rsidR="004966BF" w:rsidRPr="004C23F4" w:rsidRDefault="004966BF" w:rsidP="00224EE2">
            <w:pPr>
              <w:pStyle w:val="Tablefont"/>
            </w:pPr>
            <w:r>
              <w:t>NICNAS</w:t>
            </w:r>
          </w:p>
        </w:tc>
        <w:tc>
          <w:tcPr>
            <w:tcW w:w="423" w:type="dxa"/>
          </w:tcPr>
          <w:p w14:paraId="5F7E1DE1" w14:textId="0639028E" w:rsidR="004966BF" w:rsidRPr="00CE617F" w:rsidRDefault="00000000"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Content>
                <w:r w:rsidR="004114AC">
                  <w:rPr>
                    <w:rStyle w:val="checkbox"/>
                  </w:rPr>
                  <w:t></w:t>
                </w:r>
              </w:sdtContent>
            </w:sdt>
          </w:p>
        </w:tc>
        <w:tc>
          <w:tcPr>
            <w:tcW w:w="661" w:type="dxa"/>
          </w:tcPr>
          <w:p w14:paraId="5F7E1DE2" w14:textId="216E2D4C" w:rsidR="004966BF" w:rsidRPr="004114AC" w:rsidRDefault="004114AC" w:rsidP="00717D45">
            <w:pPr>
              <w:pStyle w:val="Tablefont"/>
              <w:rPr>
                <w:rStyle w:val="checkbox"/>
                <w:rFonts w:ascii="Arial" w:hAnsi="Arial" w:cs="Arial"/>
              </w:rPr>
            </w:pPr>
            <w:r w:rsidRPr="004114AC">
              <w:rPr>
                <w:rStyle w:val="checkbox"/>
                <w:rFonts w:ascii="Arial" w:hAnsi="Arial" w:cs="Arial"/>
              </w:rPr>
              <w:t>2013</w:t>
            </w:r>
          </w:p>
        </w:tc>
        <w:tc>
          <w:tcPr>
            <w:tcW w:w="6455" w:type="dxa"/>
          </w:tcPr>
          <w:p w14:paraId="59395EF4" w14:textId="5BC3F5EA" w:rsidR="004966BF" w:rsidRDefault="00D134FA" w:rsidP="00717206">
            <w:pPr>
              <w:pStyle w:val="Tablefont"/>
              <w:numPr>
                <w:ilvl w:val="0"/>
                <w:numId w:val="6"/>
              </w:numPr>
              <w:ind w:left="431" w:hanging="357"/>
              <w:rPr>
                <w:rStyle w:val="checkbox"/>
                <w:rFonts w:ascii="Arial" w:hAnsi="Arial" w:cs="Arial"/>
              </w:rPr>
            </w:pPr>
            <w:r>
              <w:rPr>
                <w:rStyle w:val="checkbox"/>
                <w:rFonts w:ascii="Arial" w:hAnsi="Arial" w:cs="Arial"/>
              </w:rPr>
              <w:t>No acute dermal toxicity data available</w:t>
            </w:r>
          </w:p>
          <w:p w14:paraId="5332664D" w14:textId="77777777" w:rsidR="00D134FA" w:rsidRDefault="000C1676" w:rsidP="00717206">
            <w:pPr>
              <w:pStyle w:val="Tablefont"/>
              <w:numPr>
                <w:ilvl w:val="0"/>
                <w:numId w:val="6"/>
              </w:numPr>
              <w:ind w:left="431" w:hanging="357"/>
              <w:rPr>
                <w:rStyle w:val="checkbox"/>
                <w:rFonts w:ascii="Arial" w:hAnsi="Arial" w:cs="Arial"/>
              </w:rPr>
            </w:pPr>
            <w:r>
              <w:rPr>
                <w:rStyle w:val="checkbox"/>
                <w:rFonts w:ascii="Arial" w:hAnsi="Arial" w:cs="Arial"/>
              </w:rPr>
              <w:t>Lowest toxic con</w:t>
            </w:r>
            <w:r w:rsidR="007B7764">
              <w:rPr>
                <w:rStyle w:val="checkbox"/>
                <w:rFonts w:ascii="Arial" w:hAnsi="Arial" w:cs="Arial"/>
              </w:rPr>
              <w:t>centration in humans</w:t>
            </w:r>
            <w:r w:rsidR="00CE6CB4">
              <w:rPr>
                <w:rStyle w:val="checkbox"/>
                <w:rFonts w:ascii="Arial" w:hAnsi="Arial" w:cs="Arial"/>
              </w:rPr>
              <w:t xml:space="preserve"> 31 ppm</w:t>
            </w:r>
            <w:r w:rsidR="007B7764">
              <w:rPr>
                <w:rStyle w:val="checkbox"/>
                <w:rFonts w:ascii="Arial" w:hAnsi="Arial" w:cs="Arial"/>
              </w:rPr>
              <w:t xml:space="preserve"> (160 mg/m</w:t>
            </w:r>
            <w:r w:rsidR="007B7764">
              <w:rPr>
                <w:rStyle w:val="checkbox"/>
                <w:rFonts w:ascii="Arial" w:hAnsi="Arial" w:cs="Arial"/>
                <w:vertAlign w:val="superscript"/>
              </w:rPr>
              <w:t>3</w:t>
            </w:r>
            <w:r w:rsidR="007B7764">
              <w:rPr>
                <w:rStyle w:val="checkbox"/>
                <w:rFonts w:ascii="Arial" w:hAnsi="Arial" w:cs="Arial"/>
              </w:rPr>
              <w:t>)</w:t>
            </w:r>
            <w:r w:rsidR="005749C4">
              <w:rPr>
                <w:rStyle w:val="checkbox"/>
                <w:rFonts w:ascii="Arial" w:hAnsi="Arial" w:cs="Arial"/>
              </w:rPr>
              <w:t xml:space="preserve"> (no further information provided)</w:t>
            </w:r>
          </w:p>
          <w:p w14:paraId="5F7E1DE3" w14:textId="37273438" w:rsidR="003A5CF8" w:rsidRPr="007B7764" w:rsidRDefault="00C22769" w:rsidP="00717206">
            <w:pPr>
              <w:pStyle w:val="Tablefont"/>
              <w:numPr>
                <w:ilvl w:val="0"/>
                <w:numId w:val="6"/>
              </w:numPr>
              <w:ind w:left="431" w:hanging="357"/>
              <w:rPr>
                <w:rStyle w:val="checkbox"/>
                <w:rFonts w:ascii="Arial" w:hAnsi="Arial" w:cs="Arial"/>
              </w:rPr>
            </w:pPr>
            <w:r>
              <w:rPr>
                <w:rStyle w:val="checkbox"/>
                <w:rFonts w:ascii="Arial" w:hAnsi="Arial" w:cs="Arial"/>
              </w:rPr>
              <w:t xml:space="preserve">Positive </w:t>
            </w:r>
            <w:r w:rsidR="00BE31D8">
              <w:rPr>
                <w:rStyle w:val="checkbox"/>
                <w:rFonts w:ascii="Arial" w:hAnsi="Arial" w:cs="Arial"/>
              </w:rPr>
              <w:t xml:space="preserve">skin sensitisation in guinea pigs </w:t>
            </w:r>
            <w:r w:rsidR="00927FEB">
              <w:rPr>
                <w:rStyle w:val="checkbox"/>
                <w:rFonts w:ascii="Arial" w:hAnsi="Arial" w:cs="Arial"/>
              </w:rPr>
              <w:t>(</w:t>
            </w:r>
            <w:r w:rsidR="00BE31D8">
              <w:rPr>
                <w:rStyle w:val="checkbox"/>
                <w:rFonts w:ascii="Arial" w:hAnsi="Arial" w:cs="Arial"/>
              </w:rPr>
              <w:t>0.01 mg</w:t>
            </w:r>
            <w:r w:rsidR="00B20873">
              <w:rPr>
                <w:rStyle w:val="checkbox"/>
                <w:rFonts w:ascii="Arial" w:hAnsi="Arial" w:cs="Arial"/>
              </w:rPr>
              <w:t>/</w:t>
            </w:r>
            <w:r w:rsidR="003C3ED4">
              <w:rPr>
                <w:rStyle w:val="checkbox"/>
                <w:rFonts w:ascii="Arial" w:hAnsi="Arial" w:cs="Arial"/>
              </w:rPr>
              <w:t>animal</w:t>
            </w:r>
            <w:r w:rsidR="00486A4A">
              <w:rPr>
                <w:rStyle w:val="checkbox"/>
                <w:rFonts w:ascii="Arial" w:hAnsi="Arial" w:cs="Arial"/>
              </w:rPr>
              <w:t xml:space="preserve">, </w:t>
            </w:r>
            <w:r w:rsidR="00B20873">
              <w:rPr>
                <w:rStyle w:val="checkbox"/>
                <w:rFonts w:ascii="Arial" w:hAnsi="Arial" w:cs="Arial"/>
              </w:rPr>
              <w:t>2/</w:t>
            </w:r>
            <w:proofErr w:type="spellStart"/>
            <w:r w:rsidR="00B20873">
              <w:rPr>
                <w:rStyle w:val="checkbox"/>
                <w:rFonts w:ascii="Arial" w:hAnsi="Arial" w:cs="Arial"/>
              </w:rPr>
              <w:t>wk</w:t>
            </w:r>
            <w:proofErr w:type="spellEnd"/>
            <w:r w:rsidR="00486A4A">
              <w:rPr>
                <w:rStyle w:val="checkbox"/>
                <w:rFonts w:ascii="Arial" w:hAnsi="Arial" w:cs="Arial"/>
              </w:rPr>
              <w:t xml:space="preserve"> </w:t>
            </w:r>
            <w:r w:rsidR="005D0107">
              <w:rPr>
                <w:rStyle w:val="checkbox"/>
                <w:rFonts w:ascii="Arial" w:hAnsi="Arial" w:cs="Arial"/>
              </w:rPr>
              <w:t xml:space="preserve">for 12 </w:t>
            </w:r>
            <w:proofErr w:type="spellStart"/>
            <w:r w:rsidR="005D0107">
              <w:rPr>
                <w:rStyle w:val="checkbox"/>
                <w:rFonts w:ascii="Arial" w:hAnsi="Arial" w:cs="Arial"/>
              </w:rPr>
              <w:t>wk</w:t>
            </w:r>
            <w:proofErr w:type="spellEnd"/>
            <w:r w:rsidR="005D0107">
              <w:rPr>
                <w:rStyle w:val="checkbox"/>
                <w:rFonts w:ascii="Arial" w:hAnsi="Arial" w:cs="Arial"/>
              </w:rPr>
              <w:t xml:space="preserve"> </w:t>
            </w:r>
            <w:r w:rsidR="00486A4A">
              <w:rPr>
                <w:rStyle w:val="checkbox"/>
                <w:rFonts w:ascii="Arial" w:hAnsi="Arial" w:cs="Arial"/>
              </w:rPr>
              <w:t>during induction phase</w:t>
            </w:r>
            <w:r w:rsidR="00927FEB">
              <w:rPr>
                <w:rStyle w:val="checkbox"/>
                <w:rFonts w:ascii="Arial" w:hAnsi="Arial" w:cs="Arial"/>
              </w:rPr>
              <w:t>)</w:t>
            </w:r>
            <w:r w:rsidR="00B20873">
              <w:rPr>
                <w:rStyle w:val="checkbox"/>
                <w:rFonts w:ascii="Arial" w:hAnsi="Arial" w:cs="Arial"/>
              </w:rPr>
              <w:t>; c</w:t>
            </w:r>
            <w:r w:rsidR="005D0107">
              <w:rPr>
                <w:rStyle w:val="checkbox"/>
                <w:rFonts w:ascii="Arial" w:hAnsi="Arial" w:cs="Arial"/>
              </w:rPr>
              <w:t xml:space="preserve">hallenge test 2 </w:t>
            </w:r>
            <w:proofErr w:type="spellStart"/>
            <w:r w:rsidR="005D0107">
              <w:rPr>
                <w:rStyle w:val="checkbox"/>
                <w:rFonts w:ascii="Arial" w:hAnsi="Arial" w:cs="Arial"/>
              </w:rPr>
              <w:t>wk</w:t>
            </w:r>
            <w:proofErr w:type="spellEnd"/>
            <w:r w:rsidR="005D0107">
              <w:rPr>
                <w:rStyle w:val="checkbox"/>
                <w:rFonts w:ascii="Arial" w:hAnsi="Arial" w:cs="Arial"/>
              </w:rPr>
              <w:t xml:space="preserve"> after induction </w:t>
            </w:r>
            <w:r w:rsidR="002D7FB4">
              <w:rPr>
                <w:rStyle w:val="checkbox"/>
                <w:rFonts w:ascii="Arial" w:hAnsi="Arial" w:cs="Arial"/>
              </w:rPr>
              <w:t xml:space="preserve">phase </w:t>
            </w:r>
            <w:r w:rsidR="0024547A">
              <w:rPr>
                <w:rStyle w:val="checkbox"/>
                <w:rFonts w:ascii="Arial" w:hAnsi="Arial" w:cs="Arial"/>
              </w:rPr>
              <w:t>with one drop</w:t>
            </w:r>
            <w:r w:rsidR="007129FC">
              <w:rPr>
                <w:rStyle w:val="checkbox"/>
                <w:rFonts w:ascii="Arial" w:hAnsi="Arial" w:cs="Arial"/>
              </w:rPr>
              <w:t xml:space="preserve"> of substance </w:t>
            </w:r>
            <w:r w:rsidR="0024547A">
              <w:rPr>
                <w:rStyle w:val="checkbox"/>
                <w:rFonts w:ascii="Arial" w:hAnsi="Arial" w:cs="Arial"/>
              </w:rPr>
              <w:t>(concentration/amount unspecified)</w:t>
            </w:r>
            <w:r w:rsidR="002C2C57">
              <w:rPr>
                <w:rStyle w:val="checkbox"/>
                <w:rFonts w:ascii="Arial" w:hAnsi="Arial" w:cs="Arial"/>
              </w:rPr>
              <w:t>.</w:t>
            </w:r>
          </w:p>
        </w:tc>
      </w:tr>
      <w:tr w:rsidR="004966BF" w:rsidRPr="004C23F4" w14:paraId="5F7E1DEE" w14:textId="77777777" w:rsidTr="008903E2">
        <w:trPr>
          <w:cantSplit/>
        </w:trPr>
        <w:tc>
          <w:tcPr>
            <w:tcW w:w="1487" w:type="dxa"/>
          </w:tcPr>
          <w:p w14:paraId="5F7E1DEA" w14:textId="77777777" w:rsidR="004966BF" w:rsidRPr="004C23F4" w:rsidRDefault="004966BF" w:rsidP="00224EE2">
            <w:pPr>
              <w:pStyle w:val="Tablefont"/>
            </w:pPr>
            <w:r>
              <w:t>IARC</w:t>
            </w:r>
          </w:p>
        </w:tc>
        <w:tc>
          <w:tcPr>
            <w:tcW w:w="423" w:type="dxa"/>
          </w:tcPr>
          <w:p w14:paraId="5F7E1DEB" w14:textId="750B53D4" w:rsidR="004966BF" w:rsidRPr="00CE617F" w:rsidRDefault="00000000"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Content>
                <w:r w:rsidR="00283DD1">
                  <w:rPr>
                    <w:rStyle w:val="checkbox"/>
                  </w:rPr>
                  <w:t></w:t>
                </w:r>
              </w:sdtContent>
            </w:sdt>
          </w:p>
        </w:tc>
        <w:tc>
          <w:tcPr>
            <w:tcW w:w="661" w:type="dxa"/>
          </w:tcPr>
          <w:p w14:paraId="5F7E1DEC" w14:textId="37873A65" w:rsidR="004966BF" w:rsidRPr="004C23F4" w:rsidRDefault="00283DD1" w:rsidP="00717D45">
            <w:pPr>
              <w:pStyle w:val="Tablefont"/>
              <w:rPr>
                <w:rStyle w:val="checkbox"/>
                <w:rFonts w:ascii="Arial" w:hAnsi="Arial" w:cs="Arial"/>
              </w:rPr>
            </w:pPr>
            <w:r>
              <w:rPr>
                <w:rStyle w:val="checkbox"/>
                <w:rFonts w:ascii="Arial" w:hAnsi="Arial" w:cs="Arial"/>
              </w:rPr>
              <w:t>1</w:t>
            </w:r>
            <w:r w:rsidRPr="00283DD1">
              <w:rPr>
                <w:rStyle w:val="checkbox"/>
                <w:rFonts w:ascii="Arial" w:hAnsi="Arial" w:cs="Arial"/>
              </w:rPr>
              <w:t>999</w:t>
            </w:r>
          </w:p>
        </w:tc>
        <w:tc>
          <w:tcPr>
            <w:tcW w:w="6455" w:type="dxa"/>
          </w:tcPr>
          <w:p w14:paraId="1168F93F" w14:textId="335D2021" w:rsidR="00B20873" w:rsidRPr="00A30ECF" w:rsidRDefault="005E4A4C" w:rsidP="00717206">
            <w:pPr>
              <w:pStyle w:val="Tablefont"/>
              <w:numPr>
                <w:ilvl w:val="0"/>
                <w:numId w:val="6"/>
              </w:numPr>
              <w:ind w:left="431" w:hanging="357"/>
              <w:rPr>
                <w:rFonts w:cs="Arial"/>
              </w:rPr>
            </w:pPr>
            <w:r w:rsidRPr="008903E2">
              <w:t>Limited evidence in humans for the carcinogenicity of α</w:t>
            </w:r>
            <w:r w:rsidRPr="008903E2">
              <w:noBreakHyphen/>
            </w:r>
            <w:r w:rsidRPr="00803147">
              <w:rPr>
                <w:rStyle w:val="checkbox"/>
                <w:rFonts w:ascii="Arial" w:hAnsi="Arial" w:cs="Arial"/>
              </w:rPr>
              <w:t>chlorinated</w:t>
            </w:r>
            <w:r w:rsidRPr="008903E2">
              <w:t xml:space="preserve"> toluene</w:t>
            </w:r>
            <w:r w:rsidR="006F734E">
              <w:t xml:space="preserve"> derivatives</w:t>
            </w:r>
          </w:p>
          <w:p w14:paraId="5F7E1DED" w14:textId="3C41E79C" w:rsidR="004966BF" w:rsidRPr="004C23F4" w:rsidRDefault="00F3147A" w:rsidP="00717206">
            <w:pPr>
              <w:pStyle w:val="Tablefont"/>
              <w:numPr>
                <w:ilvl w:val="0"/>
                <w:numId w:val="6"/>
              </w:numPr>
              <w:ind w:left="431" w:hanging="357"/>
              <w:rPr>
                <w:rStyle w:val="checkbox"/>
                <w:rFonts w:ascii="Arial" w:hAnsi="Arial" w:cs="Arial"/>
              </w:rPr>
            </w:pPr>
            <w:r w:rsidRPr="008903E2">
              <w:t>Sufficient evidence in experimental animals for carcinogenicity</w:t>
            </w:r>
            <w:r w:rsidRPr="00F3147A">
              <w:rPr>
                <w:rFonts w:cs="Arial"/>
              </w:rPr>
              <w:t>.</w:t>
            </w:r>
          </w:p>
        </w:tc>
      </w:tr>
      <w:tr w:rsidR="004966BF" w:rsidRPr="004C23F4" w14:paraId="5F7E1DFD" w14:textId="77777777" w:rsidTr="008903E2">
        <w:trPr>
          <w:cantSplit/>
        </w:trPr>
        <w:tc>
          <w:tcPr>
            <w:tcW w:w="1487" w:type="dxa"/>
          </w:tcPr>
          <w:p w14:paraId="5F7E1DF9" w14:textId="77777777" w:rsidR="004966BF" w:rsidRPr="002C1401" w:rsidRDefault="004966BF" w:rsidP="00224EE2">
            <w:pPr>
              <w:pStyle w:val="Tablefont"/>
            </w:pPr>
            <w:r w:rsidRPr="002C1401">
              <w:lastRenderedPageBreak/>
              <w:t>US EPA</w:t>
            </w:r>
          </w:p>
        </w:tc>
        <w:tc>
          <w:tcPr>
            <w:tcW w:w="423" w:type="dxa"/>
          </w:tcPr>
          <w:p w14:paraId="5F7E1DFA" w14:textId="050C9808" w:rsidR="004966BF" w:rsidRPr="002C1401" w:rsidRDefault="00000000"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Content>
                <w:r w:rsidR="009A1903" w:rsidRPr="002C1401">
                  <w:rPr>
                    <w:rStyle w:val="checkbox"/>
                  </w:rPr>
                  <w:t></w:t>
                </w:r>
              </w:sdtContent>
            </w:sdt>
          </w:p>
        </w:tc>
        <w:tc>
          <w:tcPr>
            <w:tcW w:w="661" w:type="dxa"/>
          </w:tcPr>
          <w:p w14:paraId="5F7E1DFB" w14:textId="1E534C2D" w:rsidR="004966BF" w:rsidRPr="002C1401" w:rsidRDefault="002C1401" w:rsidP="00717D45">
            <w:pPr>
              <w:pStyle w:val="Tablefont"/>
              <w:rPr>
                <w:rStyle w:val="checkbox"/>
                <w:rFonts w:ascii="Arial" w:hAnsi="Arial" w:cs="Arial"/>
              </w:rPr>
            </w:pPr>
            <w:r w:rsidRPr="002C1401">
              <w:rPr>
                <w:rStyle w:val="checkbox"/>
                <w:rFonts w:ascii="Arial" w:hAnsi="Arial" w:cs="Arial"/>
              </w:rPr>
              <w:t>1989</w:t>
            </w:r>
          </w:p>
        </w:tc>
        <w:tc>
          <w:tcPr>
            <w:tcW w:w="6455" w:type="dxa"/>
          </w:tcPr>
          <w:p w14:paraId="78D591B8" w14:textId="5715AAC2" w:rsidR="004966BF" w:rsidRPr="002C1401" w:rsidRDefault="009D4CD7" w:rsidP="00717206">
            <w:pPr>
              <w:pStyle w:val="Tablefont"/>
              <w:numPr>
                <w:ilvl w:val="0"/>
                <w:numId w:val="7"/>
              </w:numPr>
              <w:ind w:left="431" w:hanging="357"/>
              <w:rPr>
                <w:rStyle w:val="checkbox"/>
                <w:rFonts w:ascii="Arial" w:hAnsi="Arial" w:cs="Arial"/>
              </w:rPr>
            </w:pPr>
            <w:r w:rsidRPr="002C1401">
              <w:rPr>
                <w:rStyle w:val="checkbox"/>
                <w:rFonts w:ascii="Arial" w:hAnsi="Arial" w:cs="Arial"/>
              </w:rPr>
              <w:t>Probable human carcinogen</w:t>
            </w:r>
            <w:r w:rsidR="00F85212" w:rsidRPr="002C1401">
              <w:rPr>
                <w:rStyle w:val="checkbox"/>
                <w:rFonts w:ascii="Arial" w:hAnsi="Arial" w:cs="Arial"/>
              </w:rPr>
              <w:t xml:space="preserve"> based on inadequate human </w:t>
            </w:r>
            <w:r w:rsidR="00F21148" w:rsidRPr="002C1401">
              <w:rPr>
                <w:rStyle w:val="checkbox"/>
                <w:rFonts w:ascii="Arial" w:hAnsi="Arial" w:cs="Arial"/>
              </w:rPr>
              <w:t xml:space="preserve">carcinogenicity data and sufficient evidence for carcinogenic activity in </w:t>
            </w:r>
            <w:r w:rsidR="00A97FA2" w:rsidRPr="002C1401">
              <w:rPr>
                <w:rStyle w:val="checkbox"/>
                <w:rFonts w:ascii="Arial" w:hAnsi="Arial" w:cs="Arial"/>
              </w:rPr>
              <w:t>mice and rats</w:t>
            </w:r>
            <w:r w:rsidR="004310DE" w:rsidRPr="002C1401">
              <w:rPr>
                <w:rStyle w:val="checkbox"/>
                <w:rFonts w:ascii="Arial" w:hAnsi="Arial" w:cs="Arial"/>
              </w:rPr>
              <w:t xml:space="preserve"> and mutagenic activity in various tests</w:t>
            </w:r>
          </w:p>
          <w:p w14:paraId="2E9849B8" w14:textId="18C9ACDF" w:rsidR="00FE68B9" w:rsidRPr="002C1401" w:rsidRDefault="005D6105" w:rsidP="00717206">
            <w:pPr>
              <w:pStyle w:val="Tablefont"/>
              <w:numPr>
                <w:ilvl w:val="0"/>
                <w:numId w:val="7"/>
              </w:numPr>
              <w:ind w:left="431" w:hanging="357"/>
              <w:rPr>
                <w:rStyle w:val="checkbox"/>
                <w:rFonts w:ascii="Arial" w:hAnsi="Arial" w:cs="Arial"/>
              </w:rPr>
            </w:pPr>
            <w:r w:rsidRPr="002C1401">
              <w:rPr>
                <w:rStyle w:val="checkbox"/>
                <w:rFonts w:ascii="Arial" w:hAnsi="Arial" w:cs="Arial"/>
              </w:rPr>
              <w:t xml:space="preserve">No data available to </w:t>
            </w:r>
            <w:r w:rsidR="009A1903" w:rsidRPr="002C1401">
              <w:rPr>
                <w:rStyle w:val="checkbox"/>
                <w:rFonts w:ascii="Arial" w:hAnsi="Arial" w:cs="Arial"/>
              </w:rPr>
              <w:t>quantify cancer risk from inhalational exposure</w:t>
            </w:r>
            <w:r w:rsidRPr="002C1401">
              <w:rPr>
                <w:rStyle w:val="checkbox"/>
                <w:rFonts w:ascii="Arial" w:hAnsi="Arial" w:cs="Arial"/>
              </w:rPr>
              <w:t xml:space="preserve"> </w:t>
            </w:r>
          </w:p>
          <w:p w14:paraId="5F7E1DFC" w14:textId="730EDFC6" w:rsidR="00855EF7" w:rsidRPr="002C1401" w:rsidRDefault="00652B4E" w:rsidP="00717206">
            <w:pPr>
              <w:pStyle w:val="Tablefont"/>
              <w:numPr>
                <w:ilvl w:val="0"/>
                <w:numId w:val="7"/>
              </w:numPr>
              <w:ind w:left="431" w:hanging="357"/>
              <w:rPr>
                <w:rStyle w:val="checkbox"/>
                <w:rFonts w:ascii="Arial" w:hAnsi="Arial" w:cs="Arial"/>
              </w:rPr>
            </w:pPr>
            <w:r w:rsidRPr="002C1401">
              <w:rPr>
                <w:rStyle w:val="checkbox"/>
                <w:rFonts w:ascii="Arial" w:hAnsi="Arial" w:cs="Arial"/>
              </w:rPr>
              <w:t xml:space="preserve">Human studies </w:t>
            </w:r>
            <w:r w:rsidR="00766873" w:rsidRPr="002C1401">
              <w:rPr>
                <w:rStyle w:val="checkbox"/>
                <w:rFonts w:ascii="Arial" w:hAnsi="Arial" w:cs="Arial"/>
              </w:rPr>
              <w:t>deemed</w:t>
            </w:r>
            <w:r w:rsidRPr="002C1401">
              <w:rPr>
                <w:rStyle w:val="checkbox"/>
                <w:rFonts w:ascii="Arial" w:hAnsi="Arial" w:cs="Arial"/>
              </w:rPr>
              <w:t xml:space="preserve"> inadequate </w:t>
            </w:r>
            <w:r w:rsidR="00027416" w:rsidRPr="002C1401">
              <w:rPr>
                <w:rStyle w:val="checkbox"/>
                <w:rFonts w:ascii="Arial" w:hAnsi="Arial" w:cs="Arial"/>
              </w:rPr>
              <w:t xml:space="preserve">to determine carcinogenicity of benzyl chloride alone </w:t>
            </w:r>
            <w:r w:rsidRPr="002C1401">
              <w:rPr>
                <w:rStyle w:val="checkbox"/>
                <w:rFonts w:ascii="Arial" w:hAnsi="Arial" w:cs="Arial"/>
              </w:rPr>
              <w:t xml:space="preserve">due to co-exposure to </w:t>
            </w:r>
            <w:r w:rsidR="00766873" w:rsidRPr="002C1401">
              <w:rPr>
                <w:rStyle w:val="checkbox"/>
                <w:rFonts w:ascii="Arial" w:hAnsi="Arial" w:cs="Arial"/>
              </w:rPr>
              <w:t xml:space="preserve">other </w:t>
            </w:r>
            <w:r w:rsidR="002218AC" w:rsidRPr="002C1401">
              <w:rPr>
                <w:rStyle w:val="checkbox"/>
                <w:rFonts w:ascii="Arial" w:hAnsi="Arial" w:cs="Arial"/>
              </w:rPr>
              <w:t>structurally related by-products</w:t>
            </w:r>
            <w:r w:rsidR="002C2C57">
              <w:rPr>
                <w:rStyle w:val="checkbox"/>
                <w:rFonts w:ascii="Arial" w:hAnsi="Arial" w:cs="Arial"/>
              </w:rPr>
              <w:t>.</w:t>
            </w:r>
          </w:p>
        </w:tc>
      </w:tr>
      <w:tr w:rsidR="004966BF" w:rsidRPr="004C23F4" w14:paraId="5F7E1E0C" w14:textId="77777777" w:rsidTr="008903E2">
        <w:trPr>
          <w:cantSplit/>
        </w:trPr>
        <w:tc>
          <w:tcPr>
            <w:tcW w:w="1487" w:type="dxa"/>
          </w:tcPr>
          <w:p w14:paraId="5F7E1E08" w14:textId="77777777" w:rsidR="004966BF" w:rsidRDefault="004966BF" w:rsidP="00224EE2">
            <w:pPr>
              <w:pStyle w:val="Tablefont"/>
            </w:pPr>
            <w:r>
              <w:t>US NIOSH</w:t>
            </w:r>
          </w:p>
        </w:tc>
        <w:tc>
          <w:tcPr>
            <w:tcW w:w="423" w:type="dxa"/>
          </w:tcPr>
          <w:p w14:paraId="5F7E1E09" w14:textId="6DDA37CD" w:rsidR="004966BF" w:rsidRDefault="00000000"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Content>
                <w:r w:rsidR="00226116">
                  <w:rPr>
                    <w:rStyle w:val="checkbox"/>
                  </w:rPr>
                  <w:t></w:t>
                </w:r>
              </w:sdtContent>
            </w:sdt>
          </w:p>
        </w:tc>
        <w:tc>
          <w:tcPr>
            <w:tcW w:w="661" w:type="dxa"/>
          </w:tcPr>
          <w:p w14:paraId="5F7E1E0A" w14:textId="7A3D3914" w:rsidR="004966BF" w:rsidRPr="004C23F4" w:rsidRDefault="004C6158" w:rsidP="00717D45">
            <w:pPr>
              <w:pStyle w:val="Tablefont"/>
              <w:rPr>
                <w:rStyle w:val="checkbox"/>
                <w:rFonts w:ascii="Arial" w:hAnsi="Arial" w:cs="Arial"/>
              </w:rPr>
            </w:pPr>
            <w:r>
              <w:rPr>
                <w:rStyle w:val="checkbox"/>
                <w:rFonts w:ascii="Arial" w:hAnsi="Arial" w:cs="Arial"/>
              </w:rPr>
              <w:t>1</w:t>
            </w:r>
            <w:r w:rsidRPr="004C6158">
              <w:rPr>
                <w:rStyle w:val="checkbox"/>
                <w:rFonts w:ascii="Arial" w:hAnsi="Arial" w:cs="Arial"/>
              </w:rPr>
              <w:t>994</w:t>
            </w:r>
          </w:p>
        </w:tc>
        <w:tc>
          <w:tcPr>
            <w:tcW w:w="6455" w:type="dxa"/>
          </w:tcPr>
          <w:p w14:paraId="6F4D6A75" w14:textId="21B59819" w:rsidR="004966BF" w:rsidRDefault="007231B2" w:rsidP="00717206">
            <w:pPr>
              <w:pStyle w:val="Tablefont"/>
              <w:numPr>
                <w:ilvl w:val="0"/>
                <w:numId w:val="8"/>
              </w:numPr>
              <w:ind w:left="431" w:hanging="357"/>
              <w:rPr>
                <w:rStyle w:val="checkbox"/>
                <w:rFonts w:ascii="Arial" w:hAnsi="Arial" w:cs="Arial"/>
              </w:rPr>
            </w:pPr>
            <w:r w:rsidRPr="007231B2">
              <w:rPr>
                <w:rStyle w:val="checkbox"/>
                <w:rFonts w:ascii="Arial" w:hAnsi="Arial" w:cs="Arial"/>
              </w:rPr>
              <w:t>20 ppm render</w:t>
            </w:r>
            <w:r>
              <w:rPr>
                <w:rStyle w:val="checkbox"/>
                <w:rFonts w:ascii="Arial" w:hAnsi="Arial" w:cs="Arial"/>
              </w:rPr>
              <w:t>s</w:t>
            </w:r>
            <w:r w:rsidRPr="007231B2">
              <w:rPr>
                <w:rStyle w:val="checkbox"/>
                <w:rFonts w:ascii="Arial" w:hAnsi="Arial" w:cs="Arial"/>
              </w:rPr>
              <w:t xml:space="preserve"> </w:t>
            </w:r>
            <w:r>
              <w:rPr>
                <w:rStyle w:val="checkbox"/>
                <w:rFonts w:ascii="Arial" w:hAnsi="Arial" w:cs="Arial"/>
              </w:rPr>
              <w:t>air</w:t>
            </w:r>
            <w:r w:rsidRPr="007231B2">
              <w:rPr>
                <w:rStyle w:val="checkbox"/>
                <w:rFonts w:ascii="Arial" w:hAnsi="Arial" w:cs="Arial"/>
              </w:rPr>
              <w:t xml:space="preserve"> </w:t>
            </w:r>
            <w:r w:rsidR="009E31FD">
              <w:rPr>
                <w:rStyle w:val="checkbox"/>
                <w:rFonts w:ascii="Arial" w:hAnsi="Arial" w:cs="Arial"/>
              </w:rPr>
              <w:t>unbreathable</w:t>
            </w:r>
            <w:r w:rsidRPr="007231B2">
              <w:rPr>
                <w:rStyle w:val="checkbox"/>
                <w:rFonts w:ascii="Arial" w:hAnsi="Arial" w:cs="Arial"/>
              </w:rPr>
              <w:t xml:space="preserve"> in 1 mi</w:t>
            </w:r>
            <w:r w:rsidR="00B20873">
              <w:rPr>
                <w:rStyle w:val="checkbox"/>
                <w:rFonts w:ascii="Arial" w:hAnsi="Arial" w:cs="Arial"/>
              </w:rPr>
              <w:t>n</w:t>
            </w:r>
          </w:p>
          <w:p w14:paraId="5F7E1E0B" w14:textId="1CABB73A" w:rsidR="00E83D5C" w:rsidRPr="004C23F4" w:rsidRDefault="00C31A6B" w:rsidP="00717206">
            <w:pPr>
              <w:pStyle w:val="Tablefont"/>
              <w:numPr>
                <w:ilvl w:val="0"/>
                <w:numId w:val="8"/>
              </w:numPr>
              <w:ind w:left="431" w:hanging="357"/>
              <w:rPr>
                <w:rStyle w:val="checkbox"/>
                <w:rFonts w:ascii="Arial" w:hAnsi="Arial" w:cs="Arial"/>
              </w:rPr>
            </w:pPr>
            <w:r>
              <w:rPr>
                <w:rStyle w:val="checkbox"/>
                <w:rFonts w:ascii="Arial" w:hAnsi="Arial" w:cs="Arial"/>
              </w:rPr>
              <w:t xml:space="preserve">IDLH of </w:t>
            </w:r>
            <w:r w:rsidR="00E83D5C" w:rsidRPr="00E83D5C">
              <w:rPr>
                <w:rStyle w:val="checkbox"/>
                <w:rFonts w:ascii="Arial" w:hAnsi="Arial" w:cs="Arial"/>
              </w:rPr>
              <w:t xml:space="preserve">10 ppm to </w:t>
            </w:r>
            <w:r w:rsidR="00CD48F3">
              <w:rPr>
                <w:rStyle w:val="checkbox"/>
                <w:rFonts w:ascii="Arial" w:hAnsi="Arial" w:cs="Arial"/>
              </w:rPr>
              <w:t>allow</w:t>
            </w:r>
            <w:r w:rsidR="00E83D5C" w:rsidRPr="00E83D5C">
              <w:rPr>
                <w:rStyle w:val="checkbox"/>
                <w:rFonts w:ascii="Arial" w:hAnsi="Arial" w:cs="Arial"/>
              </w:rPr>
              <w:t xml:space="preserve"> escape in the event of </w:t>
            </w:r>
            <w:proofErr w:type="spellStart"/>
            <w:r w:rsidRPr="00E83D5C">
              <w:rPr>
                <w:rStyle w:val="checkbox"/>
                <w:rFonts w:ascii="Arial" w:hAnsi="Arial" w:cs="Arial"/>
              </w:rPr>
              <w:t>respirator</w:t>
            </w:r>
            <w:proofErr w:type="spellEnd"/>
            <w:r w:rsidR="00E83D5C" w:rsidRPr="00E83D5C">
              <w:rPr>
                <w:rStyle w:val="checkbox"/>
                <w:rFonts w:ascii="Arial" w:hAnsi="Arial" w:cs="Arial"/>
              </w:rPr>
              <w:t xml:space="preserve"> failure</w:t>
            </w:r>
            <w:r w:rsidR="002C2C57">
              <w:rPr>
                <w:rStyle w:val="checkbox"/>
                <w:rFonts w:ascii="Arial" w:hAnsi="Arial" w:cs="Arial"/>
              </w:rPr>
              <w:t>.</w:t>
            </w:r>
          </w:p>
        </w:tc>
      </w:tr>
    </w:tbl>
    <w:bookmarkEnd w:id="0"/>
    <w:p w14:paraId="5F7E1E0E"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9"/>
        <w:gridCol w:w="2417"/>
      </w:tblGrid>
      <w:tr w:rsidR="002E0D61" w14:paraId="5F7E1E11" w14:textId="77777777" w:rsidTr="00C3056A">
        <w:trPr>
          <w:trHeight w:val="454"/>
          <w:tblHeader/>
        </w:trPr>
        <w:tc>
          <w:tcPr>
            <w:tcW w:w="6609" w:type="dxa"/>
            <w:vAlign w:val="center"/>
          </w:tcPr>
          <w:p w14:paraId="5F7E1E0F"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17" w:type="dxa"/>
                <w:vAlign w:val="center"/>
              </w:tcPr>
              <w:p w14:paraId="5F7E1E10" w14:textId="7DB3AC8F" w:rsidR="002E0D61" w:rsidRDefault="00251E23" w:rsidP="00C3091E">
                <w:pPr>
                  <w:pStyle w:val="Tablefont"/>
                  <w:keepNext/>
                  <w:keepLines/>
                  <w:spacing w:before="40" w:after="40"/>
                </w:pPr>
                <w:r>
                  <w:t>Yes</w:t>
                </w:r>
              </w:p>
            </w:tc>
          </w:sdtContent>
        </w:sdt>
      </w:tr>
      <w:tr w:rsidR="008A36CF" w14:paraId="5F7E1E14" w14:textId="77777777" w:rsidTr="00C3056A">
        <w:trPr>
          <w:trHeight w:val="454"/>
        </w:trPr>
        <w:tc>
          <w:tcPr>
            <w:tcW w:w="6609" w:type="dxa"/>
            <w:vAlign w:val="center"/>
          </w:tcPr>
          <w:p w14:paraId="5F7E1E12"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Content>
            <w:tc>
              <w:tcPr>
                <w:tcW w:w="2417" w:type="dxa"/>
                <w:vAlign w:val="center"/>
              </w:tcPr>
              <w:p w14:paraId="5F7E1E13" w14:textId="4AA8728C" w:rsidR="008A36CF" w:rsidRDefault="00E36866" w:rsidP="008A36CF">
                <w:pPr>
                  <w:pStyle w:val="Tablefont"/>
                  <w:keepNext/>
                  <w:keepLines/>
                  <w:spacing w:before="40" w:after="40"/>
                </w:pPr>
                <w:r>
                  <w:t>Yes</w:t>
                </w:r>
              </w:p>
            </w:tc>
          </w:sdtContent>
        </w:sdt>
      </w:tr>
      <w:tr w:rsidR="00B20873" w14:paraId="5F7E1E17" w14:textId="77777777" w:rsidTr="00DD347B">
        <w:trPr>
          <w:trHeight w:val="454"/>
        </w:trPr>
        <w:sdt>
          <w:sdtPr>
            <w:rPr>
              <w:b/>
            </w:rPr>
            <w:id w:val="1830936485"/>
            <w:placeholder>
              <w:docPart w:val="9832A479B1BF4F6796B0E18168F0DBCC"/>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tc>
              <w:tcPr>
                <w:tcW w:w="9026" w:type="dxa"/>
                <w:gridSpan w:val="2"/>
                <w:vAlign w:val="center"/>
              </w:tcPr>
              <w:p w14:paraId="5F7E1E16" w14:textId="1CA35448" w:rsidR="00B20873" w:rsidRDefault="00B20873" w:rsidP="008A36CF">
                <w:pPr>
                  <w:pStyle w:val="Tablefont"/>
                  <w:keepNext/>
                  <w:keepLines/>
                  <w:spacing w:before="40" w:after="40"/>
                </w:pPr>
                <w:r>
                  <w:rPr>
                    <w:b/>
                  </w:rPr>
                  <w:t>Insufficient data are available to determine if the chemical is a non-threshold based genotoxic carcinogen.</w:t>
                </w:r>
              </w:p>
            </w:tc>
          </w:sdtContent>
        </w:sdt>
      </w:tr>
      <w:tr w:rsidR="008A36CF" w14:paraId="5F7E1E1A" w14:textId="77777777" w:rsidTr="00C3056A">
        <w:trPr>
          <w:trHeight w:val="454"/>
        </w:trPr>
        <w:tc>
          <w:tcPr>
            <w:tcW w:w="6609" w:type="dxa"/>
            <w:vAlign w:val="center"/>
          </w:tcPr>
          <w:p w14:paraId="5F7E1E18" w14:textId="77777777" w:rsidR="008A36CF" w:rsidRDefault="008A36CF" w:rsidP="008A36CF">
            <w:pPr>
              <w:pStyle w:val="Tablefont"/>
              <w:keepNext/>
              <w:keepLines/>
              <w:spacing w:before="40" w:after="40"/>
            </w:pPr>
            <w:r w:rsidRPr="008A36CF">
              <w:t>Is a cancer slope factor or inhalation unit risk value available?</w:t>
            </w:r>
          </w:p>
        </w:tc>
        <w:sdt>
          <w:sdtPr>
            <w:id w:val="1304347970"/>
            <w:placeholder>
              <w:docPart w:val="047AD93791DC493F8562BB3488160D64"/>
            </w:placeholder>
            <w:comboBox>
              <w:listItem w:value="Choose an item."/>
              <w:listItem w:displayText="Yes" w:value="Yes"/>
              <w:listItem w:displayText="No" w:value="No"/>
              <w:listItem w:displayText="NA" w:value="NA"/>
            </w:comboBox>
          </w:sdtPr>
          <w:sdtContent>
            <w:tc>
              <w:tcPr>
                <w:tcW w:w="2417" w:type="dxa"/>
                <w:vAlign w:val="center"/>
              </w:tcPr>
              <w:p w14:paraId="5F7E1E19" w14:textId="739943A8" w:rsidR="008A36CF" w:rsidRDefault="00C3056A" w:rsidP="008A36CF">
                <w:pPr>
                  <w:pStyle w:val="Tablefont"/>
                  <w:keepNext/>
                  <w:keepLines/>
                  <w:spacing w:before="40" w:after="40"/>
                </w:pPr>
                <w:r>
                  <w:t>No</w:t>
                </w:r>
              </w:p>
            </w:tc>
          </w:sdtContent>
        </w:sdt>
      </w:tr>
    </w:tbl>
    <w:bookmarkEnd w:id="1"/>
    <w:p w14:paraId="5F7E1E21"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2977"/>
        <w:gridCol w:w="6049"/>
      </w:tblGrid>
      <w:tr w:rsidR="00687890" w:rsidRPr="004C23F4" w14:paraId="5F7E1E24" w14:textId="77777777" w:rsidTr="00EA423C">
        <w:trPr>
          <w:cantSplit/>
          <w:tblHeader/>
        </w:trPr>
        <w:tc>
          <w:tcPr>
            <w:tcW w:w="2977" w:type="dxa"/>
            <w:shd w:val="clear" w:color="auto" w:fill="BFBFBF" w:themeFill="background1" w:themeFillShade="BF"/>
            <w:vAlign w:val="center"/>
          </w:tcPr>
          <w:p w14:paraId="5F7E1E22" w14:textId="77777777" w:rsidR="00687890" w:rsidRPr="004C23F4" w:rsidRDefault="00687890" w:rsidP="00263255">
            <w:pPr>
              <w:pStyle w:val="Tableheader"/>
            </w:pPr>
            <w:bookmarkStart w:id="2" w:name="Notations"/>
            <w:r w:rsidRPr="004C23F4">
              <w:t>Source</w:t>
            </w:r>
          </w:p>
        </w:tc>
        <w:tc>
          <w:tcPr>
            <w:tcW w:w="6049" w:type="dxa"/>
            <w:shd w:val="clear" w:color="auto" w:fill="BFBFBF" w:themeFill="background1" w:themeFillShade="BF"/>
            <w:vAlign w:val="center"/>
          </w:tcPr>
          <w:p w14:paraId="5F7E1E23" w14:textId="77777777" w:rsidR="00687890" w:rsidRPr="004C23F4" w:rsidRDefault="00687890" w:rsidP="00F4402E">
            <w:pPr>
              <w:pStyle w:val="Tableheader"/>
              <w:tabs>
                <w:tab w:val="right" w:pos="5272"/>
              </w:tabs>
            </w:pPr>
            <w:r w:rsidRPr="004C23F4">
              <w:t>Notations</w:t>
            </w:r>
            <w:r w:rsidR="003A2B94">
              <w:tab/>
            </w:r>
          </w:p>
        </w:tc>
      </w:tr>
      <w:tr w:rsidR="00687890" w:rsidRPr="004C23F4" w14:paraId="5F7E1E27" w14:textId="77777777" w:rsidTr="00EA423C">
        <w:trPr>
          <w:cantSplit/>
        </w:trPr>
        <w:tc>
          <w:tcPr>
            <w:tcW w:w="2977" w:type="dxa"/>
          </w:tcPr>
          <w:p w14:paraId="5F7E1E25" w14:textId="77777777" w:rsidR="004079B4" w:rsidRPr="004C23F4" w:rsidRDefault="00084513" w:rsidP="00F4402E">
            <w:pPr>
              <w:pStyle w:val="Tablefont"/>
            </w:pPr>
            <w:r w:rsidRPr="004C23F4">
              <w:t>SWA</w:t>
            </w:r>
          </w:p>
        </w:tc>
        <w:tc>
          <w:tcPr>
            <w:tcW w:w="6049" w:type="dxa"/>
          </w:tcPr>
          <w:p w14:paraId="5F7E1E26" w14:textId="39B18C7E" w:rsidR="00687890" w:rsidRPr="00DD2F9B" w:rsidRDefault="004E2DB6" w:rsidP="00DD2F9B">
            <w:pPr>
              <w:pStyle w:val="Tablefont"/>
            </w:pPr>
            <w:r>
              <w:t>—</w:t>
            </w:r>
          </w:p>
        </w:tc>
      </w:tr>
      <w:tr w:rsidR="007925F0" w:rsidRPr="004C23F4" w14:paraId="5F7E1E2A" w14:textId="77777777" w:rsidTr="00EA423C">
        <w:trPr>
          <w:cantSplit/>
        </w:trPr>
        <w:tc>
          <w:tcPr>
            <w:tcW w:w="2977" w:type="dxa"/>
          </w:tcPr>
          <w:p w14:paraId="5F7E1E28" w14:textId="77777777" w:rsidR="004079B4" w:rsidRPr="004C23F4" w:rsidRDefault="007925F0" w:rsidP="00F4402E">
            <w:pPr>
              <w:pStyle w:val="Tablefont"/>
            </w:pPr>
            <w:r>
              <w:t>HCIS</w:t>
            </w:r>
          </w:p>
        </w:tc>
        <w:tc>
          <w:tcPr>
            <w:tcW w:w="6049" w:type="dxa"/>
          </w:tcPr>
          <w:p w14:paraId="5F7E1E29" w14:textId="25407477" w:rsidR="007925F0" w:rsidRPr="002C0BC7" w:rsidRDefault="00EA423C" w:rsidP="00DD2F9B">
            <w:pPr>
              <w:pStyle w:val="Tablefont"/>
              <w:rPr>
                <w:rFonts w:cs="Arial"/>
                <w:szCs w:val="20"/>
              </w:rPr>
            </w:pPr>
            <w:r w:rsidRPr="002C0BC7">
              <w:rPr>
                <w:rFonts w:cs="Arial"/>
                <w:szCs w:val="20"/>
              </w:rPr>
              <w:t>Carcinogenicity – category 1B</w:t>
            </w:r>
            <w:r w:rsidR="00CE609B">
              <w:rPr>
                <w:rFonts w:cs="Arial"/>
                <w:color w:val="333333"/>
                <w:szCs w:val="20"/>
                <w:shd w:val="clear" w:color="auto" w:fill="FFFFFF"/>
              </w:rPr>
              <w:t>,</w:t>
            </w:r>
            <w:r w:rsidRPr="002C0BC7">
              <w:rPr>
                <w:rFonts w:cs="Arial"/>
                <w:color w:val="333333"/>
                <w:szCs w:val="20"/>
                <w:shd w:val="clear" w:color="auto" w:fill="FFFFFF"/>
              </w:rPr>
              <w:t xml:space="preserve"> </w:t>
            </w:r>
            <w:r w:rsidR="004E2DB6" w:rsidRPr="002C0BC7">
              <w:rPr>
                <w:rFonts w:cs="Arial"/>
                <w:color w:val="333333"/>
                <w:szCs w:val="20"/>
                <w:shd w:val="clear" w:color="auto" w:fill="FFFFFF"/>
              </w:rPr>
              <w:t>Skin sensitisation – category 1</w:t>
            </w:r>
          </w:p>
        </w:tc>
      </w:tr>
      <w:tr w:rsidR="00AF483F" w:rsidRPr="004C23F4" w14:paraId="5F7E1E2D" w14:textId="77777777" w:rsidTr="00EA423C">
        <w:trPr>
          <w:cantSplit/>
        </w:trPr>
        <w:tc>
          <w:tcPr>
            <w:tcW w:w="2977" w:type="dxa"/>
          </w:tcPr>
          <w:p w14:paraId="5F7E1E2B" w14:textId="77777777" w:rsidR="00AF483F" w:rsidRPr="004C23F4" w:rsidRDefault="00AF483F" w:rsidP="00F4402E">
            <w:pPr>
              <w:pStyle w:val="Tablefont"/>
            </w:pPr>
            <w:r>
              <w:t>NICNAS</w:t>
            </w:r>
          </w:p>
        </w:tc>
        <w:tc>
          <w:tcPr>
            <w:tcW w:w="6049" w:type="dxa"/>
          </w:tcPr>
          <w:p w14:paraId="5F7E1E2C" w14:textId="005A2DF6" w:rsidR="00AF483F" w:rsidRPr="00DD2F9B" w:rsidRDefault="00294191" w:rsidP="00DD2F9B">
            <w:pPr>
              <w:pStyle w:val="Tablefont"/>
            </w:pPr>
            <w:proofErr w:type="spellStart"/>
            <w:r>
              <w:t>Carc</w:t>
            </w:r>
            <w:proofErr w:type="spellEnd"/>
            <w:r w:rsidR="0032551D">
              <w:t>. Cat. 1B, Sen</w:t>
            </w:r>
            <w:r w:rsidR="00285E50">
              <w:t>sitisation – category 1</w:t>
            </w:r>
          </w:p>
        </w:tc>
      </w:tr>
      <w:tr w:rsidR="00687890" w:rsidRPr="004C23F4" w14:paraId="5F7E1E30" w14:textId="77777777" w:rsidTr="00EA423C">
        <w:trPr>
          <w:cantSplit/>
        </w:trPr>
        <w:tc>
          <w:tcPr>
            <w:tcW w:w="2977" w:type="dxa"/>
          </w:tcPr>
          <w:p w14:paraId="5F7E1E2E" w14:textId="77777777" w:rsidR="004079B4" w:rsidRPr="004C23F4" w:rsidRDefault="00687890" w:rsidP="00F4402E">
            <w:pPr>
              <w:pStyle w:val="Tablefont"/>
            </w:pPr>
            <w:r w:rsidRPr="004C23F4">
              <w:t>EU Annex</w:t>
            </w:r>
          </w:p>
        </w:tc>
        <w:tc>
          <w:tcPr>
            <w:tcW w:w="6049" w:type="dxa"/>
          </w:tcPr>
          <w:p w14:paraId="5F7E1E2F" w14:textId="229538B8" w:rsidR="00687890" w:rsidRPr="00DD2F9B" w:rsidRDefault="00026075" w:rsidP="00DD2F9B">
            <w:pPr>
              <w:pStyle w:val="Tablefont"/>
            </w:pPr>
            <w:r>
              <w:t>Carcinogenicity</w:t>
            </w:r>
            <w:r w:rsidR="0015741B">
              <w:t xml:space="preserve"> </w:t>
            </w:r>
            <w:r w:rsidR="005C5633">
              <w:t>– category 1B</w:t>
            </w:r>
          </w:p>
        </w:tc>
      </w:tr>
      <w:tr w:rsidR="00E41A26" w:rsidRPr="004C23F4" w14:paraId="5F7E1E33" w14:textId="77777777" w:rsidTr="00EA423C">
        <w:trPr>
          <w:cantSplit/>
        </w:trPr>
        <w:tc>
          <w:tcPr>
            <w:tcW w:w="2977" w:type="dxa"/>
          </w:tcPr>
          <w:p w14:paraId="5F7E1E31" w14:textId="77777777" w:rsidR="00E41A26" w:rsidRDefault="00E41A26" w:rsidP="00F4402E">
            <w:pPr>
              <w:pStyle w:val="Tablefont"/>
            </w:pPr>
            <w:r>
              <w:t>ECHA</w:t>
            </w:r>
          </w:p>
        </w:tc>
        <w:tc>
          <w:tcPr>
            <w:tcW w:w="6049" w:type="dxa"/>
          </w:tcPr>
          <w:p w14:paraId="5F7E1E32" w14:textId="1076F0E1" w:rsidR="00E41A26" w:rsidRPr="00DD2F9B" w:rsidRDefault="009350FE" w:rsidP="00DD2F9B">
            <w:pPr>
              <w:pStyle w:val="Tablefont"/>
            </w:pPr>
            <w:r>
              <w:t>NA</w:t>
            </w:r>
          </w:p>
        </w:tc>
      </w:tr>
      <w:tr w:rsidR="002E0D61" w:rsidRPr="004C23F4" w14:paraId="5F7E1E36" w14:textId="77777777" w:rsidTr="00EA423C">
        <w:trPr>
          <w:cantSplit/>
        </w:trPr>
        <w:tc>
          <w:tcPr>
            <w:tcW w:w="2977" w:type="dxa"/>
          </w:tcPr>
          <w:p w14:paraId="5F7E1E34" w14:textId="77777777" w:rsidR="004079B4" w:rsidRPr="004C23F4" w:rsidRDefault="002E0D61" w:rsidP="00F4402E">
            <w:pPr>
              <w:pStyle w:val="Tablefont"/>
            </w:pPr>
            <w:r>
              <w:t>ACGIH</w:t>
            </w:r>
          </w:p>
        </w:tc>
        <w:tc>
          <w:tcPr>
            <w:tcW w:w="6049" w:type="dxa"/>
          </w:tcPr>
          <w:p w14:paraId="5F7E1E35" w14:textId="7BA40C30" w:rsidR="002E0D61" w:rsidRPr="00DD2F9B" w:rsidRDefault="00026075" w:rsidP="00DD2F9B">
            <w:pPr>
              <w:pStyle w:val="Tablefont"/>
            </w:pPr>
            <w:r>
              <w:t>Carcinogenicity –</w:t>
            </w:r>
            <w:r w:rsidR="00D96240">
              <w:t xml:space="preserve"> </w:t>
            </w:r>
            <w:r w:rsidR="00140445" w:rsidRPr="00140445">
              <w:t>A3</w:t>
            </w:r>
          </w:p>
        </w:tc>
      </w:tr>
      <w:tr w:rsidR="002E0D61" w:rsidRPr="004C23F4" w14:paraId="5F7E1E39" w14:textId="77777777" w:rsidTr="00EA423C">
        <w:trPr>
          <w:cantSplit/>
        </w:trPr>
        <w:tc>
          <w:tcPr>
            <w:tcW w:w="2977" w:type="dxa"/>
          </w:tcPr>
          <w:p w14:paraId="5F7E1E37" w14:textId="77777777" w:rsidR="004079B4" w:rsidRPr="004C23F4" w:rsidRDefault="002E0D61" w:rsidP="00F4402E">
            <w:pPr>
              <w:pStyle w:val="Tablefont"/>
            </w:pPr>
            <w:r>
              <w:t>DFG</w:t>
            </w:r>
          </w:p>
        </w:tc>
        <w:tc>
          <w:tcPr>
            <w:tcW w:w="6049" w:type="dxa"/>
          </w:tcPr>
          <w:p w14:paraId="5F7E1E38" w14:textId="36B14754" w:rsidR="002E0D61" w:rsidRPr="00DD2F9B" w:rsidRDefault="00764E49" w:rsidP="00DD2F9B">
            <w:pPr>
              <w:pStyle w:val="Tablefont"/>
            </w:pPr>
            <w:r>
              <w:t>Carcinogenicity –</w:t>
            </w:r>
            <w:r w:rsidR="002C0BC7">
              <w:t xml:space="preserve"> </w:t>
            </w:r>
            <w:r w:rsidR="009732A6">
              <w:t xml:space="preserve">2, </w:t>
            </w:r>
            <w:r w:rsidR="00F11561">
              <w:t>H (Skin)</w:t>
            </w:r>
          </w:p>
        </w:tc>
      </w:tr>
      <w:tr w:rsidR="002E0D61" w:rsidRPr="004C23F4" w14:paraId="5F7E1E3C" w14:textId="77777777" w:rsidTr="00EA423C">
        <w:trPr>
          <w:cantSplit/>
        </w:trPr>
        <w:tc>
          <w:tcPr>
            <w:tcW w:w="2977" w:type="dxa"/>
          </w:tcPr>
          <w:p w14:paraId="5F7E1E3A" w14:textId="77777777" w:rsidR="004079B4" w:rsidRPr="004C23F4" w:rsidRDefault="002E0D61" w:rsidP="00F4402E">
            <w:pPr>
              <w:pStyle w:val="Tablefont"/>
            </w:pPr>
            <w:r>
              <w:t>SCOEL</w:t>
            </w:r>
          </w:p>
        </w:tc>
        <w:tc>
          <w:tcPr>
            <w:tcW w:w="6049" w:type="dxa"/>
          </w:tcPr>
          <w:p w14:paraId="5F7E1E3B" w14:textId="2236C8D5" w:rsidR="002E0D61" w:rsidRPr="00DD2F9B" w:rsidRDefault="005C5633" w:rsidP="00DD2F9B">
            <w:pPr>
              <w:pStyle w:val="Tablefont"/>
            </w:pPr>
            <w:r>
              <w:t>NA</w:t>
            </w:r>
          </w:p>
        </w:tc>
      </w:tr>
      <w:tr w:rsidR="002E0D61" w:rsidRPr="004C23F4" w14:paraId="5F7E1E3F" w14:textId="77777777" w:rsidTr="00EA423C">
        <w:trPr>
          <w:cantSplit/>
        </w:trPr>
        <w:tc>
          <w:tcPr>
            <w:tcW w:w="2977" w:type="dxa"/>
          </w:tcPr>
          <w:p w14:paraId="5F7E1E3D" w14:textId="77777777" w:rsidR="004079B4" w:rsidRDefault="002E0D61" w:rsidP="00F4402E">
            <w:pPr>
              <w:pStyle w:val="Tablefont"/>
            </w:pPr>
            <w:r>
              <w:t>HCOTN</w:t>
            </w:r>
          </w:p>
        </w:tc>
        <w:tc>
          <w:tcPr>
            <w:tcW w:w="6049" w:type="dxa"/>
          </w:tcPr>
          <w:p w14:paraId="5F7E1E3E" w14:textId="23732F59" w:rsidR="002E0D61" w:rsidRPr="00DD2F9B" w:rsidRDefault="005C5633" w:rsidP="00DD2F9B">
            <w:pPr>
              <w:pStyle w:val="Tablefont"/>
            </w:pPr>
            <w:r>
              <w:t>NA</w:t>
            </w:r>
          </w:p>
        </w:tc>
      </w:tr>
      <w:tr w:rsidR="00386093" w:rsidRPr="004C23F4" w14:paraId="5F7E1E42" w14:textId="77777777" w:rsidTr="00EA423C">
        <w:trPr>
          <w:cantSplit/>
        </w:trPr>
        <w:tc>
          <w:tcPr>
            <w:tcW w:w="2977" w:type="dxa"/>
          </w:tcPr>
          <w:p w14:paraId="5F7E1E40" w14:textId="77777777" w:rsidR="004079B4" w:rsidRDefault="00386093" w:rsidP="00F4402E">
            <w:pPr>
              <w:pStyle w:val="Tablefont"/>
            </w:pPr>
            <w:r>
              <w:t>IARC</w:t>
            </w:r>
          </w:p>
        </w:tc>
        <w:tc>
          <w:tcPr>
            <w:tcW w:w="6049" w:type="dxa"/>
          </w:tcPr>
          <w:p w14:paraId="5F7E1E41" w14:textId="1BD840DF" w:rsidR="00386093" w:rsidRPr="00DD2F9B" w:rsidRDefault="00026075" w:rsidP="00DD2F9B">
            <w:pPr>
              <w:pStyle w:val="Tablefont"/>
            </w:pPr>
            <w:r>
              <w:t>Carcinogenicity</w:t>
            </w:r>
            <w:r w:rsidR="002C0BC7">
              <w:t xml:space="preserve"> – G</w:t>
            </w:r>
            <w:r w:rsidR="00FE59F7">
              <w:t>roup 2A</w:t>
            </w:r>
          </w:p>
        </w:tc>
      </w:tr>
      <w:tr w:rsidR="00386093" w:rsidRPr="004C23F4" w14:paraId="5F7E1E45" w14:textId="77777777" w:rsidTr="00EA423C">
        <w:trPr>
          <w:cantSplit/>
        </w:trPr>
        <w:tc>
          <w:tcPr>
            <w:tcW w:w="2977" w:type="dxa"/>
          </w:tcPr>
          <w:p w14:paraId="5F7E1E43" w14:textId="77777777" w:rsidR="004079B4" w:rsidRDefault="00386093" w:rsidP="00F4402E">
            <w:pPr>
              <w:pStyle w:val="Tablefont"/>
              <w:keepNext/>
            </w:pPr>
            <w:r>
              <w:t>US NIOSH</w:t>
            </w:r>
          </w:p>
        </w:tc>
        <w:tc>
          <w:tcPr>
            <w:tcW w:w="6049" w:type="dxa"/>
          </w:tcPr>
          <w:p w14:paraId="5F7E1E44" w14:textId="08F21678" w:rsidR="00386093" w:rsidRPr="00DD2F9B" w:rsidRDefault="006200EA" w:rsidP="00D87570">
            <w:pPr>
              <w:pStyle w:val="Tablefont"/>
              <w:keepNext/>
            </w:pPr>
            <w:r>
              <w:t>NA</w:t>
            </w:r>
          </w:p>
        </w:tc>
      </w:tr>
    </w:tbl>
    <w:bookmarkEnd w:id="2"/>
    <w:p w14:paraId="5F7E1E46"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5F7E1E47"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5F7E1E49" w14:textId="77777777" w:rsidTr="00C025C0">
        <w:trPr>
          <w:cantSplit/>
          <w:tblHeader/>
        </w:trPr>
        <w:tc>
          <w:tcPr>
            <w:tcW w:w="5000" w:type="pct"/>
            <w:shd w:val="clear" w:color="auto" w:fill="BFBFBF" w:themeFill="background1" w:themeFillShade="BF"/>
            <w:vAlign w:val="center"/>
          </w:tcPr>
          <w:p w14:paraId="5F7E1E48"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5F7E1E4B" w14:textId="77777777" w:rsidTr="00C025C0">
        <w:trPr>
          <w:cantSplit/>
          <w:tblHeader/>
        </w:trPr>
        <w:tc>
          <w:tcPr>
            <w:tcW w:w="5000" w:type="pct"/>
            <w:vAlign w:val="center"/>
          </w:tcPr>
          <w:p w14:paraId="5F7E1E4A" w14:textId="234A2F7E" w:rsidR="00932DCE" w:rsidRPr="004C23F4" w:rsidRDefault="002C0BC7" w:rsidP="00F9496B">
            <w:pPr>
              <w:pStyle w:val="Tablefont"/>
            </w:pPr>
            <w:r>
              <w:t xml:space="preserve">Insufficient data to assign a skin notation </w:t>
            </w:r>
          </w:p>
        </w:tc>
      </w:tr>
    </w:tbl>
    <w:bookmarkEnd w:id="3"/>
    <w:p w14:paraId="5F7E1E4C" w14:textId="77777777" w:rsidR="00EB3D1B" w:rsidRDefault="00EB3D1B" w:rsidP="00EB3D1B">
      <w:pPr>
        <w:pStyle w:val="Heading3"/>
      </w:pPr>
      <w:r>
        <w:lastRenderedPageBreak/>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5F7E1E4F" w14:textId="77777777" w:rsidTr="00610F2E">
        <w:trPr>
          <w:trHeight w:val="454"/>
          <w:tblHeader/>
        </w:trPr>
        <w:tc>
          <w:tcPr>
            <w:tcW w:w="4361" w:type="dxa"/>
            <w:vAlign w:val="center"/>
          </w:tcPr>
          <w:p w14:paraId="5F7E1E4D"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5F7E1E4E" w14:textId="1B22C9C8" w:rsidR="00EB3D1B" w:rsidRDefault="00D96240" w:rsidP="00EB3D1B">
                <w:pPr>
                  <w:pStyle w:val="Tablefont"/>
                </w:pPr>
                <w:r>
                  <w:t>Yes</w:t>
                </w:r>
              </w:p>
            </w:tc>
          </w:sdtContent>
        </w:sdt>
      </w:tr>
    </w:tbl>
    <w:p w14:paraId="5F7E1E50"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5F7E1E53" w14:textId="77777777" w:rsidTr="00EA6243">
        <w:trPr>
          <w:cantSplit/>
          <w:tblHeader/>
        </w:trPr>
        <w:tc>
          <w:tcPr>
            <w:tcW w:w="4077" w:type="dxa"/>
            <w:vAlign w:val="center"/>
          </w:tcPr>
          <w:p w14:paraId="5F7E1E51" w14:textId="77777777" w:rsidR="001B79E5" w:rsidRDefault="001B79E5" w:rsidP="00A31D99">
            <w:pPr>
              <w:pStyle w:val="Tablefont"/>
            </w:pPr>
            <w:r>
              <w:t>Molecular weight:</w:t>
            </w:r>
          </w:p>
        </w:tc>
        <w:sdt>
          <w:sdtPr>
            <w:id w:val="2058126578"/>
            <w:placeholder>
              <w:docPart w:val="0DAD3FB9ACEF4778B961F088737E2361"/>
            </w:placeholder>
          </w:sdtPr>
          <w:sdtContent>
            <w:tc>
              <w:tcPr>
                <w:tcW w:w="5165" w:type="dxa"/>
                <w:vAlign w:val="center"/>
              </w:tcPr>
              <w:p w14:paraId="5F7E1E52" w14:textId="1447C6DC" w:rsidR="001B79E5" w:rsidRDefault="00EA4F89" w:rsidP="001B79E5">
                <w:pPr>
                  <w:pStyle w:val="Tablefont"/>
                </w:pPr>
                <w:r w:rsidRPr="00EA4F89">
                  <w:t>126.58</w:t>
                </w:r>
              </w:p>
            </w:tc>
          </w:sdtContent>
        </w:sdt>
      </w:tr>
      <w:tr w:rsidR="00A31D99" w:rsidRPr="004C23F4" w14:paraId="5F7E1E56" w14:textId="77777777" w:rsidTr="00EA6243">
        <w:trPr>
          <w:cantSplit/>
          <w:tblHeader/>
        </w:trPr>
        <w:tc>
          <w:tcPr>
            <w:tcW w:w="4077" w:type="dxa"/>
            <w:vAlign w:val="center"/>
          </w:tcPr>
          <w:p w14:paraId="5F7E1E54"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5F7E1E55" w14:textId="77777777" w:rsidR="00A31D99" w:rsidRDefault="00A0643F" w:rsidP="00A174CC">
            <w:pPr>
              <w:pStyle w:val="Tablefont"/>
            </w:pPr>
            <w:r>
              <w:t xml:space="preserve">1 ppm = </w:t>
            </w:r>
            <w:sdt>
              <w:sdtPr>
                <w:id w:val="-371151491"/>
                <w:placeholder>
                  <w:docPart w:val="A7231FB73EFF4B2B92EB3BD21C0CEA01"/>
                </w:placeholder>
                <w:showingPlcHdr/>
              </w:sdt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Content>
                <w:r w:rsidR="00A174CC" w:rsidRPr="00A174CC">
                  <w:rPr>
                    <w:color w:val="808080"/>
                  </w:rPr>
                  <w:t>Number</w:t>
                </w:r>
              </w:sdtContent>
            </w:sdt>
            <w:r>
              <w:t xml:space="preserve"> ppm</w:t>
            </w:r>
          </w:p>
        </w:tc>
      </w:tr>
      <w:tr w:rsidR="00687890" w:rsidRPr="004C23F4" w14:paraId="5F7E1E59" w14:textId="77777777" w:rsidTr="00EA6243">
        <w:trPr>
          <w:cantSplit/>
          <w:tblHeader/>
        </w:trPr>
        <w:tc>
          <w:tcPr>
            <w:tcW w:w="4077" w:type="dxa"/>
            <w:vAlign w:val="center"/>
          </w:tcPr>
          <w:p w14:paraId="5F7E1E57"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Content>
            <w:tc>
              <w:tcPr>
                <w:tcW w:w="5165" w:type="dxa"/>
                <w:vAlign w:val="center"/>
              </w:tcPr>
              <w:p w14:paraId="5F7E1E58"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5F7E1E5C" w14:textId="77777777" w:rsidTr="00EA6243">
        <w:trPr>
          <w:cantSplit/>
        </w:trPr>
        <w:tc>
          <w:tcPr>
            <w:tcW w:w="4077" w:type="dxa"/>
            <w:vAlign w:val="center"/>
          </w:tcPr>
          <w:p w14:paraId="5F7E1E5A"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Content>
            <w:tc>
              <w:tcPr>
                <w:tcW w:w="5165" w:type="dxa"/>
                <w:vAlign w:val="center"/>
              </w:tcPr>
              <w:p w14:paraId="5F7E1E5B"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5F7E1E5F" w14:textId="77777777" w:rsidTr="00EA6243">
        <w:trPr>
          <w:cantSplit/>
        </w:trPr>
        <w:tc>
          <w:tcPr>
            <w:tcW w:w="4077" w:type="dxa"/>
            <w:vAlign w:val="center"/>
          </w:tcPr>
          <w:p w14:paraId="5F7E1E5D" w14:textId="77777777" w:rsidR="00687890" w:rsidRPr="00263255" w:rsidRDefault="00687890" w:rsidP="00263255">
            <w:pPr>
              <w:pStyle w:val="Tablefont"/>
            </w:pPr>
            <w:r w:rsidRPr="00263255">
              <w:t>This chemical is a by-product of a process:</w:t>
            </w:r>
          </w:p>
        </w:tc>
        <w:sdt>
          <w:sdtPr>
            <w:id w:val="-863134491"/>
            <w14:checkbox>
              <w14:checked w14:val="1"/>
              <w14:checkedState w14:val="00FC" w14:font="Wingdings"/>
              <w14:uncheckedState w14:val="2610" w14:font="MS Gothic"/>
            </w14:checkbox>
          </w:sdtPr>
          <w:sdtContent>
            <w:tc>
              <w:tcPr>
                <w:tcW w:w="5165" w:type="dxa"/>
                <w:vAlign w:val="center"/>
              </w:tcPr>
              <w:p w14:paraId="5F7E1E5E" w14:textId="6D65861B" w:rsidR="00687890" w:rsidRPr="004C23F4" w:rsidRDefault="000476A1" w:rsidP="00717D45">
                <w:pPr>
                  <w:pStyle w:val="Tablefont"/>
                </w:pPr>
                <w:r>
                  <w:sym w:font="Wingdings" w:char="F0FC"/>
                </w:r>
              </w:p>
            </w:tc>
          </w:sdtContent>
        </w:sdt>
      </w:tr>
      <w:tr w:rsidR="00E06F40" w:rsidRPr="004C23F4" w14:paraId="5F7E1E62" w14:textId="77777777" w:rsidTr="00EA6243">
        <w:trPr>
          <w:cantSplit/>
        </w:trPr>
        <w:tc>
          <w:tcPr>
            <w:tcW w:w="4077" w:type="dxa"/>
            <w:vAlign w:val="center"/>
          </w:tcPr>
          <w:p w14:paraId="5F7E1E60"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5F7E1E61" w14:textId="77777777" w:rsidR="00E06F40" w:rsidRPr="00A006A0" w:rsidRDefault="0000000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7E1E63"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5F7E1E66" w14:textId="77777777" w:rsidTr="00F053FA">
        <w:trPr>
          <w:tblHeader/>
        </w:trPr>
        <w:tc>
          <w:tcPr>
            <w:tcW w:w="4077" w:type="dxa"/>
            <w:shd w:val="clear" w:color="auto" w:fill="BFBFBF" w:themeFill="background1" w:themeFillShade="BF"/>
            <w:vAlign w:val="center"/>
          </w:tcPr>
          <w:p w14:paraId="5F7E1E64"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5F7E1E65" w14:textId="77777777" w:rsidR="00224EE2" w:rsidRPr="004C23F4" w:rsidRDefault="00224EE2" w:rsidP="00EB3D1B">
            <w:pPr>
              <w:pStyle w:val="Tableheader"/>
              <w:keepNext/>
              <w:keepLines/>
            </w:pPr>
            <w:r>
              <w:t>Standard</w:t>
            </w:r>
          </w:p>
        </w:tc>
      </w:tr>
      <w:tr w:rsidR="007F1005" w:rsidRPr="004C23F4" w14:paraId="5F7E1E69" w14:textId="77777777" w:rsidTr="00F053FA">
        <w:trPr>
          <w:tblHeader/>
        </w:trPr>
        <w:sdt>
          <w:sdtPr>
            <w:id w:val="-25557549"/>
            <w:placeholder>
              <w:docPart w:val="2BF891C0AB704CDAB9BC6E80D556473F"/>
            </w:placeholder>
            <w:showingPlcHdr/>
            <w:text/>
          </w:sdtPr>
          <w:sdtContent>
            <w:tc>
              <w:tcPr>
                <w:tcW w:w="4077" w:type="dxa"/>
                <w:vAlign w:val="center"/>
              </w:tcPr>
              <w:p w14:paraId="5F7E1E67"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5F7E1E68" w14:textId="77777777" w:rsidR="007F1005" w:rsidRPr="004C23F4" w:rsidRDefault="007F1005" w:rsidP="00EB3D1B">
            <w:pPr>
              <w:pStyle w:val="Tablefont"/>
              <w:keepLines/>
            </w:pPr>
          </w:p>
        </w:tc>
      </w:tr>
    </w:tbl>
    <w:bookmarkEnd w:id="4"/>
    <w:p w14:paraId="5F7E1E6A" w14:textId="77777777" w:rsidR="00F87D92" w:rsidRDefault="00F87D92" w:rsidP="00EF7F78">
      <w:pPr>
        <w:pStyle w:val="Heading2"/>
        <w:tabs>
          <w:tab w:val="right" w:pos="8505"/>
        </w:tabs>
      </w:pPr>
      <w:r>
        <w:t>References</w:t>
      </w:r>
      <w:r w:rsidR="00EF7F78">
        <w:tab/>
      </w:r>
    </w:p>
    <w:p w14:paraId="5F7E1E6B" w14:textId="08795BF4"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2C94F0F" w14:textId="4A2E639F" w:rsidR="00560254" w:rsidRDefault="00E43F52" w:rsidP="00084859">
      <w:r w:rsidRPr="002022B6">
        <w:t xml:space="preserve">Deutsche </w:t>
      </w:r>
      <w:proofErr w:type="spellStart"/>
      <w:r w:rsidRPr="002022B6">
        <w:t>Forschungsgemeinschaft</w:t>
      </w:r>
      <w:proofErr w:type="spellEnd"/>
      <w:r w:rsidRPr="002022B6">
        <w:t xml:space="preserve"> (DFG)</w:t>
      </w:r>
      <w:r>
        <w:t xml:space="preserve"> (1992) </w:t>
      </w:r>
      <w:r w:rsidR="00C91B7E" w:rsidRPr="00C91B7E">
        <w:t xml:space="preserve">α-Chlorinated </w:t>
      </w:r>
      <w:proofErr w:type="spellStart"/>
      <w:r w:rsidR="00C91B7E" w:rsidRPr="00C91B7E">
        <w:t>Toluenes</w:t>
      </w:r>
      <w:proofErr w:type="spellEnd"/>
      <w:r>
        <w:t xml:space="preserve"> – MAK value documentation.</w:t>
      </w:r>
    </w:p>
    <w:p w14:paraId="7E455971" w14:textId="265513CF" w:rsidR="00C91B7E" w:rsidRPr="00680A92" w:rsidRDefault="00D93E3A" w:rsidP="00C91B7E">
      <w:r w:rsidRPr="00D93E3A">
        <w:t>National Industrial Chemicals Notification and Assessment Scheme (NICNAS) (201</w:t>
      </w:r>
      <w:r>
        <w:t>3</w:t>
      </w:r>
      <w:r w:rsidRPr="00D93E3A">
        <w:t xml:space="preserve">) </w:t>
      </w:r>
      <w:r>
        <w:t xml:space="preserve">Benzene, </w:t>
      </w:r>
      <w:r w:rsidRPr="00680A92">
        <w:t>(chloromethyl)-: Human health tier II assessment – IMAP report.</w:t>
      </w:r>
    </w:p>
    <w:p w14:paraId="70B0B35C" w14:textId="154C2CF6" w:rsidR="00C91B7E" w:rsidRDefault="00CA4EB4" w:rsidP="00084859">
      <w:r w:rsidRPr="00680A92">
        <w:t>International Agency for Research on Cancer (IARC) (</w:t>
      </w:r>
      <w:r w:rsidR="0059216C" w:rsidRPr="00680A92">
        <w:t>1999</w:t>
      </w:r>
      <w:r w:rsidRPr="00680A92">
        <w:t xml:space="preserve">) </w:t>
      </w:r>
      <w:r w:rsidR="00680A92" w:rsidRPr="00680A92">
        <w:t xml:space="preserve">alpha-chlorinated </w:t>
      </w:r>
      <w:proofErr w:type="spellStart"/>
      <w:r w:rsidR="00680A92" w:rsidRPr="00680A92">
        <w:t>toluenes</w:t>
      </w:r>
      <w:proofErr w:type="spellEnd"/>
      <w:r w:rsidR="00680A92" w:rsidRPr="00680A92">
        <w:t xml:space="preserve"> and benzoyl chloride</w:t>
      </w:r>
      <w:r w:rsidRPr="00680A92">
        <w:rPr>
          <w:shd w:val="clear" w:color="auto" w:fill="FFFFFF" w:themeFill="background1"/>
        </w:rPr>
        <w:t>. IARC Monographs on the evaluation of the carcinogenic risk to humans</w:t>
      </w:r>
      <w:r w:rsidR="008815BE" w:rsidRPr="00680A92">
        <w:rPr>
          <w:shd w:val="clear" w:color="auto" w:fill="FFFFFF" w:themeFill="background1"/>
        </w:rPr>
        <w:t xml:space="preserve"> volume</w:t>
      </w:r>
      <w:r w:rsidR="008815BE" w:rsidRPr="00680A92">
        <w:t xml:space="preserve"> </w:t>
      </w:r>
      <w:r w:rsidR="00EA5366" w:rsidRPr="00680A92">
        <w:t>71</w:t>
      </w:r>
      <w:r w:rsidR="008815BE" w:rsidRPr="00680A92">
        <w:t>.</w:t>
      </w:r>
    </w:p>
    <w:p w14:paraId="16280274" w14:textId="0DC06A69" w:rsidR="00680A92" w:rsidRDefault="00680A92" w:rsidP="00084859">
      <w:r>
        <w:rPr>
          <w:color w:val="000000"/>
        </w:rPr>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529E3DA6" w14:textId="719D5707" w:rsidR="00EA5366" w:rsidRDefault="00CD4600" w:rsidP="00084859">
      <w:r w:rsidRPr="007E4F95">
        <w:t>US Environmental Protection Agency (US EPA) (</w:t>
      </w:r>
      <w:r>
        <w:t>1989</w:t>
      </w:r>
      <w:r w:rsidRPr="007E4F95">
        <w:t xml:space="preserve">) </w:t>
      </w:r>
      <w:r>
        <w:t>IRIS chemical assessment summary – Benzyl chloride; CASRN 100-44-7</w:t>
      </w:r>
      <w:r w:rsidR="008474FE">
        <w:t>.</w:t>
      </w:r>
    </w:p>
    <w:p w14:paraId="76E35A6C" w14:textId="78305798" w:rsidR="00C91B7E" w:rsidRPr="00351FE0" w:rsidRDefault="008474FE">
      <w:r w:rsidRPr="00A3629A">
        <w:t>US National Institute for Occupational Safety and Health (NIOSH) (1994) Immediately dangerous to life or health concentrations –</w:t>
      </w:r>
      <w:r w:rsidRPr="008474FE">
        <w:t xml:space="preserve"> </w:t>
      </w:r>
      <w:r w:rsidRPr="00A70F62">
        <w:t>Benzyl chloride</w:t>
      </w:r>
      <w:r>
        <w:t>.</w:t>
      </w:r>
    </w:p>
    <w:sectPr w:rsidR="00C91B7E" w:rsidRPr="00351FE0"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DF314" w14:textId="77777777" w:rsidR="00A43C27" w:rsidRDefault="00A43C27" w:rsidP="00F43AD5">
      <w:pPr>
        <w:spacing w:after="0" w:line="240" w:lineRule="auto"/>
      </w:pPr>
      <w:r>
        <w:separator/>
      </w:r>
    </w:p>
  </w:endnote>
  <w:endnote w:type="continuationSeparator" w:id="0">
    <w:p w14:paraId="49E863AC" w14:textId="77777777" w:rsidR="00A43C27" w:rsidRDefault="00A43C27"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6F64A" w14:textId="77777777" w:rsidR="00E316C5" w:rsidRDefault="00E316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5F7E1E71" w14:textId="17C6CA8E" w:rsidR="008A36CF" w:rsidRDefault="00140445" w:rsidP="0034744C">
        <w:pPr>
          <w:pStyle w:val="Footer"/>
          <w:rPr>
            <w:sz w:val="18"/>
            <w:szCs w:val="18"/>
          </w:rPr>
        </w:pPr>
        <w:r>
          <w:rPr>
            <w:b/>
            <w:sz w:val="18"/>
            <w:szCs w:val="18"/>
          </w:rPr>
          <w:t>Benzyl chloride</w:t>
        </w:r>
        <w:r w:rsidR="008A36CF">
          <w:rPr>
            <w:b/>
            <w:sz w:val="18"/>
            <w:szCs w:val="18"/>
          </w:rPr>
          <w:t xml:space="preserve"> (</w:t>
        </w:r>
        <w:r>
          <w:rPr>
            <w:b/>
            <w:sz w:val="18"/>
            <w:szCs w:val="18"/>
          </w:rPr>
          <w:t>100-44-7</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5F7E1E72" w14:textId="10B2FED9"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E316C5">
          <w:rPr>
            <w:noProof/>
            <w:sz w:val="18"/>
            <w:szCs w:val="18"/>
          </w:rPr>
          <w:t>2</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BC257" w14:textId="77777777" w:rsidR="00E316C5" w:rsidRDefault="00E31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44EDA" w14:textId="77777777" w:rsidR="00A43C27" w:rsidRDefault="00A43C27" w:rsidP="00F43AD5">
      <w:pPr>
        <w:spacing w:after="0" w:line="240" w:lineRule="auto"/>
      </w:pPr>
      <w:r>
        <w:separator/>
      </w:r>
    </w:p>
  </w:footnote>
  <w:footnote w:type="continuationSeparator" w:id="0">
    <w:p w14:paraId="153BE69F" w14:textId="77777777" w:rsidR="00A43C27" w:rsidRDefault="00A43C27"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4A44" w14:textId="77777777" w:rsidR="00E316C5" w:rsidRDefault="00E316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E1E70" w14:textId="66948C1E" w:rsidR="008A36CF" w:rsidRDefault="00E316C5" w:rsidP="00E316C5">
    <w:pPr>
      <w:pStyle w:val="Header"/>
      <w:jc w:val="right"/>
    </w:pPr>
    <w:r>
      <w:rPr>
        <w:noProof/>
        <w:lang w:eastAsia="en-AU"/>
      </w:rPr>
      <w:t xml:space="preserve"> </w:t>
    </w:r>
    <w:r w:rsidR="008A36CF">
      <w:rPr>
        <w:noProof/>
        <w:lang w:eastAsia="en-AU"/>
      </w:rPr>
      <w:drawing>
        <wp:inline distT="0" distB="0" distL="0" distR="0" wp14:anchorId="5F7E1E74" wp14:editId="5F7E1E75">
          <wp:extent cx="2938272" cy="594360"/>
          <wp:effectExtent l="0" t="0" r="0" b="0"/>
          <wp:docPr id="1" name="Picture 1"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E107A" w14:textId="77777777" w:rsidR="00E316C5" w:rsidRDefault="00E316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E1E73" w14:textId="0429A3AF"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706CE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BF6332"/>
    <w:multiLevelType w:val="hybridMultilevel"/>
    <w:tmpl w:val="87FC37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9836ED8"/>
    <w:multiLevelType w:val="hybridMultilevel"/>
    <w:tmpl w:val="34E6B9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17082A"/>
    <w:multiLevelType w:val="hybridMultilevel"/>
    <w:tmpl w:val="A70CE2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57B7E45"/>
    <w:multiLevelType w:val="hybridMultilevel"/>
    <w:tmpl w:val="BF5847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AC727B1"/>
    <w:multiLevelType w:val="hybridMultilevel"/>
    <w:tmpl w:val="F2600C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6380CDC"/>
    <w:multiLevelType w:val="hybridMultilevel"/>
    <w:tmpl w:val="F5881E76"/>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46E339EF"/>
    <w:multiLevelType w:val="hybridMultilevel"/>
    <w:tmpl w:val="99B06B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98532D0"/>
    <w:multiLevelType w:val="hybridMultilevel"/>
    <w:tmpl w:val="1526D830"/>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679A5AE3"/>
    <w:multiLevelType w:val="hybridMultilevel"/>
    <w:tmpl w:val="FC588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7CD45EE"/>
    <w:multiLevelType w:val="hybridMultilevel"/>
    <w:tmpl w:val="FA4007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98D76EF"/>
    <w:multiLevelType w:val="hybridMultilevel"/>
    <w:tmpl w:val="0D5E1E6C"/>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333266650">
    <w:abstractNumId w:val="7"/>
  </w:num>
  <w:num w:numId="2" w16cid:durableId="2003317421">
    <w:abstractNumId w:val="3"/>
  </w:num>
  <w:num w:numId="3" w16cid:durableId="153768024">
    <w:abstractNumId w:val="10"/>
  </w:num>
  <w:num w:numId="4" w16cid:durableId="819536788">
    <w:abstractNumId w:val="2"/>
  </w:num>
  <w:num w:numId="5" w16cid:durableId="981033273">
    <w:abstractNumId w:val="5"/>
  </w:num>
  <w:num w:numId="6" w16cid:durableId="616454305">
    <w:abstractNumId w:val="4"/>
  </w:num>
  <w:num w:numId="7" w16cid:durableId="1778717444">
    <w:abstractNumId w:val="1"/>
  </w:num>
  <w:num w:numId="8" w16cid:durableId="1214777780">
    <w:abstractNumId w:val="9"/>
  </w:num>
  <w:num w:numId="9" w16cid:durableId="1760902324">
    <w:abstractNumId w:val="0"/>
  </w:num>
  <w:num w:numId="10" w16cid:durableId="1703508661">
    <w:abstractNumId w:val="8"/>
  </w:num>
  <w:num w:numId="11" w16cid:durableId="1392653217">
    <w:abstractNumId w:val="6"/>
  </w:num>
  <w:num w:numId="12" w16cid:durableId="1037894439">
    <w:abstractNumId w:val="0"/>
  </w:num>
  <w:num w:numId="13" w16cid:durableId="1763600521">
    <w:abstractNumId w:val="0"/>
  </w:num>
  <w:num w:numId="14" w16cid:durableId="1431506546">
    <w:abstractNumId w:val="0"/>
  </w:num>
  <w:num w:numId="15" w16cid:durableId="1232892247">
    <w:abstractNumId w:val="0"/>
  </w:num>
  <w:num w:numId="16" w16cid:durableId="1327707412">
    <w:abstractNumId w:val="0"/>
  </w:num>
  <w:num w:numId="17" w16cid:durableId="1250388052">
    <w:abstractNumId w:val="0"/>
  </w:num>
  <w:num w:numId="18" w16cid:durableId="314376712">
    <w:abstractNumId w:val="0"/>
  </w:num>
  <w:num w:numId="19" w16cid:durableId="1415905569">
    <w:abstractNumId w:val="0"/>
  </w:num>
  <w:num w:numId="20" w16cid:durableId="718943828">
    <w:abstractNumId w:val="0"/>
  </w:num>
  <w:num w:numId="21" w16cid:durableId="1785269080">
    <w:abstractNumId w:val="0"/>
  </w:num>
  <w:num w:numId="22" w16cid:durableId="1993169032">
    <w:abstractNumId w:val="0"/>
  </w:num>
  <w:num w:numId="23" w16cid:durableId="2121945629">
    <w:abstractNumId w:val="0"/>
  </w:num>
  <w:num w:numId="24" w16cid:durableId="1600793152">
    <w:abstractNumId w:val="0"/>
  </w:num>
  <w:num w:numId="25" w16cid:durableId="631130982">
    <w:abstractNumId w:val="0"/>
  </w:num>
  <w:num w:numId="26" w16cid:durableId="761532550">
    <w:abstractNumId w:val="0"/>
  </w:num>
  <w:num w:numId="27" w16cid:durableId="1146628576">
    <w:abstractNumId w:val="0"/>
  </w:num>
  <w:num w:numId="28" w16cid:durableId="706294503">
    <w:abstractNumId w:val="0"/>
  </w:num>
  <w:num w:numId="29" w16cid:durableId="597982831">
    <w:abstractNumId w:val="0"/>
  </w:num>
  <w:num w:numId="30" w16cid:durableId="1122113151">
    <w:abstractNumId w:val="0"/>
  </w:num>
  <w:num w:numId="31" w16cid:durableId="1084063580">
    <w:abstractNumId w:val="0"/>
  </w:num>
  <w:num w:numId="32" w16cid:durableId="90052619">
    <w:abstractNumId w:val="0"/>
  </w:num>
  <w:num w:numId="33" w16cid:durableId="1718895739">
    <w:abstractNumId w:val="0"/>
  </w:num>
  <w:num w:numId="34" w16cid:durableId="56511889">
    <w:abstractNumId w:val="0"/>
  </w:num>
  <w:num w:numId="35" w16cid:durableId="1217545751">
    <w:abstractNumId w:val="0"/>
  </w:num>
  <w:num w:numId="36" w16cid:durableId="2022967157">
    <w:abstractNumId w:val="0"/>
  </w:num>
  <w:num w:numId="37" w16cid:durableId="2134444688">
    <w:abstractNumId w:val="0"/>
  </w:num>
  <w:num w:numId="38" w16cid:durableId="407768741">
    <w:abstractNumId w:val="0"/>
  </w:num>
  <w:num w:numId="39" w16cid:durableId="253589117">
    <w:abstractNumId w:val="0"/>
  </w:num>
  <w:num w:numId="40" w16cid:durableId="1515996632">
    <w:abstractNumId w:val="0"/>
  </w:num>
  <w:num w:numId="41" w16cid:durableId="748625219">
    <w:abstractNumId w:val="0"/>
  </w:num>
  <w:num w:numId="42" w16cid:durableId="1606108261">
    <w:abstractNumId w:val="0"/>
  </w:num>
  <w:num w:numId="43" w16cid:durableId="1337003278">
    <w:abstractNumId w:val="11"/>
  </w:num>
  <w:num w:numId="44" w16cid:durableId="876818884">
    <w:abstractNumId w:val="0"/>
  </w:num>
  <w:num w:numId="45" w16cid:durableId="1016689044">
    <w:abstractNumId w:val="0"/>
  </w:num>
  <w:num w:numId="46" w16cid:durableId="956180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01D7"/>
    <w:rsid w:val="00006742"/>
    <w:rsid w:val="00006B3D"/>
    <w:rsid w:val="00007B80"/>
    <w:rsid w:val="00013A22"/>
    <w:rsid w:val="00014C3F"/>
    <w:rsid w:val="00017C82"/>
    <w:rsid w:val="000209DC"/>
    <w:rsid w:val="00026075"/>
    <w:rsid w:val="00026C8F"/>
    <w:rsid w:val="00027416"/>
    <w:rsid w:val="00027583"/>
    <w:rsid w:val="00032B88"/>
    <w:rsid w:val="000358E1"/>
    <w:rsid w:val="0003721B"/>
    <w:rsid w:val="000414AD"/>
    <w:rsid w:val="00046DF5"/>
    <w:rsid w:val="000476A1"/>
    <w:rsid w:val="00052060"/>
    <w:rsid w:val="000532CD"/>
    <w:rsid w:val="0005574A"/>
    <w:rsid w:val="00055FE1"/>
    <w:rsid w:val="00056EC2"/>
    <w:rsid w:val="00057391"/>
    <w:rsid w:val="00057B7B"/>
    <w:rsid w:val="00060B48"/>
    <w:rsid w:val="0006457C"/>
    <w:rsid w:val="00067F32"/>
    <w:rsid w:val="00071807"/>
    <w:rsid w:val="000803E1"/>
    <w:rsid w:val="00080FD5"/>
    <w:rsid w:val="00081456"/>
    <w:rsid w:val="00084513"/>
    <w:rsid w:val="00084859"/>
    <w:rsid w:val="0009287D"/>
    <w:rsid w:val="00092D94"/>
    <w:rsid w:val="00095272"/>
    <w:rsid w:val="000A2CDE"/>
    <w:rsid w:val="000B021C"/>
    <w:rsid w:val="000B0868"/>
    <w:rsid w:val="000B3E12"/>
    <w:rsid w:val="000B3E78"/>
    <w:rsid w:val="000B7B48"/>
    <w:rsid w:val="000C096D"/>
    <w:rsid w:val="000C139A"/>
    <w:rsid w:val="000C1676"/>
    <w:rsid w:val="000C2053"/>
    <w:rsid w:val="000C248C"/>
    <w:rsid w:val="000D291C"/>
    <w:rsid w:val="000D2D8A"/>
    <w:rsid w:val="000E5A54"/>
    <w:rsid w:val="000E63D3"/>
    <w:rsid w:val="000E67CF"/>
    <w:rsid w:val="000E6E4A"/>
    <w:rsid w:val="0010175B"/>
    <w:rsid w:val="0010461E"/>
    <w:rsid w:val="00106FAA"/>
    <w:rsid w:val="00113443"/>
    <w:rsid w:val="00115ED6"/>
    <w:rsid w:val="00125ADA"/>
    <w:rsid w:val="00125F61"/>
    <w:rsid w:val="001269A7"/>
    <w:rsid w:val="00131092"/>
    <w:rsid w:val="00140445"/>
    <w:rsid w:val="00140E6A"/>
    <w:rsid w:val="0014211F"/>
    <w:rsid w:val="00146545"/>
    <w:rsid w:val="00146754"/>
    <w:rsid w:val="00146B75"/>
    <w:rsid w:val="0015227A"/>
    <w:rsid w:val="0015266D"/>
    <w:rsid w:val="0015288A"/>
    <w:rsid w:val="00153943"/>
    <w:rsid w:val="00155F13"/>
    <w:rsid w:val="0015741B"/>
    <w:rsid w:val="00160F47"/>
    <w:rsid w:val="001612FD"/>
    <w:rsid w:val="0017371F"/>
    <w:rsid w:val="001757D6"/>
    <w:rsid w:val="001776C5"/>
    <w:rsid w:val="00177CA1"/>
    <w:rsid w:val="00182DE3"/>
    <w:rsid w:val="00183823"/>
    <w:rsid w:val="00183942"/>
    <w:rsid w:val="00183A64"/>
    <w:rsid w:val="00186CFF"/>
    <w:rsid w:val="001A009E"/>
    <w:rsid w:val="001A1287"/>
    <w:rsid w:val="001A3859"/>
    <w:rsid w:val="001A3C9D"/>
    <w:rsid w:val="001A43F8"/>
    <w:rsid w:val="001A6C43"/>
    <w:rsid w:val="001B275D"/>
    <w:rsid w:val="001B3768"/>
    <w:rsid w:val="001B79E5"/>
    <w:rsid w:val="001C24CC"/>
    <w:rsid w:val="001C4ED1"/>
    <w:rsid w:val="001C5DB8"/>
    <w:rsid w:val="001D56F0"/>
    <w:rsid w:val="001D6439"/>
    <w:rsid w:val="001D663B"/>
    <w:rsid w:val="001D7B41"/>
    <w:rsid w:val="001E46DA"/>
    <w:rsid w:val="001E7D80"/>
    <w:rsid w:val="001F4B6C"/>
    <w:rsid w:val="001F62CB"/>
    <w:rsid w:val="001F6ED0"/>
    <w:rsid w:val="001F72E6"/>
    <w:rsid w:val="001F73C5"/>
    <w:rsid w:val="002046A6"/>
    <w:rsid w:val="00204956"/>
    <w:rsid w:val="00207C1A"/>
    <w:rsid w:val="00213640"/>
    <w:rsid w:val="00217C25"/>
    <w:rsid w:val="00221547"/>
    <w:rsid w:val="002216FC"/>
    <w:rsid w:val="002218AC"/>
    <w:rsid w:val="00222533"/>
    <w:rsid w:val="00222F30"/>
    <w:rsid w:val="00224EE2"/>
    <w:rsid w:val="00226116"/>
    <w:rsid w:val="0022792B"/>
    <w:rsid w:val="00227C72"/>
    <w:rsid w:val="00227EC7"/>
    <w:rsid w:val="00234522"/>
    <w:rsid w:val="002368A4"/>
    <w:rsid w:val="00244AD1"/>
    <w:rsid w:val="0024547A"/>
    <w:rsid w:val="002463BC"/>
    <w:rsid w:val="002465CE"/>
    <w:rsid w:val="00251E23"/>
    <w:rsid w:val="0025734A"/>
    <w:rsid w:val="00260A0B"/>
    <w:rsid w:val="00261401"/>
    <w:rsid w:val="00263255"/>
    <w:rsid w:val="00271E13"/>
    <w:rsid w:val="00276494"/>
    <w:rsid w:val="00277B0C"/>
    <w:rsid w:val="00283DD1"/>
    <w:rsid w:val="00285E50"/>
    <w:rsid w:val="00294191"/>
    <w:rsid w:val="002951A4"/>
    <w:rsid w:val="002A0641"/>
    <w:rsid w:val="002B02F2"/>
    <w:rsid w:val="002B0FBC"/>
    <w:rsid w:val="002B15E0"/>
    <w:rsid w:val="002B1A2C"/>
    <w:rsid w:val="002C0BC7"/>
    <w:rsid w:val="002C1401"/>
    <w:rsid w:val="002C2C57"/>
    <w:rsid w:val="002C34F2"/>
    <w:rsid w:val="002C58FF"/>
    <w:rsid w:val="002C7AFE"/>
    <w:rsid w:val="002D05D2"/>
    <w:rsid w:val="002D39C2"/>
    <w:rsid w:val="002D6CFF"/>
    <w:rsid w:val="002D70F6"/>
    <w:rsid w:val="002D7D08"/>
    <w:rsid w:val="002D7FB4"/>
    <w:rsid w:val="002E0D61"/>
    <w:rsid w:val="002E4C7B"/>
    <w:rsid w:val="002F3A61"/>
    <w:rsid w:val="0030740C"/>
    <w:rsid w:val="00315833"/>
    <w:rsid w:val="003215EE"/>
    <w:rsid w:val="003224BF"/>
    <w:rsid w:val="003241A8"/>
    <w:rsid w:val="003253F0"/>
    <w:rsid w:val="0032551D"/>
    <w:rsid w:val="00327662"/>
    <w:rsid w:val="00330468"/>
    <w:rsid w:val="003314FB"/>
    <w:rsid w:val="003337DA"/>
    <w:rsid w:val="00334EFB"/>
    <w:rsid w:val="00335CDE"/>
    <w:rsid w:val="0033642F"/>
    <w:rsid w:val="003365A5"/>
    <w:rsid w:val="003404E4"/>
    <w:rsid w:val="00347192"/>
    <w:rsid w:val="0034744C"/>
    <w:rsid w:val="00350E3D"/>
    <w:rsid w:val="00351C06"/>
    <w:rsid w:val="00351F16"/>
    <w:rsid w:val="00351FE0"/>
    <w:rsid w:val="00352615"/>
    <w:rsid w:val="0035412B"/>
    <w:rsid w:val="003567A8"/>
    <w:rsid w:val="00356DFC"/>
    <w:rsid w:val="00362895"/>
    <w:rsid w:val="003635D4"/>
    <w:rsid w:val="00363EE2"/>
    <w:rsid w:val="00363F49"/>
    <w:rsid w:val="003643A9"/>
    <w:rsid w:val="003644E5"/>
    <w:rsid w:val="00365C3B"/>
    <w:rsid w:val="00370DBF"/>
    <w:rsid w:val="00372E13"/>
    <w:rsid w:val="003839C3"/>
    <w:rsid w:val="00385915"/>
    <w:rsid w:val="00386093"/>
    <w:rsid w:val="003904A4"/>
    <w:rsid w:val="00391841"/>
    <w:rsid w:val="00391B6D"/>
    <w:rsid w:val="00394922"/>
    <w:rsid w:val="00397633"/>
    <w:rsid w:val="00397B94"/>
    <w:rsid w:val="003A0BA2"/>
    <w:rsid w:val="003A0E32"/>
    <w:rsid w:val="003A2B94"/>
    <w:rsid w:val="003A3830"/>
    <w:rsid w:val="003A5CF8"/>
    <w:rsid w:val="003B387D"/>
    <w:rsid w:val="003C0D58"/>
    <w:rsid w:val="003C3ED4"/>
    <w:rsid w:val="003C765D"/>
    <w:rsid w:val="003C77C2"/>
    <w:rsid w:val="003D1D1B"/>
    <w:rsid w:val="003D315A"/>
    <w:rsid w:val="003D4FA3"/>
    <w:rsid w:val="003E0807"/>
    <w:rsid w:val="003E0B5D"/>
    <w:rsid w:val="003E51FB"/>
    <w:rsid w:val="003E6B39"/>
    <w:rsid w:val="003F07E1"/>
    <w:rsid w:val="003F3E0C"/>
    <w:rsid w:val="003F6BF2"/>
    <w:rsid w:val="004030BC"/>
    <w:rsid w:val="00403F7D"/>
    <w:rsid w:val="00406785"/>
    <w:rsid w:val="004079B4"/>
    <w:rsid w:val="004114AC"/>
    <w:rsid w:val="00414DA6"/>
    <w:rsid w:val="00417A56"/>
    <w:rsid w:val="004202A8"/>
    <w:rsid w:val="00420957"/>
    <w:rsid w:val="00422A10"/>
    <w:rsid w:val="0042384A"/>
    <w:rsid w:val="004260BD"/>
    <w:rsid w:val="00430179"/>
    <w:rsid w:val="004310DE"/>
    <w:rsid w:val="00436315"/>
    <w:rsid w:val="004414B5"/>
    <w:rsid w:val="00441780"/>
    <w:rsid w:val="00444482"/>
    <w:rsid w:val="00444B42"/>
    <w:rsid w:val="00445E44"/>
    <w:rsid w:val="00447E1A"/>
    <w:rsid w:val="004509E2"/>
    <w:rsid w:val="004515EE"/>
    <w:rsid w:val="004529F0"/>
    <w:rsid w:val="00457518"/>
    <w:rsid w:val="00460A03"/>
    <w:rsid w:val="00462E02"/>
    <w:rsid w:val="004651DC"/>
    <w:rsid w:val="0046643D"/>
    <w:rsid w:val="00472A11"/>
    <w:rsid w:val="00472AAD"/>
    <w:rsid w:val="00472BB8"/>
    <w:rsid w:val="00474E33"/>
    <w:rsid w:val="00476803"/>
    <w:rsid w:val="00484493"/>
    <w:rsid w:val="00485BFD"/>
    <w:rsid w:val="004867A2"/>
    <w:rsid w:val="00486A4A"/>
    <w:rsid w:val="004873F2"/>
    <w:rsid w:val="0048792D"/>
    <w:rsid w:val="00490D4C"/>
    <w:rsid w:val="00493A35"/>
    <w:rsid w:val="0049527A"/>
    <w:rsid w:val="00495D26"/>
    <w:rsid w:val="004966BF"/>
    <w:rsid w:val="00497984"/>
    <w:rsid w:val="004A2690"/>
    <w:rsid w:val="004A5088"/>
    <w:rsid w:val="004B0304"/>
    <w:rsid w:val="004B2247"/>
    <w:rsid w:val="004C1E3F"/>
    <w:rsid w:val="004C23F4"/>
    <w:rsid w:val="004C293F"/>
    <w:rsid w:val="004C3475"/>
    <w:rsid w:val="004C3EC9"/>
    <w:rsid w:val="004C58B6"/>
    <w:rsid w:val="004C5B7D"/>
    <w:rsid w:val="004C6158"/>
    <w:rsid w:val="004D1278"/>
    <w:rsid w:val="004D16A3"/>
    <w:rsid w:val="004D2D4F"/>
    <w:rsid w:val="004D4AA1"/>
    <w:rsid w:val="004D6D68"/>
    <w:rsid w:val="004E09D8"/>
    <w:rsid w:val="004E2DB6"/>
    <w:rsid w:val="004E5EDD"/>
    <w:rsid w:val="004F01FA"/>
    <w:rsid w:val="004F448A"/>
    <w:rsid w:val="004F493D"/>
    <w:rsid w:val="004F65E8"/>
    <w:rsid w:val="0050005E"/>
    <w:rsid w:val="00502B88"/>
    <w:rsid w:val="005142C4"/>
    <w:rsid w:val="00514567"/>
    <w:rsid w:val="0051509C"/>
    <w:rsid w:val="00522AE2"/>
    <w:rsid w:val="005272E2"/>
    <w:rsid w:val="0053108F"/>
    <w:rsid w:val="00532B56"/>
    <w:rsid w:val="00534568"/>
    <w:rsid w:val="00534B10"/>
    <w:rsid w:val="00537EAF"/>
    <w:rsid w:val="005446A2"/>
    <w:rsid w:val="00544D2F"/>
    <w:rsid w:val="00551BD8"/>
    <w:rsid w:val="00553F08"/>
    <w:rsid w:val="00560254"/>
    <w:rsid w:val="005749C4"/>
    <w:rsid w:val="005749ED"/>
    <w:rsid w:val="00581055"/>
    <w:rsid w:val="00581338"/>
    <w:rsid w:val="00581756"/>
    <w:rsid w:val="005820BA"/>
    <w:rsid w:val="005839AB"/>
    <w:rsid w:val="00587EEA"/>
    <w:rsid w:val="00591E38"/>
    <w:rsid w:val="0059216C"/>
    <w:rsid w:val="00592C10"/>
    <w:rsid w:val="00594391"/>
    <w:rsid w:val="005A0835"/>
    <w:rsid w:val="005A19C5"/>
    <w:rsid w:val="005A3034"/>
    <w:rsid w:val="005A462D"/>
    <w:rsid w:val="005B253B"/>
    <w:rsid w:val="005B771D"/>
    <w:rsid w:val="005C5633"/>
    <w:rsid w:val="005C5D16"/>
    <w:rsid w:val="005D0107"/>
    <w:rsid w:val="005D3193"/>
    <w:rsid w:val="005D4A6E"/>
    <w:rsid w:val="005D6105"/>
    <w:rsid w:val="005D6A42"/>
    <w:rsid w:val="005D7D37"/>
    <w:rsid w:val="005E37D8"/>
    <w:rsid w:val="005E4A4C"/>
    <w:rsid w:val="005E6979"/>
    <w:rsid w:val="005E75CB"/>
    <w:rsid w:val="00600F1A"/>
    <w:rsid w:val="006013C1"/>
    <w:rsid w:val="0060669E"/>
    <w:rsid w:val="00610F2E"/>
    <w:rsid w:val="00610F8E"/>
    <w:rsid w:val="00611399"/>
    <w:rsid w:val="006200EA"/>
    <w:rsid w:val="00624C4E"/>
    <w:rsid w:val="00625200"/>
    <w:rsid w:val="00630CC6"/>
    <w:rsid w:val="00634E54"/>
    <w:rsid w:val="006363A8"/>
    <w:rsid w:val="00636DB7"/>
    <w:rsid w:val="006412AE"/>
    <w:rsid w:val="006444CF"/>
    <w:rsid w:val="00650905"/>
    <w:rsid w:val="00652B4E"/>
    <w:rsid w:val="006532ED"/>
    <w:rsid w:val="006549F2"/>
    <w:rsid w:val="006567B7"/>
    <w:rsid w:val="0065714A"/>
    <w:rsid w:val="00657BFB"/>
    <w:rsid w:val="0066333C"/>
    <w:rsid w:val="006639B4"/>
    <w:rsid w:val="006650FE"/>
    <w:rsid w:val="0067305D"/>
    <w:rsid w:val="006750C9"/>
    <w:rsid w:val="00677D9B"/>
    <w:rsid w:val="00680A92"/>
    <w:rsid w:val="006867F3"/>
    <w:rsid w:val="00687890"/>
    <w:rsid w:val="006901A2"/>
    <w:rsid w:val="006901E2"/>
    <w:rsid w:val="00690368"/>
    <w:rsid w:val="0069079C"/>
    <w:rsid w:val="00690B53"/>
    <w:rsid w:val="00690E53"/>
    <w:rsid w:val="006946E5"/>
    <w:rsid w:val="00695B72"/>
    <w:rsid w:val="00695DA8"/>
    <w:rsid w:val="006A1642"/>
    <w:rsid w:val="006B10B5"/>
    <w:rsid w:val="006B160A"/>
    <w:rsid w:val="006B4E6C"/>
    <w:rsid w:val="006B4EB9"/>
    <w:rsid w:val="006B50B6"/>
    <w:rsid w:val="006D2431"/>
    <w:rsid w:val="006D5232"/>
    <w:rsid w:val="006D79EA"/>
    <w:rsid w:val="006E5D05"/>
    <w:rsid w:val="006F734E"/>
    <w:rsid w:val="00701053"/>
    <w:rsid w:val="00701507"/>
    <w:rsid w:val="0070228C"/>
    <w:rsid w:val="00702AAA"/>
    <w:rsid w:val="00705279"/>
    <w:rsid w:val="007052DE"/>
    <w:rsid w:val="00705CA1"/>
    <w:rsid w:val="007115F7"/>
    <w:rsid w:val="007129FC"/>
    <w:rsid w:val="00714021"/>
    <w:rsid w:val="00716A0F"/>
    <w:rsid w:val="00717206"/>
    <w:rsid w:val="00717D45"/>
    <w:rsid w:val="007208F7"/>
    <w:rsid w:val="007218AF"/>
    <w:rsid w:val="007231B2"/>
    <w:rsid w:val="00734390"/>
    <w:rsid w:val="007365D1"/>
    <w:rsid w:val="00740E0E"/>
    <w:rsid w:val="00750212"/>
    <w:rsid w:val="00754779"/>
    <w:rsid w:val="0075716D"/>
    <w:rsid w:val="00764E49"/>
    <w:rsid w:val="00765BE9"/>
    <w:rsid w:val="00765F14"/>
    <w:rsid w:val="00766873"/>
    <w:rsid w:val="00767A68"/>
    <w:rsid w:val="00770E31"/>
    <w:rsid w:val="007770F1"/>
    <w:rsid w:val="00783FB1"/>
    <w:rsid w:val="00784255"/>
    <w:rsid w:val="00785CC3"/>
    <w:rsid w:val="00785CDD"/>
    <w:rsid w:val="00791847"/>
    <w:rsid w:val="007925F0"/>
    <w:rsid w:val="007939B3"/>
    <w:rsid w:val="0079509C"/>
    <w:rsid w:val="00795938"/>
    <w:rsid w:val="00796708"/>
    <w:rsid w:val="007A0B95"/>
    <w:rsid w:val="007A79C5"/>
    <w:rsid w:val="007B1B42"/>
    <w:rsid w:val="007B20D8"/>
    <w:rsid w:val="007B2950"/>
    <w:rsid w:val="007B56C3"/>
    <w:rsid w:val="007B7764"/>
    <w:rsid w:val="007C1B98"/>
    <w:rsid w:val="007C30EB"/>
    <w:rsid w:val="007C5F51"/>
    <w:rsid w:val="007D1B42"/>
    <w:rsid w:val="007D7265"/>
    <w:rsid w:val="007E063C"/>
    <w:rsid w:val="007E2A4B"/>
    <w:rsid w:val="007E307D"/>
    <w:rsid w:val="007E5126"/>
    <w:rsid w:val="007E6A4E"/>
    <w:rsid w:val="007E6C94"/>
    <w:rsid w:val="007F1005"/>
    <w:rsid w:val="007F25E0"/>
    <w:rsid w:val="007F459B"/>
    <w:rsid w:val="007F5328"/>
    <w:rsid w:val="00803147"/>
    <w:rsid w:val="008044FA"/>
    <w:rsid w:val="00804F5A"/>
    <w:rsid w:val="00810C6D"/>
    <w:rsid w:val="00810FAD"/>
    <w:rsid w:val="008123DF"/>
    <w:rsid w:val="00812887"/>
    <w:rsid w:val="008130B9"/>
    <w:rsid w:val="0082035C"/>
    <w:rsid w:val="00820FDC"/>
    <w:rsid w:val="00826F21"/>
    <w:rsid w:val="00834CC8"/>
    <w:rsid w:val="00835E00"/>
    <w:rsid w:val="00837113"/>
    <w:rsid w:val="008414E4"/>
    <w:rsid w:val="00843E21"/>
    <w:rsid w:val="0084508E"/>
    <w:rsid w:val="008456FD"/>
    <w:rsid w:val="008474FE"/>
    <w:rsid w:val="00855EF7"/>
    <w:rsid w:val="00857A8A"/>
    <w:rsid w:val="008630EE"/>
    <w:rsid w:val="00864D13"/>
    <w:rsid w:val="00870DDB"/>
    <w:rsid w:val="00871CD5"/>
    <w:rsid w:val="008745A2"/>
    <w:rsid w:val="00874C50"/>
    <w:rsid w:val="008768A8"/>
    <w:rsid w:val="008815BE"/>
    <w:rsid w:val="00886721"/>
    <w:rsid w:val="0088798F"/>
    <w:rsid w:val="00887E4B"/>
    <w:rsid w:val="008903E2"/>
    <w:rsid w:val="00891493"/>
    <w:rsid w:val="008915C8"/>
    <w:rsid w:val="008934C5"/>
    <w:rsid w:val="008A071F"/>
    <w:rsid w:val="008A36CF"/>
    <w:rsid w:val="008A3BC4"/>
    <w:rsid w:val="008B403C"/>
    <w:rsid w:val="008B7983"/>
    <w:rsid w:val="008C2511"/>
    <w:rsid w:val="008C3DBC"/>
    <w:rsid w:val="008C4C91"/>
    <w:rsid w:val="008D026D"/>
    <w:rsid w:val="008D23AB"/>
    <w:rsid w:val="008D4B8B"/>
    <w:rsid w:val="008D5A78"/>
    <w:rsid w:val="008E43E6"/>
    <w:rsid w:val="008E7B64"/>
    <w:rsid w:val="008F5A2F"/>
    <w:rsid w:val="008F5DCD"/>
    <w:rsid w:val="00900951"/>
    <w:rsid w:val="00906547"/>
    <w:rsid w:val="009118A6"/>
    <w:rsid w:val="00914462"/>
    <w:rsid w:val="00916909"/>
    <w:rsid w:val="00916EC0"/>
    <w:rsid w:val="00920467"/>
    <w:rsid w:val="00920635"/>
    <w:rsid w:val="00921DE7"/>
    <w:rsid w:val="00927FEB"/>
    <w:rsid w:val="0093041A"/>
    <w:rsid w:val="00930714"/>
    <w:rsid w:val="00931B03"/>
    <w:rsid w:val="009323B9"/>
    <w:rsid w:val="00932DCE"/>
    <w:rsid w:val="0093327E"/>
    <w:rsid w:val="00934028"/>
    <w:rsid w:val="009350FE"/>
    <w:rsid w:val="0093760E"/>
    <w:rsid w:val="0094281A"/>
    <w:rsid w:val="00946044"/>
    <w:rsid w:val="0094660B"/>
    <w:rsid w:val="00946A33"/>
    <w:rsid w:val="0095260E"/>
    <w:rsid w:val="009569B9"/>
    <w:rsid w:val="009578DD"/>
    <w:rsid w:val="00961124"/>
    <w:rsid w:val="009621B6"/>
    <w:rsid w:val="0096372D"/>
    <w:rsid w:val="00970A1B"/>
    <w:rsid w:val="009732A6"/>
    <w:rsid w:val="00974F2D"/>
    <w:rsid w:val="00977524"/>
    <w:rsid w:val="00977E88"/>
    <w:rsid w:val="009841B9"/>
    <w:rsid w:val="00984920"/>
    <w:rsid w:val="00990AE5"/>
    <w:rsid w:val="0099303A"/>
    <w:rsid w:val="009939C0"/>
    <w:rsid w:val="009971C2"/>
    <w:rsid w:val="009A1254"/>
    <w:rsid w:val="009A1903"/>
    <w:rsid w:val="009A396E"/>
    <w:rsid w:val="009A5FC0"/>
    <w:rsid w:val="009B2FF2"/>
    <w:rsid w:val="009B380C"/>
    <w:rsid w:val="009B4843"/>
    <w:rsid w:val="009B6543"/>
    <w:rsid w:val="009B70A6"/>
    <w:rsid w:val="009C199D"/>
    <w:rsid w:val="009C278F"/>
    <w:rsid w:val="009C2B94"/>
    <w:rsid w:val="009C5874"/>
    <w:rsid w:val="009D3B5A"/>
    <w:rsid w:val="009D4CD7"/>
    <w:rsid w:val="009D6A3A"/>
    <w:rsid w:val="009E0C05"/>
    <w:rsid w:val="009E0D1C"/>
    <w:rsid w:val="009E2214"/>
    <w:rsid w:val="009E31FD"/>
    <w:rsid w:val="009E355A"/>
    <w:rsid w:val="009E63E2"/>
    <w:rsid w:val="009E728E"/>
    <w:rsid w:val="009F05CF"/>
    <w:rsid w:val="009F0F3A"/>
    <w:rsid w:val="00A00289"/>
    <w:rsid w:val="00A01C13"/>
    <w:rsid w:val="00A01D0C"/>
    <w:rsid w:val="00A0385D"/>
    <w:rsid w:val="00A0643F"/>
    <w:rsid w:val="00A067EE"/>
    <w:rsid w:val="00A07F58"/>
    <w:rsid w:val="00A10FCE"/>
    <w:rsid w:val="00A126AC"/>
    <w:rsid w:val="00A14534"/>
    <w:rsid w:val="00A1684B"/>
    <w:rsid w:val="00A16D91"/>
    <w:rsid w:val="00A174CC"/>
    <w:rsid w:val="00A2073D"/>
    <w:rsid w:val="00A20751"/>
    <w:rsid w:val="00A226EF"/>
    <w:rsid w:val="00A250A3"/>
    <w:rsid w:val="00A27BF4"/>
    <w:rsid w:val="00A27E2D"/>
    <w:rsid w:val="00A30ECF"/>
    <w:rsid w:val="00A31D99"/>
    <w:rsid w:val="00A326A1"/>
    <w:rsid w:val="00A357BA"/>
    <w:rsid w:val="00A35ADC"/>
    <w:rsid w:val="00A402A3"/>
    <w:rsid w:val="00A43C27"/>
    <w:rsid w:val="00A44275"/>
    <w:rsid w:val="00A53681"/>
    <w:rsid w:val="00A633D4"/>
    <w:rsid w:val="00A6461A"/>
    <w:rsid w:val="00A70F62"/>
    <w:rsid w:val="00A84504"/>
    <w:rsid w:val="00A8672F"/>
    <w:rsid w:val="00A9077F"/>
    <w:rsid w:val="00A93057"/>
    <w:rsid w:val="00A968B0"/>
    <w:rsid w:val="00A97FA2"/>
    <w:rsid w:val="00AA1731"/>
    <w:rsid w:val="00AB2672"/>
    <w:rsid w:val="00AB2817"/>
    <w:rsid w:val="00AB43C4"/>
    <w:rsid w:val="00AB4BB0"/>
    <w:rsid w:val="00AB7F67"/>
    <w:rsid w:val="00AC32E7"/>
    <w:rsid w:val="00AC3A9F"/>
    <w:rsid w:val="00AC5615"/>
    <w:rsid w:val="00AC6D2F"/>
    <w:rsid w:val="00AE2745"/>
    <w:rsid w:val="00AE2F64"/>
    <w:rsid w:val="00AE41A5"/>
    <w:rsid w:val="00AE5507"/>
    <w:rsid w:val="00AE559B"/>
    <w:rsid w:val="00AF2042"/>
    <w:rsid w:val="00AF42CB"/>
    <w:rsid w:val="00AF483F"/>
    <w:rsid w:val="00AF5E07"/>
    <w:rsid w:val="00AF5F06"/>
    <w:rsid w:val="00B00A25"/>
    <w:rsid w:val="00B02ACC"/>
    <w:rsid w:val="00B05D58"/>
    <w:rsid w:val="00B05EE8"/>
    <w:rsid w:val="00B11C80"/>
    <w:rsid w:val="00B11D7D"/>
    <w:rsid w:val="00B1422A"/>
    <w:rsid w:val="00B1765C"/>
    <w:rsid w:val="00B20873"/>
    <w:rsid w:val="00B213C4"/>
    <w:rsid w:val="00B23CB7"/>
    <w:rsid w:val="00B37D86"/>
    <w:rsid w:val="00B40C60"/>
    <w:rsid w:val="00B41323"/>
    <w:rsid w:val="00B474E8"/>
    <w:rsid w:val="00B479A9"/>
    <w:rsid w:val="00B52301"/>
    <w:rsid w:val="00B52EDF"/>
    <w:rsid w:val="00B53959"/>
    <w:rsid w:val="00B6545D"/>
    <w:rsid w:val="00B65EBA"/>
    <w:rsid w:val="00B6629C"/>
    <w:rsid w:val="00B71188"/>
    <w:rsid w:val="00B74277"/>
    <w:rsid w:val="00B75344"/>
    <w:rsid w:val="00B76A41"/>
    <w:rsid w:val="00B87D4C"/>
    <w:rsid w:val="00B93646"/>
    <w:rsid w:val="00B95239"/>
    <w:rsid w:val="00B967DF"/>
    <w:rsid w:val="00BA0B38"/>
    <w:rsid w:val="00BA1DBB"/>
    <w:rsid w:val="00BA4510"/>
    <w:rsid w:val="00BA529A"/>
    <w:rsid w:val="00BA7644"/>
    <w:rsid w:val="00BB612A"/>
    <w:rsid w:val="00BB6909"/>
    <w:rsid w:val="00BB7DD2"/>
    <w:rsid w:val="00BC0048"/>
    <w:rsid w:val="00BC2D15"/>
    <w:rsid w:val="00BC7E9B"/>
    <w:rsid w:val="00BD499F"/>
    <w:rsid w:val="00BD56DE"/>
    <w:rsid w:val="00BE1709"/>
    <w:rsid w:val="00BE31D8"/>
    <w:rsid w:val="00BE77FC"/>
    <w:rsid w:val="00BE7E4F"/>
    <w:rsid w:val="00BF06C1"/>
    <w:rsid w:val="00BF2406"/>
    <w:rsid w:val="00BF330B"/>
    <w:rsid w:val="00C025C0"/>
    <w:rsid w:val="00C06E43"/>
    <w:rsid w:val="00C16315"/>
    <w:rsid w:val="00C16B2F"/>
    <w:rsid w:val="00C209F9"/>
    <w:rsid w:val="00C20A5F"/>
    <w:rsid w:val="00C22769"/>
    <w:rsid w:val="00C3056A"/>
    <w:rsid w:val="00C3091E"/>
    <w:rsid w:val="00C31A6B"/>
    <w:rsid w:val="00C40FF1"/>
    <w:rsid w:val="00C419E2"/>
    <w:rsid w:val="00C42FB9"/>
    <w:rsid w:val="00C5020E"/>
    <w:rsid w:val="00C57452"/>
    <w:rsid w:val="00C61EDF"/>
    <w:rsid w:val="00C61F75"/>
    <w:rsid w:val="00C6239D"/>
    <w:rsid w:val="00C632A5"/>
    <w:rsid w:val="00C64CE0"/>
    <w:rsid w:val="00C6594B"/>
    <w:rsid w:val="00C67FFB"/>
    <w:rsid w:val="00C7155E"/>
    <w:rsid w:val="00C71D1E"/>
    <w:rsid w:val="00C71D7D"/>
    <w:rsid w:val="00C74833"/>
    <w:rsid w:val="00C75BEF"/>
    <w:rsid w:val="00C77930"/>
    <w:rsid w:val="00C84D77"/>
    <w:rsid w:val="00C84FA6"/>
    <w:rsid w:val="00C850A0"/>
    <w:rsid w:val="00C85A86"/>
    <w:rsid w:val="00C873F1"/>
    <w:rsid w:val="00C91B7E"/>
    <w:rsid w:val="00C92146"/>
    <w:rsid w:val="00C92227"/>
    <w:rsid w:val="00C95F0D"/>
    <w:rsid w:val="00C978F0"/>
    <w:rsid w:val="00CA24AE"/>
    <w:rsid w:val="00CA4EB4"/>
    <w:rsid w:val="00CA58FE"/>
    <w:rsid w:val="00CB1CB1"/>
    <w:rsid w:val="00CB6BC1"/>
    <w:rsid w:val="00CB6CB8"/>
    <w:rsid w:val="00CB7028"/>
    <w:rsid w:val="00CC0C31"/>
    <w:rsid w:val="00CC0CF9"/>
    <w:rsid w:val="00CC1A68"/>
    <w:rsid w:val="00CC2123"/>
    <w:rsid w:val="00CC620A"/>
    <w:rsid w:val="00CD2BFD"/>
    <w:rsid w:val="00CD4600"/>
    <w:rsid w:val="00CD48F3"/>
    <w:rsid w:val="00CE00C6"/>
    <w:rsid w:val="00CE5AD6"/>
    <w:rsid w:val="00CE609B"/>
    <w:rsid w:val="00CE617F"/>
    <w:rsid w:val="00CE6CB4"/>
    <w:rsid w:val="00CE78EF"/>
    <w:rsid w:val="00CF212E"/>
    <w:rsid w:val="00CF446A"/>
    <w:rsid w:val="00D01254"/>
    <w:rsid w:val="00D048F7"/>
    <w:rsid w:val="00D04927"/>
    <w:rsid w:val="00D0517E"/>
    <w:rsid w:val="00D134FA"/>
    <w:rsid w:val="00D140FC"/>
    <w:rsid w:val="00D14570"/>
    <w:rsid w:val="00D149E9"/>
    <w:rsid w:val="00D1696E"/>
    <w:rsid w:val="00D21D8C"/>
    <w:rsid w:val="00D31357"/>
    <w:rsid w:val="00D33220"/>
    <w:rsid w:val="00D334D1"/>
    <w:rsid w:val="00D42A31"/>
    <w:rsid w:val="00D43AAC"/>
    <w:rsid w:val="00D44C89"/>
    <w:rsid w:val="00D516CD"/>
    <w:rsid w:val="00D54218"/>
    <w:rsid w:val="00D60249"/>
    <w:rsid w:val="00D668E6"/>
    <w:rsid w:val="00D70670"/>
    <w:rsid w:val="00D71DEB"/>
    <w:rsid w:val="00D74D80"/>
    <w:rsid w:val="00D76561"/>
    <w:rsid w:val="00D76624"/>
    <w:rsid w:val="00D8061B"/>
    <w:rsid w:val="00D86BC6"/>
    <w:rsid w:val="00D87378"/>
    <w:rsid w:val="00D87570"/>
    <w:rsid w:val="00D91CB9"/>
    <w:rsid w:val="00D93E3A"/>
    <w:rsid w:val="00D96240"/>
    <w:rsid w:val="00D97989"/>
    <w:rsid w:val="00D97D8D"/>
    <w:rsid w:val="00DA352E"/>
    <w:rsid w:val="00DA7269"/>
    <w:rsid w:val="00DB29E3"/>
    <w:rsid w:val="00DC2E33"/>
    <w:rsid w:val="00DC7694"/>
    <w:rsid w:val="00DD1BF6"/>
    <w:rsid w:val="00DD2F9B"/>
    <w:rsid w:val="00DE21B7"/>
    <w:rsid w:val="00DE2513"/>
    <w:rsid w:val="00DE26E8"/>
    <w:rsid w:val="00DF6F36"/>
    <w:rsid w:val="00E0084C"/>
    <w:rsid w:val="00E025AB"/>
    <w:rsid w:val="00E02B23"/>
    <w:rsid w:val="00E06F40"/>
    <w:rsid w:val="00E07CE8"/>
    <w:rsid w:val="00E1227A"/>
    <w:rsid w:val="00E21538"/>
    <w:rsid w:val="00E24042"/>
    <w:rsid w:val="00E26A07"/>
    <w:rsid w:val="00E316C5"/>
    <w:rsid w:val="00E32595"/>
    <w:rsid w:val="00E36866"/>
    <w:rsid w:val="00E37037"/>
    <w:rsid w:val="00E37CFD"/>
    <w:rsid w:val="00E41A26"/>
    <w:rsid w:val="00E43F52"/>
    <w:rsid w:val="00E46BCB"/>
    <w:rsid w:val="00E477AA"/>
    <w:rsid w:val="00E51CAF"/>
    <w:rsid w:val="00E56F66"/>
    <w:rsid w:val="00E5772B"/>
    <w:rsid w:val="00E60F04"/>
    <w:rsid w:val="00E623AD"/>
    <w:rsid w:val="00E62AAC"/>
    <w:rsid w:val="00E6445B"/>
    <w:rsid w:val="00E64586"/>
    <w:rsid w:val="00E67C2F"/>
    <w:rsid w:val="00E67EF5"/>
    <w:rsid w:val="00E70377"/>
    <w:rsid w:val="00E7095F"/>
    <w:rsid w:val="00E70F93"/>
    <w:rsid w:val="00E804EA"/>
    <w:rsid w:val="00E80A71"/>
    <w:rsid w:val="00E82337"/>
    <w:rsid w:val="00E83D5C"/>
    <w:rsid w:val="00E9245B"/>
    <w:rsid w:val="00E92499"/>
    <w:rsid w:val="00E949AF"/>
    <w:rsid w:val="00E96077"/>
    <w:rsid w:val="00EA0A06"/>
    <w:rsid w:val="00EA423C"/>
    <w:rsid w:val="00EA4F89"/>
    <w:rsid w:val="00EA5366"/>
    <w:rsid w:val="00EA6243"/>
    <w:rsid w:val="00EA74AB"/>
    <w:rsid w:val="00EB3D1B"/>
    <w:rsid w:val="00EB63F3"/>
    <w:rsid w:val="00EB7AB1"/>
    <w:rsid w:val="00EC299D"/>
    <w:rsid w:val="00EC394E"/>
    <w:rsid w:val="00EC6B95"/>
    <w:rsid w:val="00ED0514"/>
    <w:rsid w:val="00ED1D89"/>
    <w:rsid w:val="00ED3FD8"/>
    <w:rsid w:val="00ED5FCB"/>
    <w:rsid w:val="00ED66BC"/>
    <w:rsid w:val="00EE0619"/>
    <w:rsid w:val="00EE39F5"/>
    <w:rsid w:val="00EE411F"/>
    <w:rsid w:val="00EE4CF8"/>
    <w:rsid w:val="00EF233A"/>
    <w:rsid w:val="00EF303E"/>
    <w:rsid w:val="00EF3A40"/>
    <w:rsid w:val="00EF5DD1"/>
    <w:rsid w:val="00EF7F78"/>
    <w:rsid w:val="00F01B08"/>
    <w:rsid w:val="00F01C4D"/>
    <w:rsid w:val="00F053FA"/>
    <w:rsid w:val="00F10C97"/>
    <w:rsid w:val="00F11561"/>
    <w:rsid w:val="00F11C71"/>
    <w:rsid w:val="00F16019"/>
    <w:rsid w:val="00F166FE"/>
    <w:rsid w:val="00F17B74"/>
    <w:rsid w:val="00F20E68"/>
    <w:rsid w:val="00F21148"/>
    <w:rsid w:val="00F22093"/>
    <w:rsid w:val="00F236DF"/>
    <w:rsid w:val="00F3147A"/>
    <w:rsid w:val="00F43AD5"/>
    <w:rsid w:val="00F4402E"/>
    <w:rsid w:val="00F47E9C"/>
    <w:rsid w:val="00F55113"/>
    <w:rsid w:val="00F56DD0"/>
    <w:rsid w:val="00F6491C"/>
    <w:rsid w:val="00F67BBB"/>
    <w:rsid w:val="00F74CE1"/>
    <w:rsid w:val="00F81668"/>
    <w:rsid w:val="00F85212"/>
    <w:rsid w:val="00F85B5D"/>
    <w:rsid w:val="00F87D92"/>
    <w:rsid w:val="00F90AA7"/>
    <w:rsid w:val="00F92498"/>
    <w:rsid w:val="00F9496B"/>
    <w:rsid w:val="00F96CFE"/>
    <w:rsid w:val="00F970C9"/>
    <w:rsid w:val="00FA06A8"/>
    <w:rsid w:val="00FA3431"/>
    <w:rsid w:val="00FA3DF5"/>
    <w:rsid w:val="00FA741F"/>
    <w:rsid w:val="00FA7AF9"/>
    <w:rsid w:val="00FB4962"/>
    <w:rsid w:val="00FB4E07"/>
    <w:rsid w:val="00FB6F6B"/>
    <w:rsid w:val="00FB755A"/>
    <w:rsid w:val="00FC60A2"/>
    <w:rsid w:val="00FC6D2B"/>
    <w:rsid w:val="00FD0E5E"/>
    <w:rsid w:val="00FD1871"/>
    <w:rsid w:val="00FD3110"/>
    <w:rsid w:val="00FD3923"/>
    <w:rsid w:val="00FE3FD4"/>
    <w:rsid w:val="00FE59F7"/>
    <w:rsid w:val="00FE68B9"/>
    <w:rsid w:val="00FF5716"/>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7E1D8E"/>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026075"/>
    <w:pPr>
      <w:numPr>
        <w:numId w:val="9"/>
      </w:numPr>
      <w:contextualSpacing/>
    </w:pPr>
  </w:style>
  <w:style w:type="character" w:styleId="CommentReference">
    <w:name w:val="annotation reference"/>
    <w:basedOn w:val="DefaultParagraphFont"/>
    <w:uiPriority w:val="99"/>
    <w:semiHidden/>
    <w:unhideWhenUsed/>
    <w:rsid w:val="00457518"/>
    <w:rPr>
      <w:sz w:val="16"/>
      <w:szCs w:val="16"/>
    </w:rPr>
  </w:style>
  <w:style w:type="paragraph" w:styleId="CommentText">
    <w:name w:val="annotation text"/>
    <w:basedOn w:val="Normal"/>
    <w:link w:val="CommentTextChar"/>
    <w:uiPriority w:val="99"/>
    <w:semiHidden/>
    <w:unhideWhenUsed/>
    <w:rsid w:val="00457518"/>
    <w:pPr>
      <w:spacing w:line="240" w:lineRule="auto"/>
    </w:pPr>
    <w:rPr>
      <w:szCs w:val="20"/>
    </w:rPr>
  </w:style>
  <w:style w:type="character" w:customStyle="1" w:styleId="CommentTextChar">
    <w:name w:val="Comment Text Char"/>
    <w:basedOn w:val="DefaultParagraphFont"/>
    <w:link w:val="CommentText"/>
    <w:uiPriority w:val="99"/>
    <w:semiHidden/>
    <w:rsid w:val="00457518"/>
    <w:rPr>
      <w:szCs w:val="20"/>
    </w:rPr>
  </w:style>
  <w:style w:type="paragraph" w:styleId="CommentSubject">
    <w:name w:val="annotation subject"/>
    <w:basedOn w:val="CommentText"/>
    <w:next w:val="CommentText"/>
    <w:link w:val="CommentSubjectChar"/>
    <w:uiPriority w:val="99"/>
    <w:semiHidden/>
    <w:unhideWhenUsed/>
    <w:rsid w:val="00457518"/>
    <w:rPr>
      <w:b/>
      <w:bCs/>
    </w:rPr>
  </w:style>
  <w:style w:type="character" w:customStyle="1" w:styleId="CommentSubjectChar">
    <w:name w:val="Comment Subject Char"/>
    <w:basedOn w:val="CommentTextChar"/>
    <w:link w:val="CommentSubject"/>
    <w:uiPriority w:val="99"/>
    <w:semiHidden/>
    <w:rsid w:val="00457518"/>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005652">
      <w:bodyDiv w:val="1"/>
      <w:marLeft w:val="0"/>
      <w:marRight w:val="0"/>
      <w:marTop w:val="0"/>
      <w:marBottom w:val="0"/>
      <w:divBdr>
        <w:top w:val="none" w:sz="0" w:space="0" w:color="auto"/>
        <w:left w:val="none" w:sz="0" w:space="0" w:color="auto"/>
        <w:bottom w:val="none" w:sz="0" w:space="0" w:color="auto"/>
        <w:right w:val="none" w:sz="0" w:space="0" w:color="auto"/>
      </w:divBdr>
    </w:div>
    <w:div w:id="518589314">
      <w:bodyDiv w:val="1"/>
      <w:marLeft w:val="0"/>
      <w:marRight w:val="0"/>
      <w:marTop w:val="0"/>
      <w:marBottom w:val="0"/>
      <w:divBdr>
        <w:top w:val="none" w:sz="0" w:space="0" w:color="auto"/>
        <w:left w:val="none" w:sz="0" w:space="0" w:color="auto"/>
        <w:bottom w:val="none" w:sz="0" w:space="0" w:color="auto"/>
        <w:right w:val="none" w:sz="0" w:space="0" w:color="auto"/>
      </w:divBdr>
    </w:div>
    <w:div w:id="1451390137">
      <w:bodyDiv w:val="1"/>
      <w:marLeft w:val="0"/>
      <w:marRight w:val="0"/>
      <w:marTop w:val="0"/>
      <w:marBottom w:val="0"/>
      <w:divBdr>
        <w:top w:val="none" w:sz="0" w:space="0" w:color="auto"/>
        <w:left w:val="none" w:sz="0" w:space="0" w:color="auto"/>
        <w:bottom w:val="none" w:sz="0" w:space="0" w:color="auto"/>
        <w:right w:val="none" w:sz="0" w:space="0" w:color="auto"/>
      </w:divBdr>
    </w:div>
    <w:div w:id="173527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047AD93791DC493F8562BB3488160D64"/>
        <w:category>
          <w:name w:val="General"/>
          <w:gallery w:val="placeholder"/>
        </w:category>
        <w:types>
          <w:type w:val="bbPlcHdr"/>
        </w:types>
        <w:behaviors>
          <w:behavior w:val="content"/>
        </w:behaviors>
        <w:guid w:val="{707F63B6-C115-4EF7-97B0-A1A4995B6C1D}"/>
      </w:docPartPr>
      <w:docPartBody>
        <w:p w:rsidR="00D21A9F" w:rsidRDefault="00D21A9F">
          <w:pPr>
            <w:pStyle w:val="047AD93791DC493F8562BB3488160D64"/>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9832A479B1BF4F6796B0E18168F0DBCC"/>
        <w:category>
          <w:name w:val="General"/>
          <w:gallery w:val="placeholder"/>
        </w:category>
        <w:types>
          <w:type w:val="bbPlcHdr"/>
        </w:types>
        <w:behaviors>
          <w:behavior w:val="content"/>
        </w:behaviors>
        <w:guid w:val="{AC57044D-7090-4F1C-9569-59EE1DC498D1}"/>
      </w:docPartPr>
      <w:docPartBody>
        <w:p w:rsidR="00B14498" w:rsidRDefault="00930379" w:rsidP="00930379">
          <w:pPr>
            <w:pStyle w:val="9832A479B1BF4F6796B0E18168F0DBCC"/>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227B06"/>
    <w:rsid w:val="006C57C8"/>
    <w:rsid w:val="00930379"/>
    <w:rsid w:val="009D536F"/>
    <w:rsid w:val="00B10FB8"/>
    <w:rsid w:val="00B11C80"/>
    <w:rsid w:val="00B14498"/>
    <w:rsid w:val="00BD2F80"/>
    <w:rsid w:val="00D21A9F"/>
    <w:rsid w:val="00F953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0379"/>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CFFDE270CB50461B826B0194984892C5">
    <w:name w:val="CFFDE270CB50461B826B0194984892C5"/>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047AD93791DC493F8562BB3488160D64">
    <w:name w:val="047AD93791DC493F8562BB3488160D64"/>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9832A479B1BF4F6796B0E18168F0DBCC">
    <w:name w:val="9832A479B1BF4F6796B0E18168F0DBCC"/>
    <w:rsid w:val="009303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2.xml><?xml version="1.0" encoding="utf-8"?>
<ds:datastoreItem xmlns:ds="http://schemas.openxmlformats.org/officeDocument/2006/customXml" ds:itemID="{B26FD3B4-E5FF-44D0-A85D-1656AEB7AF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E18D54-E5EE-492E-B678-E53C5ECB7C14}"/>
</file>

<file path=customXml/itemProps4.xml><?xml version="1.0" encoding="utf-8"?>
<ds:datastoreItem xmlns:ds="http://schemas.openxmlformats.org/officeDocument/2006/customXml" ds:itemID="{73EA6FEB-EE09-4EA9-A43A-A2CFCD3CD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Pages>
  <Words>1437</Words>
  <Characters>8196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7</cp:revision>
  <cp:lastPrinted>2018-10-22T22:41:00Z</cp:lastPrinted>
  <dcterms:created xsi:type="dcterms:W3CDTF">2019-08-14T03:58:00Z</dcterms:created>
  <dcterms:modified xsi:type="dcterms:W3CDTF">2025-12-17T05:34:00Z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2025-12-17T05:34:10Z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ccef61b1-d974-4358-acb3-4d4f3fa794e1</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