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950743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F7E1D8E" w14:textId="7C8488C6" w:rsidR="00BD499F" w:rsidRPr="004C23F4" w:rsidRDefault="006B4EB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Benz</w:t>
          </w:r>
          <w:r w:rsidR="00EB3E4B">
            <w:rPr>
              <w:rFonts w:ascii="Arial" w:hAnsi="Arial" w:cs="Arial"/>
            </w:rPr>
            <w:t>o</w:t>
          </w:r>
          <w:r>
            <w:rPr>
              <w:rFonts w:ascii="Arial" w:hAnsi="Arial" w:cs="Arial"/>
            </w:rPr>
            <w:t>yl chloride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5F7E1D91" w14:textId="77777777" w:rsidTr="0002146A">
        <w:trPr>
          <w:cantSplit/>
          <w:tblHeader/>
        </w:trPr>
        <w:tc>
          <w:tcPr>
            <w:tcW w:w="3975" w:type="dxa"/>
          </w:tcPr>
          <w:p w14:paraId="5F7E1D8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5F7E1D90" w14:textId="43A98A4B" w:rsidR="00F43AD5" w:rsidRPr="00717D45" w:rsidRDefault="006A2D0A" w:rsidP="00B76A41">
            <w:pPr>
              <w:pStyle w:val="Tablefont"/>
            </w:pPr>
            <w:r>
              <w:t>98-88-4</w:t>
            </w:r>
          </w:p>
        </w:tc>
      </w:tr>
      <w:tr w:rsidR="00F43AD5" w:rsidRPr="004C23F4" w14:paraId="5F7E1D94" w14:textId="77777777" w:rsidTr="0002146A">
        <w:trPr>
          <w:cantSplit/>
        </w:trPr>
        <w:tc>
          <w:tcPr>
            <w:tcW w:w="3975" w:type="dxa"/>
          </w:tcPr>
          <w:p w14:paraId="5F7E1D9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5F7E1D93" w14:textId="4F414EED" w:rsidR="00F43AD5" w:rsidRPr="00717D45" w:rsidRDefault="003E3976" w:rsidP="003E3976">
            <w:pPr>
              <w:pStyle w:val="Tablefont"/>
            </w:pPr>
            <w:r>
              <w:t>α-</w:t>
            </w:r>
            <w:proofErr w:type="spellStart"/>
            <w:r>
              <w:t>chlorobenzaldehyde</w:t>
            </w:r>
            <w:proofErr w:type="spellEnd"/>
            <w:r>
              <w:t xml:space="preserve">, </w:t>
            </w:r>
            <w:proofErr w:type="spellStart"/>
            <w:r>
              <w:t>benzenecarbonyl</w:t>
            </w:r>
            <w:proofErr w:type="spellEnd"/>
            <w:r>
              <w:t xml:space="preserve"> chloride, benzoic acid chloride</w:t>
            </w:r>
          </w:p>
        </w:tc>
      </w:tr>
      <w:tr w:rsidR="00F43AD5" w:rsidRPr="004C23F4" w14:paraId="5F7E1D97" w14:textId="77777777" w:rsidTr="0002146A">
        <w:trPr>
          <w:cantSplit/>
        </w:trPr>
        <w:tc>
          <w:tcPr>
            <w:tcW w:w="3975" w:type="dxa"/>
          </w:tcPr>
          <w:p w14:paraId="5F7E1D9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5F7E1D96" w14:textId="05F3EDC9" w:rsidR="00F43AD5" w:rsidRPr="00717D45" w:rsidRDefault="00830EE9" w:rsidP="00B76A41">
            <w:pPr>
              <w:pStyle w:val="Tablefont"/>
            </w:pPr>
            <w:r w:rsidRPr="00830EE9">
              <w:t>C</w:t>
            </w:r>
            <w:r w:rsidRPr="00830EE9">
              <w:rPr>
                <w:vertAlign w:val="subscript"/>
              </w:rPr>
              <w:t>7</w:t>
            </w:r>
            <w:r w:rsidRPr="00830EE9">
              <w:t>H</w:t>
            </w:r>
            <w:r w:rsidRPr="00830EE9">
              <w:rPr>
                <w:vertAlign w:val="subscript"/>
              </w:rPr>
              <w:t>5</w:t>
            </w:r>
            <w:r w:rsidRPr="00830EE9">
              <w:t>OCI</w:t>
            </w:r>
          </w:p>
        </w:tc>
      </w:tr>
    </w:tbl>
    <w:p w14:paraId="5F7E1D9B" w14:textId="0D5ED13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A0516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F7E1D9E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F7E1D9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F7E1D9D" w14:textId="3B972ED3" w:rsidR="002C7AFE" w:rsidRPr="00EB3D1B" w:rsidRDefault="007E08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F7E1DA1" w14:textId="77777777" w:rsidTr="00921DE7">
        <w:trPr>
          <w:cantSplit/>
        </w:trPr>
        <w:tc>
          <w:tcPr>
            <w:tcW w:w="4077" w:type="dxa"/>
            <w:vAlign w:val="center"/>
          </w:tcPr>
          <w:p w14:paraId="5F7E1D9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F7E1DA0" w14:textId="3A11E977" w:rsidR="002C7AFE" w:rsidRPr="00EB3D1B" w:rsidRDefault="007E08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F7E1DA4" w14:textId="77777777" w:rsidTr="00921DE7">
        <w:trPr>
          <w:cantSplit/>
        </w:trPr>
        <w:tc>
          <w:tcPr>
            <w:tcW w:w="4077" w:type="dxa"/>
            <w:vAlign w:val="center"/>
          </w:tcPr>
          <w:p w14:paraId="5F7E1DA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F7E1DA3" w14:textId="47E12767" w:rsidR="002C7AFE" w:rsidRPr="00DB64A9" w:rsidRDefault="009606D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</w:t>
            </w:r>
            <w:r w:rsidR="00DB64A9">
              <w:rPr>
                <w:b/>
              </w:rPr>
              <w:t xml:space="preserve"> (2.8 mg/m</w:t>
            </w:r>
            <w:r w:rsidR="00DB64A9">
              <w:rPr>
                <w:b/>
                <w:vertAlign w:val="superscript"/>
              </w:rPr>
              <w:t>3</w:t>
            </w:r>
            <w:r w:rsidR="00DB64A9">
              <w:rPr>
                <w:b/>
              </w:rPr>
              <w:t>)</w:t>
            </w:r>
          </w:p>
        </w:tc>
      </w:tr>
      <w:tr w:rsidR="002C7AFE" w:rsidRPr="004C23F4" w14:paraId="5F7E1DA7" w14:textId="77777777" w:rsidTr="00A2073D">
        <w:trPr>
          <w:cantSplit/>
        </w:trPr>
        <w:tc>
          <w:tcPr>
            <w:tcW w:w="4077" w:type="dxa"/>
          </w:tcPr>
          <w:p w14:paraId="5F7E1DA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5F7E1DA6" w14:textId="38AAF43B" w:rsidR="002C7AFE" w:rsidRPr="00EB3D1B" w:rsidRDefault="00C703F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DSEN</w:t>
            </w:r>
          </w:p>
        </w:tc>
      </w:tr>
      <w:tr w:rsidR="002C7AFE" w:rsidRPr="004C23F4" w14:paraId="5F7E1DAB" w14:textId="77777777" w:rsidTr="00921DE7">
        <w:trPr>
          <w:cantSplit/>
        </w:trPr>
        <w:tc>
          <w:tcPr>
            <w:tcW w:w="4077" w:type="dxa"/>
            <w:vAlign w:val="center"/>
          </w:tcPr>
          <w:p w14:paraId="5F7E1DA9" w14:textId="1C3C27FC" w:rsidR="00F10C97" w:rsidRPr="002C58FF" w:rsidRDefault="00921DE7" w:rsidP="007F2A8A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F7E1DAA" w14:textId="618E5EFF" w:rsidR="002C7AFE" w:rsidRPr="00EB3D1B" w:rsidRDefault="007E08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F2A8A" w:rsidRPr="004C23F4" w14:paraId="1C2F5147" w14:textId="77777777" w:rsidTr="007F2A8A">
        <w:trPr>
          <w:cantSplit/>
        </w:trPr>
        <w:tc>
          <w:tcPr>
            <w:tcW w:w="4077" w:type="dxa"/>
          </w:tcPr>
          <w:p w14:paraId="6E6CE819" w14:textId="6FE213A3" w:rsidR="007F2A8A" w:rsidRDefault="007F2A8A" w:rsidP="007F2A8A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310F261" w14:textId="3D676AAC" w:rsidR="007F2A8A" w:rsidRPr="007F2A8A" w:rsidRDefault="007F2A8A" w:rsidP="00017C82">
            <w:pPr>
              <w:pStyle w:val="Tablefont"/>
            </w:pPr>
            <w:r w:rsidRPr="007F2A8A">
              <w:t xml:space="preserve">The recommended value is readily quantifiable through currently available sampling and analysis techniques. </w:t>
            </w:r>
            <w:bookmarkStart w:id="1" w:name="_GoBack"/>
            <w:bookmarkEnd w:id="1"/>
          </w:p>
        </w:tc>
      </w:tr>
    </w:tbl>
    <w:p w14:paraId="5F7E1DA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F7E1DAD" w14:textId="7B994A73" w:rsidR="006639B4" w:rsidRDefault="00765BCF" w:rsidP="000C139A">
      <w:pPr>
        <w:rPr>
          <w:rFonts w:cs="Arial"/>
        </w:rPr>
      </w:pPr>
      <w:r>
        <w:rPr>
          <w:rFonts w:cs="Arial"/>
        </w:rPr>
        <w:t xml:space="preserve">A peak limitation </w:t>
      </w:r>
      <w:r w:rsidR="00550210">
        <w:rPr>
          <w:rFonts w:cs="Arial"/>
        </w:rPr>
        <w:t>of 0.5 ppm (2.8 mg/m</w:t>
      </w:r>
      <w:r w:rsidR="00550210">
        <w:rPr>
          <w:rFonts w:cs="Arial"/>
          <w:vertAlign w:val="superscript"/>
        </w:rPr>
        <w:t>3</w:t>
      </w:r>
      <w:r w:rsidR="00550210">
        <w:rPr>
          <w:rFonts w:cs="Arial"/>
        </w:rPr>
        <w:t xml:space="preserve">) </w:t>
      </w:r>
      <w:proofErr w:type="gramStart"/>
      <w:r w:rsidR="00003251">
        <w:rPr>
          <w:rFonts w:cs="Arial"/>
        </w:rPr>
        <w:t>is recommended</w:t>
      </w:r>
      <w:proofErr w:type="gramEnd"/>
      <w:r w:rsidR="00003251">
        <w:rPr>
          <w:rFonts w:cs="Arial"/>
        </w:rPr>
        <w:t xml:space="preserve"> to </w:t>
      </w:r>
      <w:r w:rsidR="006314E3">
        <w:rPr>
          <w:rFonts w:cs="Arial"/>
        </w:rPr>
        <w:t>protect for</w:t>
      </w:r>
      <w:r w:rsidR="00003251">
        <w:rPr>
          <w:rFonts w:cs="Arial"/>
        </w:rPr>
        <w:t xml:space="preserve"> </w:t>
      </w:r>
      <w:r w:rsidR="00040268">
        <w:rPr>
          <w:rFonts w:cs="Arial"/>
        </w:rPr>
        <w:t xml:space="preserve">severe irritation </w:t>
      </w:r>
      <w:r w:rsidR="00EE6C01">
        <w:rPr>
          <w:rFonts w:cs="Arial"/>
        </w:rPr>
        <w:t xml:space="preserve">of </w:t>
      </w:r>
      <w:r w:rsidR="00040268">
        <w:rPr>
          <w:rFonts w:cs="Arial"/>
        </w:rPr>
        <w:t xml:space="preserve">the eyes and mucous membranes </w:t>
      </w:r>
      <w:r w:rsidR="00341933">
        <w:rPr>
          <w:rFonts w:cs="Arial"/>
        </w:rPr>
        <w:t>f</w:t>
      </w:r>
      <w:r w:rsidR="002516D0">
        <w:rPr>
          <w:rFonts w:cs="Arial"/>
        </w:rPr>
        <w:t>rom</w:t>
      </w:r>
      <w:r w:rsidR="00002906">
        <w:rPr>
          <w:rFonts w:cs="Arial"/>
        </w:rPr>
        <w:t xml:space="preserve"> acute exposure</w:t>
      </w:r>
      <w:r w:rsidR="003E2358">
        <w:rPr>
          <w:rFonts w:cs="Arial"/>
        </w:rPr>
        <w:t>;</w:t>
      </w:r>
      <w:r w:rsidR="00812C4F">
        <w:rPr>
          <w:rFonts w:cs="Arial"/>
        </w:rPr>
        <w:t xml:space="preserve"> and systemic toxicity</w:t>
      </w:r>
      <w:r w:rsidR="00290E43">
        <w:rPr>
          <w:rFonts w:cs="Arial"/>
        </w:rPr>
        <w:t>,</w:t>
      </w:r>
      <w:r w:rsidR="00812C4F">
        <w:rPr>
          <w:rFonts w:cs="Arial"/>
        </w:rPr>
        <w:t xml:space="preserve"> </w:t>
      </w:r>
      <w:r w:rsidR="0002146A">
        <w:rPr>
          <w:rFonts w:cs="Arial"/>
        </w:rPr>
        <w:t>including possibly</w:t>
      </w:r>
      <w:r w:rsidR="007264F9">
        <w:rPr>
          <w:rFonts w:cs="Arial"/>
        </w:rPr>
        <w:t xml:space="preserve"> cancer</w:t>
      </w:r>
      <w:r w:rsidR="00290E43">
        <w:rPr>
          <w:rFonts w:cs="Arial"/>
        </w:rPr>
        <w:t>,</w:t>
      </w:r>
      <w:r w:rsidR="007264F9">
        <w:rPr>
          <w:rFonts w:cs="Arial"/>
        </w:rPr>
        <w:t xml:space="preserve"> </w:t>
      </w:r>
      <w:r w:rsidR="002516D0">
        <w:rPr>
          <w:rFonts w:cs="Arial"/>
        </w:rPr>
        <w:t>from</w:t>
      </w:r>
      <w:r w:rsidR="007264F9">
        <w:rPr>
          <w:rFonts w:cs="Arial"/>
        </w:rPr>
        <w:t xml:space="preserve"> chronic exposure.</w:t>
      </w:r>
    </w:p>
    <w:p w14:paraId="1210E8F6" w14:textId="0D4170D8" w:rsidR="007264F9" w:rsidRPr="00550210" w:rsidRDefault="007264F9" w:rsidP="00EA0516">
      <w:pPr>
        <w:rPr>
          <w:rFonts w:cs="Arial"/>
        </w:rPr>
      </w:pPr>
      <w:r>
        <w:rPr>
          <w:rFonts w:cs="Arial"/>
        </w:rPr>
        <w:t>Insufficient data</w:t>
      </w:r>
      <w:r w:rsidR="00BA64DF">
        <w:rPr>
          <w:rFonts w:cs="Arial"/>
        </w:rPr>
        <w:t xml:space="preserve"> </w:t>
      </w:r>
      <w:r w:rsidR="006314E3">
        <w:rPr>
          <w:rFonts w:cs="Arial"/>
        </w:rPr>
        <w:t>available</w:t>
      </w:r>
      <w:r>
        <w:rPr>
          <w:rFonts w:cs="Arial"/>
        </w:rPr>
        <w:t xml:space="preserve"> to recommend a TWA, STEL or IDLH value.</w:t>
      </w:r>
      <w:r w:rsidR="00EA0516">
        <w:rPr>
          <w:rFonts w:cs="Arial"/>
        </w:rPr>
        <w:t xml:space="preserve"> The recommended peak limitation </w:t>
      </w:r>
      <w:proofErr w:type="gramStart"/>
      <w:r w:rsidR="00EA0516">
        <w:rPr>
          <w:rFonts w:cs="Arial"/>
        </w:rPr>
        <w:t>is expected</w:t>
      </w:r>
      <w:proofErr w:type="gramEnd"/>
      <w:r w:rsidR="00EA0516">
        <w:rPr>
          <w:rFonts w:cs="Arial"/>
        </w:rPr>
        <w:t xml:space="preserve"> to protect for the effects of acute exposure</w:t>
      </w:r>
      <w:r w:rsidR="0002146A">
        <w:rPr>
          <w:rFonts w:cs="Arial"/>
        </w:rPr>
        <w:t xml:space="preserve">. An examination of additional data sources </w:t>
      </w:r>
      <w:proofErr w:type="gramStart"/>
      <w:r w:rsidR="0002146A">
        <w:rPr>
          <w:rFonts w:cs="Arial"/>
        </w:rPr>
        <w:t>is recommended</w:t>
      </w:r>
      <w:proofErr w:type="gramEnd"/>
      <w:r w:rsidR="0002146A">
        <w:rPr>
          <w:rFonts w:cs="Arial"/>
        </w:rPr>
        <w:t xml:space="preserve"> at the next scheduled review</w:t>
      </w:r>
      <w:r w:rsidR="00EA0516">
        <w:rPr>
          <w:rFonts w:cs="Arial"/>
        </w:rPr>
        <w:t>.</w:t>
      </w:r>
    </w:p>
    <w:p w14:paraId="5F7E1DA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C73296F" w14:textId="75A97893" w:rsidR="00EE6C01" w:rsidRDefault="00D91D08" w:rsidP="00D91D08">
      <w:pPr>
        <w:rPr>
          <w:rFonts w:cs="Arial"/>
        </w:rPr>
      </w:pPr>
      <w:r w:rsidRPr="00E57E05">
        <w:rPr>
          <w:rFonts w:cs="Arial"/>
        </w:rPr>
        <w:t>Benz</w:t>
      </w:r>
      <w:r w:rsidR="00026BC8" w:rsidRPr="00E57E05">
        <w:rPr>
          <w:rFonts w:cs="Arial"/>
        </w:rPr>
        <w:t>o</w:t>
      </w:r>
      <w:r w:rsidRPr="00E57E05">
        <w:rPr>
          <w:rFonts w:cs="Arial"/>
        </w:rPr>
        <w:t xml:space="preserve">yl chloride is a by-product </w:t>
      </w:r>
      <w:r w:rsidR="00851F95">
        <w:rPr>
          <w:rFonts w:cs="Arial"/>
        </w:rPr>
        <w:t>in the</w:t>
      </w:r>
      <w:r w:rsidRPr="00E57E05">
        <w:rPr>
          <w:rFonts w:cs="Arial"/>
        </w:rPr>
        <w:t xml:space="preserve"> manufacture </w:t>
      </w:r>
      <w:r w:rsidR="00184A6B" w:rsidRPr="00E57E05">
        <w:rPr>
          <w:rFonts w:cs="Arial"/>
        </w:rPr>
        <w:t xml:space="preserve">of </w:t>
      </w:r>
      <w:r w:rsidR="00851F95">
        <w:rPr>
          <w:rFonts w:cs="Arial"/>
        </w:rPr>
        <w:t>α-</w:t>
      </w:r>
      <w:r w:rsidR="00184A6B" w:rsidRPr="00E57E05">
        <w:rPr>
          <w:rFonts w:cs="Arial"/>
        </w:rPr>
        <w:t>chlorinated toluene derivatives</w:t>
      </w:r>
      <w:r w:rsidR="000917FC">
        <w:rPr>
          <w:rFonts w:cs="Arial"/>
        </w:rPr>
        <w:t xml:space="preserve"> and </w:t>
      </w:r>
      <w:r w:rsidR="00851F95">
        <w:rPr>
          <w:rFonts w:cs="Arial"/>
        </w:rPr>
        <w:t xml:space="preserve">available occupational hygiene data is limited to cases of mixed exposure with other chlorinated </w:t>
      </w:r>
      <w:proofErr w:type="spellStart"/>
      <w:r w:rsidR="00851F95">
        <w:rPr>
          <w:rFonts w:cs="Arial"/>
        </w:rPr>
        <w:t>toluenes</w:t>
      </w:r>
      <w:proofErr w:type="spellEnd"/>
      <w:r w:rsidR="00851F95">
        <w:rPr>
          <w:rFonts w:cs="Arial"/>
        </w:rPr>
        <w:t xml:space="preserve">. Critical effects of </w:t>
      </w:r>
      <w:r w:rsidR="00221212" w:rsidRPr="00E57E05">
        <w:rPr>
          <w:rFonts w:cs="Arial"/>
        </w:rPr>
        <w:t xml:space="preserve">acute </w:t>
      </w:r>
      <w:r w:rsidRPr="00E57E05">
        <w:rPr>
          <w:rFonts w:cs="Arial"/>
        </w:rPr>
        <w:t xml:space="preserve">exposure </w:t>
      </w:r>
      <w:r w:rsidR="00851F95">
        <w:rPr>
          <w:rFonts w:cs="Arial"/>
        </w:rPr>
        <w:t xml:space="preserve">relate to its high reactivity and include </w:t>
      </w:r>
      <w:r w:rsidR="005351DE" w:rsidRPr="00E57E05">
        <w:rPr>
          <w:rFonts w:cs="Arial"/>
        </w:rPr>
        <w:t>severe</w:t>
      </w:r>
      <w:r w:rsidRPr="00E57E05">
        <w:rPr>
          <w:rFonts w:cs="Arial"/>
        </w:rPr>
        <w:t xml:space="preserve"> eye and upper respiratory tract irritation</w:t>
      </w:r>
      <w:r w:rsidR="00BE2E45" w:rsidRPr="00E57E05">
        <w:rPr>
          <w:rFonts w:cs="Arial"/>
        </w:rPr>
        <w:t xml:space="preserve"> (ACGIH, 2017).</w:t>
      </w:r>
      <w:r w:rsidR="00BA4FBE" w:rsidRPr="00E57E05">
        <w:rPr>
          <w:rFonts w:cs="Arial"/>
        </w:rPr>
        <w:t xml:space="preserve"> </w:t>
      </w:r>
      <w:r w:rsidR="00BE2E45" w:rsidRPr="00E57E05">
        <w:rPr>
          <w:rFonts w:cs="Arial"/>
        </w:rPr>
        <w:t>Effects of c</w:t>
      </w:r>
      <w:r w:rsidR="00BA4FBE" w:rsidRPr="00E57E05">
        <w:rPr>
          <w:rFonts w:cs="Arial"/>
        </w:rPr>
        <w:t xml:space="preserve">hronic exposure </w:t>
      </w:r>
      <w:r w:rsidR="006F55D4" w:rsidRPr="00E57E05">
        <w:rPr>
          <w:rFonts w:cs="Arial"/>
        </w:rPr>
        <w:t>are unclear</w:t>
      </w:r>
      <w:r w:rsidR="00EA0516">
        <w:rPr>
          <w:rFonts w:cs="Arial"/>
        </w:rPr>
        <w:t>.</w:t>
      </w:r>
      <w:r w:rsidR="00BE2E45" w:rsidRPr="00E57E05">
        <w:rPr>
          <w:rFonts w:cs="Arial"/>
        </w:rPr>
        <w:t xml:space="preserve"> </w:t>
      </w:r>
      <w:r w:rsidR="00EA0516">
        <w:rPr>
          <w:rFonts w:cs="Arial"/>
        </w:rPr>
        <w:t>H</w:t>
      </w:r>
      <w:r w:rsidR="00BE2E45" w:rsidRPr="00E57E05">
        <w:rPr>
          <w:rFonts w:cs="Arial"/>
        </w:rPr>
        <w:t xml:space="preserve">owever, </w:t>
      </w:r>
      <w:r w:rsidR="00B35207" w:rsidRPr="00E57E05">
        <w:rPr>
          <w:rFonts w:cs="Arial"/>
        </w:rPr>
        <w:t xml:space="preserve">lung cancer and </w:t>
      </w:r>
      <w:r w:rsidR="0028633E" w:rsidRPr="00E57E05">
        <w:rPr>
          <w:rFonts w:cs="Arial"/>
        </w:rPr>
        <w:t xml:space="preserve">chronic </w:t>
      </w:r>
      <w:r w:rsidR="00B35207" w:rsidRPr="00E57E05">
        <w:rPr>
          <w:rFonts w:cs="Arial"/>
        </w:rPr>
        <w:t>upper respiratory tract diseases</w:t>
      </w:r>
      <w:r w:rsidR="001F550C" w:rsidRPr="00E57E05">
        <w:rPr>
          <w:rFonts w:cs="Arial"/>
        </w:rPr>
        <w:t xml:space="preserve"> </w:t>
      </w:r>
      <w:proofErr w:type="gramStart"/>
      <w:r w:rsidR="001F550C" w:rsidRPr="00E57E05">
        <w:rPr>
          <w:rFonts w:cs="Arial"/>
        </w:rPr>
        <w:t xml:space="preserve">are </w:t>
      </w:r>
      <w:r w:rsidR="00636230" w:rsidRPr="00E57E05">
        <w:rPr>
          <w:rFonts w:cs="Arial"/>
        </w:rPr>
        <w:t>indicated</w:t>
      </w:r>
      <w:proofErr w:type="gramEnd"/>
      <w:r w:rsidR="00636230" w:rsidRPr="00E57E05">
        <w:rPr>
          <w:rFonts w:cs="Arial"/>
        </w:rPr>
        <w:t xml:space="preserve"> </w:t>
      </w:r>
      <w:r w:rsidR="00636230" w:rsidRPr="000917FC">
        <w:rPr>
          <w:rFonts w:cs="Arial"/>
        </w:rPr>
        <w:t xml:space="preserve">by </w:t>
      </w:r>
      <w:r w:rsidR="004A4FEE">
        <w:rPr>
          <w:rFonts w:cs="Arial"/>
        </w:rPr>
        <w:t>three</w:t>
      </w:r>
      <w:r w:rsidR="003D7D5B" w:rsidRPr="000917FC">
        <w:rPr>
          <w:rFonts w:cs="Arial"/>
        </w:rPr>
        <w:t xml:space="preserve"> </w:t>
      </w:r>
      <w:r w:rsidR="00636230" w:rsidRPr="000917FC">
        <w:rPr>
          <w:rFonts w:cs="Arial"/>
        </w:rPr>
        <w:t xml:space="preserve">small cohort studies </w:t>
      </w:r>
      <w:r w:rsidR="000917FC">
        <w:rPr>
          <w:rFonts w:cs="Arial"/>
        </w:rPr>
        <w:t>of</w:t>
      </w:r>
      <w:r w:rsidR="00636230" w:rsidRPr="00E57E05">
        <w:rPr>
          <w:rFonts w:cs="Arial"/>
        </w:rPr>
        <w:t xml:space="preserve"> mixed </w:t>
      </w:r>
      <w:r w:rsidR="000917FC">
        <w:rPr>
          <w:rFonts w:cs="Arial"/>
        </w:rPr>
        <w:t>α-</w:t>
      </w:r>
      <w:proofErr w:type="spellStart"/>
      <w:r w:rsidR="00851F95">
        <w:rPr>
          <w:rFonts w:cs="Arial"/>
        </w:rPr>
        <w:t>chlorotoluene</w:t>
      </w:r>
      <w:proofErr w:type="spellEnd"/>
      <w:r w:rsidR="00851F95">
        <w:rPr>
          <w:rFonts w:cs="Arial"/>
        </w:rPr>
        <w:t xml:space="preserve"> </w:t>
      </w:r>
      <w:r w:rsidR="00636230" w:rsidRPr="00E57E05">
        <w:rPr>
          <w:rFonts w:cs="Arial"/>
        </w:rPr>
        <w:t>exposures</w:t>
      </w:r>
      <w:r w:rsidR="00BA64DF">
        <w:rPr>
          <w:rFonts w:cs="Arial"/>
        </w:rPr>
        <w:t xml:space="preserve"> (ACGIH, 2017; DFG 1992; IARC; 1999</w:t>
      </w:r>
      <w:r w:rsidR="000917FC" w:rsidRPr="004B6060">
        <w:rPr>
          <w:rFonts w:cs="Arial"/>
        </w:rPr>
        <w:t>)</w:t>
      </w:r>
      <w:r w:rsidR="00221212" w:rsidRPr="004B6060">
        <w:rPr>
          <w:rFonts w:cs="Arial"/>
        </w:rPr>
        <w:t>.</w:t>
      </w:r>
      <w:r w:rsidR="004723FB" w:rsidRPr="004B6060">
        <w:rPr>
          <w:rFonts w:cs="Arial"/>
        </w:rPr>
        <w:t xml:space="preserve"> </w:t>
      </w:r>
      <w:r w:rsidR="00EA0516">
        <w:rPr>
          <w:rFonts w:cs="Arial"/>
        </w:rPr>
        <w:t>Evidence from animal studies indicate the substance is a dermal sensitiser.</w:t>
      </w:r>
    </w:p>
    <w:p w14:paraId="25D01733" w14:textId="37132DC8" w:rsidR="00D91D08" w:rsidRPr="000917FC" w:rsidRDefault="004723FB" w:rsidP="00D91D08">
      <w:pPr>
        <w:rPr>
          <w:rFonts w:cs="Arial"/>
        </w:rPr>
      </w:pPr>
      <w:r w:rsidRPr="004B6060">
        <w:rPr>
          <w:rFonts w:cs="Arial"/>
        </w:rPr>
        <w:t xml:space="preserve">Due to the intolerability of acute exposures at </w:t>
      </w:r>
      <w:r w:rsidR="004B6060" w:rsidRPr="004B6060">
        <w:rPr>
          <w:rFonts w:cs="Arial"/>
        </w:rPr>
        <w:t>low concentrations (2 ppm</w:t>
      </w:r>
      <w:r w:rsidR="005057C1">
        <w:rPr>
          <w:rFonts w:cs="Arial"/>
        </w:rPr>
        <w:t xml:space="preserve"> for</w:t>
      </w:r>
      <w:r w:rsidR="004B6060" w:rsidRPr="004B6060">
        <w:rPr>
          <w:rFonts w:cs="Arial"/>
        </w:rPr>
        <w:t xml:space="preserve"> </w:t>
      </w:r>
      <w:r w:rsidR="00EA0516">
        <w:rPr>
          <w:rFonts w:cs="Arial"/>
        </w:rPr>
        <w:t>one</w:t>
      </w:r>
      <w:r w:rsidR="004B6060" w:rsidRPr="004B6060">
        <w:rPr>
          <w:rFonts w:cs="Arial"/>
        </w:rPr>
        <w:t xml:space="preserve"> min</w:t>
      </w:r>
      <w:r w:rsidR="00EA0516">
        <w:rPr>
          <w:rFonts w:cs="Arial"/>
        </w:rPr>
        <w:t>ute</w:t>
      </w:r>
      <w:r w:rsidR="004A4FEE">
        <w:rPr>
          <w:rFonts w:cs="Arial"/>
        </w:rPr>
        <w:t>)</w:t>
      </w:r>
      <w:r w:rsidR="00D57C38">
        <w:rPr>
          <w:rFonts w:cs="Arial"/>
        </w:rPr>
        <w:t xml:space="preserve"> </w:t>
      </w:r>
      <w:r w:rsidR="004A4FEE">
        <w:rPr>
          <w:rFonts w:cs="Arial"/>
        </w:rPr>
        <w:t>(</w:t>
      </w:r>
      <w:r w:rsidR="004B6060" w:rsidRPr="004B6060">
        <w:rPr>
          <w:rFonts w:cs="Arial"/>
        </w:rPr>
        <w:t xml:space="preserve">ACGIH, 2017) combined with a lack of exposure data, a TWA is not recommended. </w:t>
      </w:r>
      <w:r w:rsidR="00D27887">
        <w:rPr>
          <w:rFonts w:cs="Arial"/>
        </w:rPr>
        <w:t>The compound may be carcinogenic based on tumour formation in a repeat dermal dose study with mice, but carcinogenic evaluation in humans is not possible with the available data</w:t>
      </w:r>
      <w:r w:rsidR="00C703F1">
        <w:rPr>
          <w:rFonts w:cs="Arial"/>
        </w:rPr>
        <w:t xml:space="preserve"> (ACGIH, 2017)</w:t>
      </w:r>
      <w:r w:rsidR="00D27887">
        <w:rPr>
          <w:rFonts w:cs="Arial"/>
        </w:rPr>
        <w:t xml:space="preserve">. </w:t>
      </w:r>
    </w:p>
    <w:p w14:paraId="5F7E1DB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45E7C52" w14:textId="04265F86" w:rsidR="002F06FC" w:rsidRDefault="000B05DB" w:rsidP="002F06FC">
      <w:pPr>
        <w:rPr>
          <w:rFonts w:cs="Arial"/>
        </w:rPr>
      </w:pPr>
      <w:r w:rsidRPr="000B05DB">
        <w:rPr>
          <w:rFonts w:cs="Arial"/>
        </w:rPr>
        <w:t>Not classified as a carcinogen according to the Globally Harmonized System of Classification and Labelling of Chemicals (GHS)</w:t>
      </w:r>
      <w:r w:rsidR="002F06FC" w:rsidRPr="002F06FC">
        <w:rPr>
          <w:rFonts w:cs="Arial"/>
        </w:rPr>
        <w:t>.</w:t>
      </w:r>
    </w:p>
    <w:p w14:paraId="7D4AB45F" w14:textId="64FA4E6C" w:rsidR="00A44283" w:rsidRPr="002F06FC" w:rsidRDefault="000B05DB" w:rsidP="002F06FC">
      <w:pPr>
        <w:rPr>
          <w:rFonts w:cs="Arial"/>
        </w:rPr>
      </w:pPr>
      <w:r w:rsidRPr="000B05DB">
        <w:rPr>
          <w:rFonts w:cs="Arial"/>
        </w:rPr>
        <w:t xml:space="preserve">Classified as a skin sensitiser </w:t>
      </w:r>
      <w:r w:rsidR="004C0CAD">
        <w:rPr>
          <w:rFonts w:cs="Arial"/>
        </w:rPr>
        <w:t>and</w:t>
      </w:r>
      <w:r w:rsidR="00D2095B">
        <w:rPr>
          <w:rFonts w:cs="Arial"/>
        </w:rPr>
        <w:t xml:space="preserve"> </w:t>
      </w:r>
      <w:r w:rsidR="00EE6C01">
        <w:rPr>
          <w:rFonts w:cs="Arial"/>
        </w:rPr>
        <w:t>n</w:t>
      </w:r>
      <w:r w:rsidR="00A44283">
        <w:rPr>
          <w:rFonts w:cs="Arial"/>
        </w:rPr>
        <w:t xml:space="preserve">ot </w:t>
      </w:r>
      <w:r w:rsidR="00A44283" w:rsidRPr="002F06FC">
        <w:rPr>
          <w:rFonts w:cs="Arial"/>
        </w:rPr>
        <w:t xml:space="preserve">a </w:t>
      </w:r>
      <w:r w:rsidR="00A44283">
        <w:rPr>
          <w:rFonts w:cs="Arial"/>
        </w:rPr>
        <w:t>respiratory</w:t>
      </w:r>
      <w:r w:rsidR="00A44283" w:rsidRPr="002F06FC">
        <w:rPr>
          <w:rFonts w:cs="Arial"/>
        </w:rPr>
        <w:t xml:space="preserve"> sensitiser according to the GHS.</w:t>
      </w:r>
    </w:p>
    <w:p w14:paraId="5F7E1DB2" w14:textId="1B1981C2" w:rsidR="0025734A" w:rsidRPr="004C23F4" w:rsidRDefault="00290E43" w:rsidP="002F06FC">
      <w:pPr>
        <w:rPr>
          <w:rFonts w:cs="Arial"/>
        </w:rPr>
      </w:pPr>
      <w:r>
        <w:rPr>
          <w:rFonts w:cs="Arial"/>
        </w:rPr>
        <w:t xml:space="preserve">A skin notation </w:t>
      </w:r>
      <w:proofErr w:type="gramStart"/>
      <w:r>
        <w:rPr>
          <w:rFonts w:cs="Arial"/>
        </w:rPr>
        <w:t xml:space="preserve">is not </w:t>
      </w:r>
      <w:r w:rsidR="0002146A">
        <w:rPr>
          <w:rFonts w:cs="Arial"/>
        </w:rPr>
        <w:t>recommended</w:t>
      </w:r>
      <w:proofErr w:type="gramEnd"/>
      <w:r>
        <w:rPr>
          <w:rFonts w:cs="Arial"/>
        </w:rPr>
        <w:t xml:space="preserve"> based on the available evidence.</w:t>
      </w:r>
    </w:p>
    <w:p w14:paraId="5F7E1DB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F7E1DB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F7E1DB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F7E1DB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7E1DB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F7E1DB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F7E1DB8" w14:textId="1C611B7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34302">
                  <w:t>—</w:t>
                </w:r>
              </w:sdtContent>
            </w:sdt>
          </w:p>
        </w:tc>
      </w:tr>
      <w:tr w:rsidR="00C978F0" w:rsidRPr="00DA352E" w14:paraId="5F7E1D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7E1DBA" w14:textId="2A780DD8" w:rsidR="00C978F0" w:rsidRPr="00DA352E" w:rsidRDefault="00C34302" w:rsidP="003365A5">
            <w:pPr>
              <w:pStyle w:val="Tabletextprimarysource"/>
            </w:pPr>
            <w:r>
              <w:t>Not previously assigned</w:t>
            </w:r>
            <w:r w:rsidR="00EA0516">
              <w:t>.</w:t>
            </w:r>
          </w:p>
        </w:tc>
      </w:tr>
      <w:tr w:rsidR="00C978F0" w:rsidRPr="00DA352E" w14:paraId="5F7E1D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7E1DBC" w14:textId="0CA6F03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15ED6">
                  <w:t>20</w:t>
                </w:r>
                <w:r w:rsidR="002164DC">
                  <w:t>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15ED6" w:rsidRPr="00115ED6">
                  <w:t>TLV</w:t>
                </w:r>
                <w:r w:rsidR="00641F56">
                  <w:t>-</w:t>
                </w:r>
                <w:r w:rsidR="00F7371C">
                  <w:t>Ceiling:</w:t>
                </w:r>
                <w:r w:rsidR="00115ED6" w:rsidRPr="00115ED6">
                  <w:t xml:space="preserve"> </w:t>
                </w:r>
                <w:r w:rsidR="00F7371C">
                  <w:t>0.5</w:t>
                </w:r>
                <w:r w:rsidR="00115ED6" w:rsidRPr="00115ED6">
                  <w:t xml:space="preserve"> ppm (</w:t>
                </w:r>
                <w:r w:rsidR="00D663A2">
                  <w:t>2.8</w:t>
                </w:r>
                <w:r w:rsidR="00115ED6" w:rsidRPr="00115ED6">
                  <w:t xml:space="preserve"> mg/m</w:t>
                </w:r>
                <w:r w:rsidR="00115ED6" w:rsidRPr="00115ED6">
                  <w:rPr>
                    <w:vertAlign w:val="superscript"/>
                  </w:rPr>
                  <w:t>3</w:t>
                </w:r>
                <w:r w:rsidR="00115ED6" w:rsidRPr="00115ED6">
                  <w:t>)</w:t>
                </w:r>
              </w:sdtContent>
            </w:sdt>
          </w:p>
        </w:tc>
      </w:tr>
      <w:tr w:rsidR="00C978F0" w:rsidRPr="00DA352E" w14:paraId="5F7E1D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3834B1" w14:textId="77777777" w:rsidR="00EA0516" w:rsidRDefault="007E408A" w:rsidP="00CA7EA6">
            <w:pPr>
              <w:pStyle w:val="Tabletextprimarysource"/>
            </w:pPr>
            <w:r>
              <w:t xml:space="preserve">TLV-Ceiling intended to prevent </w:t>
            </w:r>
            <w:r w:rsidR="00B0501D">
              <w:t xml:space="preserve">irritation to </w:t>
            </w:r>
            <w:proofErr w:type="gramStart"/>
            <w:r w:rsidR="00B0501D">
              <w:t>eyes and mucous membranes</w:t>
            </w:r>
            <w:proofErr w:type="gramEnd"/>
            <w:r w:rsidR="00BA60A7">
              <w:t xml:space="preserve"> and potential systemic toxicity</w:t>
            </w:r>
            <w:r w:rsidR="00227F85">
              <w:t xml:space="preserve">, including </w:t>
            </w:r>
            <w:r w:rsidR="0042060A">
              <w:t>risk of cancer</w:t>
            </w:r>
            <w:r w:rsidR="00227F85">
              <w:t xml:space="preserve">. </w:t>
            </w:r>
          </w:p>
          <w:p w14:paraId="4A39A484" w14:textId="77777777" w:rsidR="00EA0516" w:rsidRDefault="00227F85" w:rsidP="00CA7EA6">
            <w:pPr>
              <w:pStyle w:val="Tabletextprimarysource"/>
            </w:pPr>
            <w:r>
              <w:t xml:space="preserve">Insufficient data to recommend </w:t>
            </w:r>
            <w:r w:rsidR="002164DC">
              <w:t xml:space="preserve">skin or sensitiser notations. </w:t>
            </w:r>
          </w:p>
          <w:p w14:paraId="290594B7" w14:textId="77777777" w:rsidR="00EA0516" w:rsidRDefault="00D34778" w:rsidP="00CA7EA6">
            <w:pPr>
              <w:pStyle w:val="Tabletextprimarysource"/>
            </w:pPr>
            <w:r>
              <w:t>Some benzoyl chloride producers have set internal exposure limits of 0.17 ppm (1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E52372">
              <w:t xml:space="preserve">. </w:t>
            </w:r>
          </w:p>
          <w:p w14:paraId="053D4838" w14:textId="51EADE53" w:rsidR="00042398" w:rsidRPr="00D34778" w:rsidRDefault="0071118D" w:rsidP="00CA7EA6">
            <w:pPr>
              <w:pStyle w:val="Tabletextprimarysource"/>
            </w:pPr>
            <w:r>
              <w:t xml:space="preserve">Previous </w:t>
            </w:r>
            <w:r w:rsidR="00EA0516">
              <w:t>AIHA</w:t>
            </w:r>
            <w:r w:rsidR="0002146A">
              <w:t xml:space="preserve"> 15 </w:t>
            </w:r>
            <w:r>
              <w:t>min TWA was 1 ppm to pr</w:t>
            </w:r>
            <w:r w:rsidR="00B44BA0">
              <w:t>event severe eye and mucous membrane irritation.</w:t>
            </w:r>
          </w:p>
          <w:p w14:paraId="104D3911" w14:textId="77777777" w:rsidR="00EA0516" w:rsidRDefault="00EA0516" w:rsidP="00CA7EA6">
            <w:pPr>
              <w:pStyle w:val="Tabletextprimarysource"/>
            </w:pPr>
            <w:r>
              <w:t>Summary of data:</w:t>
            </w:r>
          </w:p>
          <w:p w14:paraId="7C4AA7BB" w14:textId="2CC4ADD3" w:rsidR="00177997" w:rsidRDefault="00177997" w:rsidP="00CA7EA6">
            <w:pPr>
              <w:pStyle w:val="Tabletextprimarysource"/>
            </w:pPr>
            <w:r>
              <w:t>Human data:</w:t>
            </w:r>
          </w:p>
          <w:p w14:paraId="70EFD0C0" w14:textId="6EA1088F" w:rsidR="00177997" w:rsidRDefault="00177997" w:rsidP="000A0D8A">
            <w:pPr>
              <w:pStyle w:val="ListBullet"/>
              <w:ind w:left="720"/>
            </w:pPr>
            <w:r>
              <w:t>Strong lachrymator</w:t>
            </w:r>
            <w:r w:rsidR="006F3C81">
              <w:t xml:space="preserve"> and causes irritation of eyes and mucous membranes</w:t>
            </w:r>
          </w:p>
          <w:p w14:paraId="149AB9DC" w14:textId="00604919" w:rsidR="00A44694" w:rsidRDefault="00A44694" w:rsidP="000A0D8A">
            <w:pPr>
              <w:pStyle w:val="ListBullet"/>
              <w:ind w:left="720"/>
            </w:pPr>
            <w:r>
              <w:t xml:space="preserve">Exposure at </w:t>
            </w:r>
            <w:r w:rsidR="000578FF">
              <w:t xml:space="preserve">2 ppm </w:t>
            </w:r>
            <w:r>
              <w:t xml:space="preserve">for 1 min </w:t>
            </w:r>
            <w:r w:rsidR="00EA0516">
              <w:t xml:space="preserve">is </w:t>
            </w:r>
            <w:r w:rsidR="000578FF">
              <w:t>intolerable</w:t>
            </w:r>
            <w:r w:rsidR="00EA0516">
              <w:t xml:space="preserve">; </w:t>
            </w:r>
            <w:r w:rsidR="00106826">
              <w:t>difficult to define irritant dose threshold</w:t>
            </w:r>
          </w:p>
          <w:p w14:paraId="40E88004" w14:textId="08C3763B" w:rsidR="0075403A" w:rsidRDefault="006C123E" w:rsidP="000A0D8A">
            <w:pPr>
              <w:pStyle w:val="ListBullet"/>
              <w:ind w:left="720"/>
            </w:pPr>
            <w:r>
              <w:t>C</w:t>
            </w:r>
            <w:r w:rsidR="003E2358">
              <w:t xml:space="preserve">ancer </w:t>
            </w:r>
            <w:r w:rsidR="00E2359F">
              <w:t>of lymph nodes</w:t>
            </w:r>
            <w:r w:rsidR="004C0CAD">
              <w:t xml:space="preserve"> </w:t>
            </w:r>
            <w:r>
              <w:t xml:space="preserve">(1/6) </w:t>
            </w:r>
            <w:r w:rsidR="00E2359F">
              <w:t>and</w:t>
            </w:r>
            <w:r w:rsidR="0002146A">
              <w:t xml:space="preserve"> </w:t>
            </w:r>
            <w:r w:rsidR="003E2358">
              <w:t xml:space="preserve">in </w:t>
            </w:r>
            <w:r w:rsidR="00E2359F">
              <w:t>lungs</w:t>
            </w:r>
            <w:r w:rsidR="004C0CAD">
              <w:t xml:space="preserve"> </w:t>
            </w:r>
            <w:r>
              <w:t>(5/6)</w:t>
            </w:r>
            <w:r w:rsidR="00E2359F">
              <w:t xml:space="preserve"> </w:t>
            </w:r>
            <w:r w:rsidR="00F11D79">
              <w:t xml:space="preserve">fatal </w:t>
            </w:r>
            <w:r w:rsidR="00E2359F">
              <w:t xml:space="preserve">cases </w:t>
            </w:r>
            <w:r w:rsidR="009733A0">
              <w:t>of exposed factory workers</w:t>
            </w:r>
            <w:r w:rsidR="000C20F6">
              <w:t xml:space="preserve"> </w:t>
            </w:r>
            <w:r w:rsidR="00EB1B9E">
              <w:t xml:space="preserve">producing </w:t>
            </w:r>
            <w:proofErr w:type="spellStart"/>
            <w:r w:rsidR="00EB1B9E">
              <w:t>chlorotoluenes</w:t>
            </w:r>
            <w:proofErr w:type="spellEnd"/>
            <w:r w:rsidR="00EB1B9E">
              <w:t xml:space="preserve">, </w:t>
            </w:r>
            <w:r w:rsidR="008473C4">
              <w:t>in</w:t>
            </w:r>
            <w:r w:rsidR="00EB1B9E">
              <w:t xml:space="preserve"> which benzoyl chloride is a by-product</w:t>
            </w:r>
            <w:r w:rsidR="00EA0516">
              <w:t>;</w:t>
            </w:r>
            <w:r w:rsidR="00650553">
              <w:t xml:space="preserve"> </w:t>
            </w:r>
            <w:proofErr w:type="spellStart"/>
            <w:r w:rsidR="00EA0516">
              <w:t>b</w:t>
            </w:r>
            <w:r w:rsidR="007A74F1">
              <w:t>enzotrichloride</w:t>
            </w:r>
            <w:proofErr w:type="spellEnd"/>
            <w:r w:rsidR="007A74F1">
              <w:t xml:space="preserve"> was suggested to be responsible </w:t>
            </w:r>
            <w:r w:rsidR="008473C4">
              <w:t>for</w:t>
            </w:r>
            <w:r w:rsidR="007A74F1">
              <w:t xml:space="preserve"> the cancer deaths</w:t>
            </w:r>
          </w:p>
          <w:p w14:paraId="172729D4" w14:textId="12AF7FDD" w:rsidR="007A74F1" w:rsidRDefault="00EA0516" w:rsidP="008473C4">
            <w:pPr>
              <w:pStyle w:val="ListBullet"/>
              <w:numPr>
                <w:ilvl w:val="0"/>
                <w:numId w:val="8"/>
              </w:numPr>
            </w:pPr>
            <w:r>
              <w:t>w</w:t>
            </w:r>
            <w:r w:rsidR="0075403A">
              <w:t>orkers exposed</w:t>
            </w:r>
            <w:r w:rsidR="000D401A">
              <w:t xml:space="preserve"> </w:t>
            </w:r>
            <w:r w:rsidR="00C108DD">
              <w:t xml:space="preserve">to multiple chemicals </w:t>
            </w:r>
            <w:r w:rsidR="000D401A">
              <w:t>used in</w:t>
            </w:r>
            <w:r w:rsidR="00C108DD">
              <w:t xml:space="preserve"> </w:t>
            </w:r>
            <w:proofErr w:type="spellStart"/>
            <w:r w:rsidR="00C108DD">
              <w:t>chlorotoluene</w:t>
            </w:r>
            <w:proofErr w:type="spellEnd"/>
            <w:r w:rsidR="00C108DD">
              <w:t xml:space="preserve"> production</w:t>
            </w:r>
            <w:r w:rsidR="008473C4">
              <w:t xml:space="preserve"> p</w:t>
            </w:r>
            <w:r w:rsidR="009C188C">
              <w:t xml:space="preserve">resented </w:t>
            </w:r>
            <w:r w:rsidR="003C0C11">
              <w:t xml:space="preserve">chronic pharyngitis and sinusitis, impaired </w:t>
            </w:r>
            <w:r w:rsidR="00025AA0">
              <w:t>smell, and s</w:t>
            </w:r>
            <w:r w:rsidR="008473C4">
              <w:t>kin disorders</w:t>
            </w:r>
            <w:r w:rsidR="00025AA0">
              <w:t xml:space="preserve"> </w:t>
            </w:r>
          </w:p>
          <w:p w14:paraId="41BF8095" w14:textId="773F2ADB" w:rsidR="007A74F1" w:rsidRDefault="00EA0516" w:rsidP="000A0D8A">
            <w:pPr>
              <w:pStyle w:val="ListBullet"/>
              <w:numPr>
                <w:ilvl w:val="0"/>
                <w:numId w:val="8"/>
              </w:numPr>
            </w:pPr>
            <w:r>
              <w:t>i</w:t>
            </w:r>
            <w:r w:rsidR="009C188C">
              <w:t xml:space="preserve">ndustrial hygiene practices at the factory were </w:t>
            </w:r>
            <w:r w:rsidR="008473C4">
              <w:t>reportedly poor</w:t>
            </w:r>
          </w:p>
          <w:p w14:paraId="66583DEE" w14:textId="2AC672D9" w:rsidR="004A6DBF" w:rsidRDefault="00CA52F0" w:rsidP="00A44283">
            <w:pPr>
              <w:pStyle w:val="ListBullet"/>
              <w:ind w:left="720"/>
            </w:pPr>
            <w:r>
              <w:t xml:space="preserve">Increased incidence of </w:t>
            </w:r>
            <w:r w:rsidR="00392A48">
              <w:t xml:space="preserve">respiratory and digestive tract cancers </w:t>
            </w:r>
            <w:r w:rsidR="00841DFF">
              <w:t>reported i</w:t>
            </w:r>
            <w:r w:rsidR="00EA0516">
              <w:t xml:space="preserve">n </w:t>
            </w:r>
            <w:r w:rsidR="00841DFF">
              <w:t>SMR study of</w:t>
            </w:r>
            <w:r w:rsidR="00392A48">
              <w:t xml:space="preserve"> </w:t>
            </w:r>
            <w:r w:rsidR="004A6DBF">
              <w:t xml:space="preserve">exposed </w:t>
            </w:r>
            <w:r w:rsidR="00027F78">
              <w:t xml:space="preserve">workers </w:t>
            </w:r>
            <w:r w:rsidR="00841DFF">
              <w:t>in</w:t>
            </w:r>
            <w:r w:rsidR="00027F78">
              <w:t xml:space="preserve"> a different </w:t>
            </w:r>
            <w:proofErr w:type="spellStart"/>
            <w:r w:rsidR="00027F78">
              <w:t>chlorotoluene</w:t>
            </w:r>
            <w:proofErr w:type="spellEnd"/>
            <w:r w:rsidR="00027F78">
              <w:t xml:space="preserve"> factory</w:t>
            </w:r>
            <w:r w:rsidR="00841DFF">
              <w:t xml:space="preserve"> (n=163</w:t>
            </w:r>
            <w:r w:rsidR="00904970">
              <w:t xml:space="preserve"> exposed, n=790 unexposed)</w:t>
            </w:r>
            <w:r w:rsidR="00EA0516">
              <w:t>; b</w:t>
            </w:r>
            <w:r w:rsidR="00360275">
              <w:t>ased on</w:t>
            </w:r>
            <w:r w:rsidR="00873207">
              <w:t xml:space="preserve"> toxicological studies, </w:t>
            </w:r>
            <w:proofErr w:type="spellStart"/>
            <w:r w:rsidR="00873207">
              <w:t>benzotrichloride</w:t>
            </w:r>
            <w:proofErr w:type="spellEnd"/>
            <w:r w:rsidR="00873207">
              <w:t xml:space="preserve"> was concluded to be </w:t>
            </w:r>
            <w:r w:rsidR="00A80E2B">
              <w:t xml:space="preserve">likely cause of </w:t>
            </w:r>
            <w:r w:rsidR="00E661BB">
              <w:t>cancer</w:t>
            </w:r>
          </w:p>
          <w:p w14:paraId="61553522" w14:textId="569AB9D8" w:rsidR="000A28E1" w:rsidRDefault="00EA0516" w:rsidP="000A28E1">
            <w:pPr>
              <w:pStyle w:val="ListBullet"/>
              <w:numPr>
                <w:ilvl w:val="0"/>
                <w:numId w:val="11"/>
              </w:numPr>
            </w:pPr>
            <w:proofErr w:type="gramStart"/>
            <w:r>
              <w:t>f</w:t>
            </w:r>
            <w:r w:rsidR="007C435C">
              <w:t>ollow-up</w:t>
            </w:r>
            <w:proofErr w:type="gramEnd"/>
            <w:r w:rsidR="007C435C">
              <w:t xml:space="preserve"> study reported that</w:t>
            </w:r>
            <w:r w:rsidR="0069487E">
              <w:t xml:space="preserve"> SMR were also elevated for </w:t>
            </w:r>
            <w:r w:rsidR="00A5603C">
              <w:t>lung cancer (</w:t>
            </w:r>
            <w:r w:rsidR="008473C4">
              <w:t>SMR=</w:t>
            </w:r>
            <w:r w:rsidR="00A5603C">
              <w:t xml:space="preserve">180) and </w:t>
            </w:r>
            <w:r w:rsidR="00DD2956">
              <w:t>Hodgkin’s</w:t>
            </w:r>
            <w:r w:rsidR="00A5603C">
              <w:t xml:space="preserve"> disease (</w:t>
            </w:r>
            <w:r w:rsidR="008473C4">
              <w:t>SMR=</w:t>
            </w:r>
            <w:r w:rsidR="006208DA">
              <w:t>714)</w:t>
            </w:r>
            <w:r w:rsidR="000A28E1">
              <w:t>.</w:t>
            </w:r>
          </w:p>
          <w:p w14:paraId="1DC078BF" w14:textId="77777777" w:rsidR="000A28E1" w:rsidRDefault="000A28E1" w:rsidP="00A4428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D27AC6C" w14:textId="53EBF26F" w:rsidR="00E37037" w:rsidRDefault="00F251EB" w:rsidP="00A4428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ACD8F1F" w14:textId="2B05A326" w:rsidR="00F251EB" w:rsidRDefault="00F251EB" w:rsidP="00A44283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5B1281">
              <w:t>1140</w:t>
            </w:r>
            <w:r w:rsidR="000A28E1">
              <w:t>–</w:t>
            </w:r>
            <w:r w:rsidR="005B1281">
              <w:t xml:space="preserve">2618 mg/kg (rats, </w:t>
            </w:r>
            <w:r w:rsidR="00891E5C">
              <w:t>oral</w:t>
            </w:r>
            <w:r w:rsidR="00C07C46">
              <w:t>)</w:t>
            </w:r>
          </w:p>
          <w:p w14:paraId="5D71FC14" w14:textId="04AD9D18" w:rsidR="00C07C46" w:rsidRDefault="00C07C46" w:rsidP="000A0D8A">
            <w:pPr>
              <w:pStyle w:val="ListBullet"/>
              <w:ind w:left="72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B76614">
              <w:t>247</w:t>
            </w:r>
            <w:r w:rsidR="004F5D24">
              <w:t xml:space="preserve"> to &gt;377 ppm (rats, 4 h)</w:t>
            </w:r>
          </w:p>
          <w:p w14:paraId="7B126F6A" w14:textId="056D4EFE" w:rsidR="004F5D24" w:rsidRDefault="00EC5B5D" w:rsidP="000A0D8A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790 to &gt;2</w:t>
            </w:r>
            <w:r w:rsidR="00E9494F">
              <w:t>,</w:t>
            </w:r>
            <w:r>
              <w:t>000 mg/kg (rabbits, dermal)</w:t>
            </w:r>
          </w:p>
          <w:p w14:paraId="2C96AAB4" w14:textId="2CEB6993" w:rsidR="00190133" w:rsidRDefault="00190133" w:rsidP="000A0D8A">
            <w:pPr>
              <w:pStyle w:val="ListBullet"/>
              <w:ind w:left="720"/>
            </w:pPr>
            <w:r>
              <w:t>Half-life in blood is 1.5 h (rats)</w:t>
            </w:r>
          </w:p>
          <w:p w14:paraId="3CB9C824" w14:textId="7E42BB88" w:rsidR="00FE3D18" w:rsidRDefault="00FE3D18" w:rsidP="000A0D8A">
            <w:pPr>
              <w:pStyle w:val="ListBullet"/>
              <w:ind w:left="720"/>
            </w:pPr>
            <w:r>
              <w:t>Extreme irritation in skin and eyes of rabbits (no further information provided)</w:t>
            </w:r>
          </w:p>
          <w:p w14:paraId="47F4D78D" w14:textId="087C20B7" w:rsidR="00FE3D18" w:rsidRDefault="00177E6B" w:rsidP="000A0D8A">
            <w:pPr>
              <w:pStyle w:val="ListBullet"/>
              <w:ind w:left="720"/>
            </w:pPr>
            <w:r>
              <w:t>Skin and l</w:t>
            </w:r>
            <w:r w:rsidR="00F2262B">
              <w:t xml:space="preserve">ung tumours reported </w:t>
            </w:r>
            <w:r w:rsidR="00246DE5">
              <w:t>at both 6.1 and 12.1 mg</w:t>
            </w:r>
            <w:r w:rsidR="008B7C0A">
              <w:t xml:space="preserve"> in skin-painting </w:t>
            </w:r>
            <w:r w:rsidR="003A468C">
              <w:t>study</w:t>
            </w:r>
            <w:r w:rsidR="005278CE">
              <w:t xml:space="preserve"> (mice, 3</w:t>
            </w:r>
            <w:r w:rsidR="00EA0516">
              <w:t> </w:t>
            </w:r>
            <w:r w:rsidR="005278CE">
              <w:t>times/</w:t>
            </w:r>
            <w:proofErr w:type="spellStart"/>
            <w:r w:rsidR="005278CE">
              <w:t>wk</w:t>
            </w:r>
            <w:proofErr w:type="spellEnd"/>
            <w:r>
              <w:t xml:space="preserve"> for</w:t>
            </w:r>
            <w:r w:rsidR="005278CE">
              <w:t xml:space="preserve"> </w:t>
            </w:r>
            <w:r w:rsidR="00F84FCB">
              <w:t>4</w:t>
            </w:r>
            <w:r>
              <w:t> </w:t>
            </w:r>
            <w:proofErr w:type="spellStart"/>
            <w:r w:rsidR="00F84FCB">
              <w:t>wk</w:t>
            </w:r>
            <w:proofErr w:type="spellEnd"/>
            <w:r>
              <w:t>,</w:t>
            </w:r>
            <w:r w:rsidR="00F84FCB">
              <w:t xml:space="preserve"> then 2 times/</w:t>
            </w:r>
            <w:proofErr w:type="spellStart"/>
            <w:r w:rsidR="00F84FCB">
              <w:t>wk</w:t>
            </w:r>
            <w:proofErr w:type="spellEnd"/>
            <w:r>
              <w:t xml:space="preserve"> for</w:t>
            </w:r>
            <w:r w:rsidR="00F84FCB">
              <w:t xml:space="preserve"> 43 </w:t>
            </w:r>
            <w:proofErr w:type="spellStart"/>
            <w:r w:rsidR="00F84FCB">
              <w:t>wk</w:t>
            </w:r>
            <w:proofErr w:type="spellEnd"/>
            <w:r w:rsidR="00E160E0">
              <w:t>, 533 mg total dose/animal</w:t>
            </w:r>
            <w:r w:rsidR="00F84FCB">
              <w:t>)</w:t>
            </w:r>
          </w:p>
          <w:p w14:paraId="56080F39" w14:textId="51E702A9" w:rsidR="00037E82" w:rsidRDefault="00EA0516" w:rsidP="000A0D8A">
            <w:pPr>
              <w:pStyle w:val="ListBullet"/>
              <w:numPr>
                <w:ilvl w:val="0"/>
                <w:numId w:val="10"/>
              </w:numPr>
            </w:pPr>
            <w:r>
              <w:t>m</w:t>
            </w:r>
            <w:r w:rsidR="00DF63D5">
              <w:t>arked irritation of eyes, skin, and resp</w:t>
            </w:r>
            <w:r w:rsidR="00AC2938">
              <w:t>iratory tract also noted</w:t>
            </w:r>
          </w:p>
          <w:p w14:paraId="40AFFD89" w14:textId="7B7864E1" w:rsidR="00220CF3" w:rsidRDefault="00EA0516" w:rsidP="000A0D8A">
            <w:pPr>
              <w:pStyle w:val="ListBullet"/>
              <w:numPr>
                <w:ilvl w:val="0"/>
                <w:numId w:val="10"/>
              </w:numPr>
            </w:pPr>
            <w:r>
              <w:t>s</w:t>
            </w:r>
            <w:r w:rsidR="001C19FA">
              <w:t>imilar results reported for</w:t>
            </w:r>
            <w:r w:rsidR="00340985">
              <w:t xml:space="preserve"> 2.8 mg in </w:t>
            </w:r>
            <w:r w:rsidR="003A468C">
              <w:t xml:space="preserve">additional study (mice, </w:t>
            </w:r>
            <w:r w:rsidR="00220CF3">
              <w:t>2 times/</w:t>
            </w:r>
            <w:proofErr w:type="spellStart"/>
            <w:r w:rsidR="00220CF3">
              <w:t>wk</w:t>
            </w:r>
            <w:proofErr w:type="spellEnd"/>
            <w:r w:rsidR="00220CF3">
              <w:t xml:space="preserve"> for 50 </w:t>
            </w:r>
            <w:proofErr w:type="spellStart"/>
            <w:r w:rsidR="00220CF3">
              <w:t>wk</w:t>
            </w:r>
            <w:proofErr w:type="spellEnd"/>
            <w:r w:rsidR="00220CF3">
              <w:t>, 278</w:t>
            </w:r>
            <w:r>
              <w:t> </w:t>
            </w:r>
            <w:r w:rsidR="00220CF3">
              <w:t>mg total dose/animal)</w:t>
            </w:r>
          </w:p>
          <w:p w14:paraId="680B9EE8" w14:textId="2EF17C91" w:rsidR="001078A9" w:rsidRDefault="00EA0516" w:rsidP="000A0D8A">
            <w:pPr>
              <w:pStyle w:val="ListBullet"/>
              <w:numPr>
                <w:ilvl w:val="0"/>
                <w:numId w:val="10"/>
              </w:numPr>
            </w:pPr>
            <w:r>
              <w:t>a</w:t>
            </w:r>
            <w:r w:rsidR="003241E8">
              <w:t>lthough c</w:t>
            </w:r>
            <w:r w:rsidR="005913F6">
              <w:t xml:space="preserve">ancer incidences </w:t>
            </w:r>
            <w:r w:rsidR="00846F76">
              <w:t>were not statistically significant</w:t>
            </w:r>
            <w:r w:rsidR="003241E8">
              <w:t>,</w:t>
            </w:r>
            <w:r w:rsidR="001078A9">
              <w:t xml:space="preserve"> concluded a weak carcinogen</w:t>
            </w:r>
          </w:p>
          <w:p w14:paraId="3F5C6EEC" w14:textId="0C92A355" w:rsidR="00EA0516" w:rsidRDefault="00EA0516" w:rsidP="000A0D8A">
            <w:pPr>
              <w:pStyle w:val="ListBullet"/>
              <w:ind w:left="720"/>
            </w:pPr>
            <w:r>
              <w:t>MTD</w:t>
            </w:r>
            <w:r w:rsidR="00FF65C4">
              <w:t xml:space="preserve"> intraperitoneal</w:t>
            </w:r>
            <w:r>
              <w:t>:</w:t>
            </w:r>
            <w:r w:rsidR="00AE2F1C">
              <w:t xml:space="preserve"> </w:t>
            </w:r>
            <w:r w:rsidR="00FF65C4">
              <w:t>158 mg/kg (mice)</w:t>
            </w:r>
          </w:p>
          <w:p w14:paraId="0E3D3E58" w14:textId="05243A75" w:rsidR="00846F76" w:rsidRDefault="00C80573" w:rsidP="00EA0516">
            <w:pPr>
              <w:pStyle w:val="ListBullet"/>
              <w:numPr>
                <w:ilvl w:val="0"/>
                <w:numId w:val="10"/>
              </w:numPr>
            </w:pPr>
            <w:r>
              <w:t xml:space="preserve">Repeat doses at this concentration </w:t>
            </w:r>
            <w:r w:rsidR="006065A0">
              <w:t xml:space="preserve">did not cause lung cancers in mice </w:t>
            </w:r>
            <w:r w:rsidR="00A0706F">
              <w:t>(3 times/</w:t>
            </w:r>
            <w:proofErr w:type="spellStart"/>
            <w:r w:rsidR="00A0706F">
              <w:t>wk</w:t>
            </w:r>
            <w:proofErr w:type="spellEnd"/>
            <w:r w:rsidR="00A0706F">
              <w:t>, 8</w:t>
            </w:r>
            <w:r w:rsidR="00EA0516">
              <w:t> </w:t>
            </w:r>
            <w:proofErr w:type="spellStart"/>
            <w:r w:rsidR="00A0706F">
              <w:t>wk</w:t>
            </w:r>
            <w:proofErr w:type="spellEnd"/>
            <w:r w:rsidR="00A0706F">
              <w:t>)</w:t>
            </w:r>
          </w:p>
          <w:p w14:paraId="299A2A1B" w14:textId="6D604922" w:rsidR="00A0706F" w:rsidRDefault="002E6980" w:rsidP="000A0D8A">
            <w:pPr>
              <w:pStyle w:val="ListBullet"/>
              <w:ind w:left="720"/>
            </w:pPr>
            <w:r>
              <w:t>Non-mutagenic as indicated by majority of bacterial studie</w:t>
            </w:r>
            <w:r w:rsidR="00EA0516">
              <w:t xml:space="preserve">s; </w:t>
            </w:r>
            <w:r w:rsidR="003047E0">
              <w:t xml:space="preserve">one </w:t>
            </w:r>
            <w:r>
              <w:t xml:space="preserve">study </w:t>
            </w:r>
            <w:r w:rsidR="003E086A">
              <w:t>described</w:t>
            </w:r>
            <w:r>
              <w:t xml:space="preserve"> positive </w:t>
            </w:r>
            <w:r w:rsidR="003E086A">
              <w:t>mutagenicity</w:t>
            </w:r>
            <w:r w:rsidR="00772D2C">
              <w:t>,</w:t>
            </w:r>
            <w:r w:rsidR="003E086A">
              <w:t xml:space="preserve"> but was dismissed due to inconsistency in the report</w:t>
            </w:r>
          </w:p>
          <w:p w14:paraId="1397E0C3" w14:textId="77777777" w:rsidR="00177997" w:rsidRDefault="00C62ABC" w:rsidP="000A0D8A">
            <w:pPr>
              <w:pStyle w:val="ListBullet"/>
              <w:ind w:left="720"/>
            </w:pPr>
            <w:r>
              <w:t>Hydrolysed to benzoic acid when ingested</w:t>
            </w:r>
            <w:r w:rsidR="00DF37CF">
              <w:t xml:space="preserve"> in rats</w:t>
            </w:r>
            <w:r w:rsidR="00177997">
              <w:t>, but not when applied through skin incision</w:t>
            </w:r>
            <w:r w:rsidR="000A0D8A">
              <w:t>.</w:t>
            </w:r>
          </w:p>
          <w:p w14:paraId="5F7E1DBE" w14:textId="13F40606" w:rsidR="00891E5C" w:rsidRPr="00EC5B5D" w:rsidRDefault="00891E5C" w:rsidP="00891E5C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F7E1D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7E1DC0" w14:textId="21B2061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53F08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01CD8">
                  <w:t>not yet established</w:t>
                </w:r>
              </w:sdtContent>
            </w:sdt>
          </w:p>
        </w:tc>
      </w:tr>
      <w:tr w:rsidR="00C978F0" w:rsidRPr="00DA352E" w14:paraId="5F7E1D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BADD0A" w14:textId="77777777" w:rsidR="00C978F0" w:rsidRDefault="00A250A3" w:rsidP="003365A5">
            <w:pPr>
              <w:pStyle w:val="Tabletextprimarysource"/>
            </w:pPr>
            <w:r>
              <w:t>Summary of additional data:</w:t>
            </w:r>
          </w:p>
          <w:p w14:paraId="5C4072D7" w14:textId="77777777" w:rsidR="00EA0516" w:rsidRDefault="00A6637C" w:rsidP="00CD7D3E">
            <w:pPr>
              <w:pStyle w:val="ListBullet"/>
              <w:ind w:left="720"/>
            </w:pPr>
            <w:r>
              <w:t xml:space="preserve">Available </w:t>
            </w:r>
            <w:r w:rsidR="00034D76">
              <w:t xml:space="preserve">human and animal data </w:t>
            </w:r>
            <w:r w:rsidR="00E9494F">
              <w:t>are</w:t>
            </w:r>
            <w:r w:rsidR="00EA0516">
              <w:t xml:space="preserve"> very limited</w:t>
            </w:r>
          </w:p>
          <w:p w14:paraId="0A91CE40" w14:textId="43382DAE" w:rsidR="00E30C2B" w:rsidRDefault="0078296C" w:rsidP="00CD7D3E">
            <w:pPr>
              <w:pStyle w:val="ListBullet"/>
              <w:ind w:left="720"/>
            </w:pPr>
            <w:r>
              <w:t xml:space="preserve">Insufficient data on acute and chronic exposure to establish </w:t>
            </w:r>
            <w:r w:rsidR="00E30C2B">
              <w:t>MAK</w:t>
            </w:r>
          </w:p>
          <w:p w14:paraId="435E0955" w14:textId="77777777" w:rsidR="00EA0516" w:rsidRDefault="00472A08" w:rsidP="00CD7D3E">
            <w:pPr>
              <w:pStyle w:val="ListBullet"/>
              <w:ind w:left="720"/>
            </w:pPr>
            <w:r>
              <w:t xml:space="preserve">Further </w:t>
            </w:r>
            <w:r w:rsidR="00D562F8">
              <w:t>studies to assess carcinogenic potential are necessary</w:t>
            </w:r>
          </w:p>
          <w:p w14:paraId="3239100D" w14:textId="6EEADE46" w:rsidR="00BA60A7" w:rsidRDefault="00FC34BF" w:rsidP="00CD7D3E">
            <w:pPr>
              <w:pStyle w:val="ListBullet"/>
              <w:ind w:left="720"/>
            </w:pPr>
            <w:r>
              <w:t xml:space="preserve">Establishment of a </w:t>
            </w:r>
            <w:r w:rsidR="00883B3C">
              <w:t xml:space="preserve">MAK for technical mixtures of </w:t>
            </w:r>
            <w:proofErr w:type="spellStart"/>
            <w:r w:rsidR="00883B3C">
              <w:t>chl</w:t>
            </w:r>
            <w:r w:rsidR="00985033">
              <w:t>orotoluene</w:t>
            </w:r>
            <w:proofErr w:type="spellEnd"/>
            <w:r w:rsidR="00985033">
              <w:t xml:space="preserve"> derivatives, including benzoyl chloride, </w:t>
            </w:r>
            <w:proofErr w:type="gramStart"/>
            <w:r w:rsidR="00985033">
              <w:t>is speculated</w:t>
            </w:r>
            <w:proofErr w:type="gramEnd"/>
            <w:r w:rsidR="00985033">
              <w:t>.</w:t>
            </w:r>
          </w:p>
          <w:p w14:paraId="09996DA6" w14:textId="0CCC132C" w:rsidR="0079438D" w:rsidRDefault="00AF46D0" w:rsidP="00E30C2B">
            <w:pPr>
              <w:pStyle w:val="Tabletextprimarysource"/>
            </w:pPr>
            <w:r>
              <w:t>Animal data:</w:t>
            </w:r>
          </w:p>
          <w:p w14:paraId="53A68DB6" w14:textId="47B5DB61" w:rsidR="00D1675B" w:rsidRDefault="00AF46D0" w:rsidP="00CD7D3E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Pr="006314E3">
              <w:t>:</w:t>
            </w:r>
            <w:r>
              <w:t xml:space="preserve"> </w:t>
            </w:r>
            <w:r w:rsidR="00101CD8">
              <w:t>1</w:t>
            </w:r>
            <w:r w:rsidR="00E9494F">
              <w:t>900 mg/kg (female rat</w:t>
            </w:r>
            <w:r w:rsidR="00D1675B">
              <w:t>s</w:t>
            </w:r>
            <w:r w:rsidR="006D2358">
              <w:t>, oral</w:t>
            </w:r>
            <w:r w:rsidR="006314E3">
              <w:t>);</w:t>
            </w:r>
            <w:r w:rsidR="008473C4">
              <w:t xml:space="preserve"> 3</w:t>
            </w:r>
            <w:r w:rsidR="00E9494F">
              <w:t>619 mg/kg (male rat</w:t>
            </w:r>
            <w:r w:rsidR="00D1675B">
              <w:t>s</w:t>
            </w:r>
            <w:r w:rsidR="006D2358">
              <w:t>, oral</w:t>
            </w:r>
            <w:r w:rsidR="00E9494F">
              <w:t>)</w:t>
            </w:r>
          </w:p>
          <w:p w14:paraId="5EF8DF34" w14:textId="77777777" w:rsidR="00EA0516" w:rsidRDefault="00101CD8" w:rsidP="00CD7D3E">
            <w:pPr>
              <w:pStyle w:val="ListBullet"/>
              <w:ind w:left="720"/>
            </w:pPr>
            <w:r>
              <w:t xml:space="preserve">Skin carcinoma and lung adenomas reported at 2.3 µL (mice, </w:t>
            </w:r>
            <w:r w:rsidR="0047354F">
              <w:t>diluted with</w:t>
            </w:r>
            <w:r>
              <w:t xml:space="preserve"> benzene, 2</w:t>
            </w:r>
            <w:r w:rsidR="0047354F">
              <w:t> </w:t>
            </w:r>
            <w:r>
              <w:t>times/</w:t>
            </w:r>
            <w:proofErr w:type="spellStart"/>
            <w:r>
              <w:t>wk</w:t>
            </w:r>
            <w:proofErr w:type="spellEnd"/>
            <w:r>
              <w:t xml:space="preserve">, 50 </w:t>
            </w:r>
            <w:proofErr w:type="spellStart"/>
            <w:r>
              <w:t>wk</w:t>
            </w:r>
            <w:proofErr w:type="spellEnd"/>
            <w:r>
              <w:t>)</w:t>
            </w:r>
            <w:r w:rsidR="0047354F">
              <w:t xml:space="preserve">. </w:t>
            </w:r>
          </w:p>
          <w:p w14:paraId="2F7A829F" w14:textId="1B2ECB2D" w:rsidR="00101CD8" w:rsidRDefault="0002146A" w:rsidP="00EA0516">
            <w:pPr>
              <w:pStyle w:val="ListBullet"/>
              <w:numPr>
                <w:ilvl w:val="0"/>
                <w:numId w:val="10"/>
              </w:numPr>
            </w:pPr>
            <w:r>
              <w:t>r</w:t>
            </w:r>
            <w:r w:rsidR="0047354F">
              <w:t xml:space="preserve">esults were not </w:t>
            </w:r>
            <w:r w:rsidR="00EA0516">
              <w:t xml:space="preserve">statistically significant; </w:t>
            </w:r>
            <w:r w:rsidR="0047354F">
              <w:t>study conclude</w:t>
            </w:r>
            <w:r w:rsidR="00EA0516">
              <w:t>d</w:t>
            </w:r>
            <w:r w:rsidR="0047354F">
              <w:t xml:space="preserve"> weak carcinogenicity </w:t>
            </w:r>
          </w:p>
          <w:p w14:paraId="1CABBD4E" w14:textId="77777777" w:rsidR="00500A41" w:rsidRDefault="004B0C94" w:rsidP="00CD7D3E">
            <w:pPr>
              <w:pStyle w:val="ListBullet"/>
              <w:ind w:left="720"/>
            </w:pPr>
            <w:r>
              <w:t>Negative results in bacterial mutagenicity possibly due to rapid hydrolysis of the substance in the test medium</w:t>
            </w:r>
            <w:r w:rsidR="000A0D8A">
              <w:t>.</w:t>
            </w:r>
          </w:p>
          <w:p w14:paraId="5F7E1DC2" w14:textId="34397E36" w:rsidR="00891E5C" w:rsidRPr="00AF46D0" w:rsidRDefault="00891E5C" w:rsidP="00891E5C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5F7E1DC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7E1DC4" w14:textId="08FA640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306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306FC">
                  <w:t>NA</w:t>
                </w:r>
                <w:proofErr w:type="spellEnd"/>
              </w:sdtContent>
            </w:sdt>
          </w:p>
        </w:tc>
      </w:tr>
      <w:tr w:rsidR="00C978F0" w:rsidRPr="00DA352E" w14:paraId="5F7E1D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7E1DC6" w14:textId="143907CC" w:rsidR="00C978F0" w:rsidRPr="00DA352E" w:rsidRDefault="00A306FC" w:rsidP="003365A5">
            <w:pPr>
              <w:pStyle w:val="Tabletextprimarysource"/>
            </w:pPr>
            <w:r>
              <w:t>No report</w:t>
            </w:r>
            <w:r w:rsidR="0002146A">
              <w:t>.</w:t>
            </w:r>
          </w:p>
        </w:tc>
      </w:tr>
      <w:tr w:rsidR="00DA352E" w:rsidRPr="00DA352E" w14:paraId="5F7E1D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7E1DC8" w14:textId="63BE331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06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306FC">
                  <w:t>NA</w:t>
                </w:r>
                <w:proofErr w:type="spellEnd"/>
              </w:sdtContent>
            </w:sdt>
          </w:p>
        </w:tc>
      </w:tr>
      <w:tr w:rsidR="00DA352E" w:rsidRPr="00DA352E" w14:paraId="5F7E1DC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7E1DCA" w14:textId="3FAE319A" w:rsidR="00DA352E" w:rsidRPr="00DA352E" w:rsidRDefault="00A306FC" w:rsidP="003365A5">
            <w:pPr>
              <w:pStyle w:val="Tabletextprimarysource"/>
            </w:pPr>
            <w:r>
              <w:t>No report</w:t>
            </w:r>
            <w:r w:rsidR="0002146A">
              <w:t>.</w:t>
            </w:r>
          </w:p>
        </w:tc>
      </w:tr>
      <w:tr w:rsidR="00DA352E" w:rsidRPr="00DA352E" w14:paraId="5F7E1D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7E1DCC" w14:textId="202471F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306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306FC">
                  <w:t>NA</w:t>
                </w:r>
                <w:proofErr w:type="spellEnd"/>
              </w:sdtContent>
            </w:sdt>
          </w:p>
        </w:tc>
      </w:tr>
      <w:tr w:rsidR="00DA352E" w:rsidRPr="00DA352E" w14:paraId="5F7E1D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7E1DCE" w14:textId="3AC31BA6" w:rsidR="00DA352E" w:rsidRPr="00DA352E" w:rsidRDefault="00A306FC" w:rsidP="003365A5">
            <w:pPr>
              <w:pStyle w:val="Tabletextprimarysource"/>
            </w:pPr>
            <w:r>
              <w:t>No report</w:t>
            </w:r>
            <w:r w:rsidR="0002146A">
              <w:t>.</w:t>
            </w:r>
          </w:p>
        </w:tc>
      </w:tr>
    </w:tbl>
    <w:p w14:paraId="5F7E1DD0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5F7E1DD5" w14:textId="77777777" w:rsidTr="006314E3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5F7E1DD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F7E1DD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F7E1DD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5F7E1DD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F7E1DE4" w14:textId="77777777" w:rsidTr="006314E3">
        <w:trPr>
          <w:cantSplit/>
        </w:trPr>
        <w:tc>
          <w:tcPr>
            <w:tcW w:w="1492" w:type="dxa"/>
          </w:tcPr>
          <w:p w14:paraId="5F7E1DE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5F7E1DE1" w14:textId="0A56C3BA" w:rsidR="004966BF" w:rsidRPr="00CE617F" w:rsidRDefault="007F2A8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95C2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7E1DE2" w14:textId="627B8C51" w:rsidR="004966BF" w:rsidRPr="004C23F4" w:rsidRDefault="00FA7DF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1" w:type="dxa"/>
          </w:tcPr>
          <w:p w14:paraId="198EBAA8" w14:textId="3DEB1F91" w:rsidR="004966BF" w:rsidRDefault="00437919" w:rsidP="00A44283">
            <w:pPr>
              <w:pStyle w:val="ListBullet"/>
              <w:tabs>
                <w:tab w:val="clear" w:pos="360"/>
                <w:tab w:val="num" w:pos="434"/>
              </w:tabs>
              <w:ind w:left="434"/>
              <w:rPr>
                <w:rStyle w:val="checkbox"/>
                <w:rFonts w:ascii="Arial" w:hAnsi="Arial" w:cs="Arial"/>
              </w:rPr>
            </w:pPr>
            <w:r w:rsidRPr="00437919"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 w:rsidR="00055C2F">
              <w:rPr>
                <w:rStyle w:val="checkbox"/>
                <w:rFonts w:ascii="Arial" w:hAnsi="Arial" w:cs="Arial"/>
              </w:rPr>
              <w:t>252</w:t>
            </w:r>
            <w:r w:rsidR="000A28E1">
              <w:rPr>
                <w:rStyle w:val="checkbox"/>
                <w:rFonts w:ascii="Arial" w:hAnsi="Arial" w:cs="Arial"/>
              </w:rPr>
              <w:t>–</w:t>
            </w:r>
            <w:r w:rsidR="00055C2F">
              <w:rPr>
                <w:rStyle w:val="checkbox"/>
                <w:rFonts w:ascii="Arial" w:hAnsi="Arial" w:cs="Arial"/>
              </w:rPr>
              <w:t>344 ppm (</w:t>
            </w:r>
            <w:r w:rsidRPr="00437919">
              <w:rPr>
                <w:rStyle w:val="checkbox"/>
                <w:rFonts w:ascii="Arial" w:hAnsi="Arial" w:cs="Arial"/>
              </w:rPr>
              <w:t>145</w:t>
            </w:r>
            <w:r w:rsidR="00FA6657">
              <w:rPr>
                <w:rStyle w:val="checkbox"/>
                <w:rFonts w:ascii="Arial" w:hAnsi="Arial" w:cs="Arial"/>
              </w:rPr>
              <w:t>0</w:t>
            </w:r>
            <w:r w:rsidR="000A28E1">
              <w:rPr>
                <w:rStyle w:val="checkbox"/>
                <w:rFonts w:ascii="Arial" w:hAnsi="Arial" w:cs="Arial"/>
              </w:rPr>
              <w:t>–</w:t>
            </w:r>
            <w:r w:rsidRPr="00437919">
              <w:rPr>
                <w:rStyle w:val="checkbox"/>
                <w:rFonts w:ascii="Arial" w:hAnsi="Arial" w:cs="Arial"/>
              </w:rPr>
              <w:t>198</w:t>
            </w:r>
            <w:r w:rsidR="00FA6657">
              <w:rPr>
                <w:rStyle w:val="checkbox"/>
                <w:rFonts w:ascii="Arial" w:hAnsi="Arial" w:cs="Arial"/>
              </w:rPr>
              <w:t>0</w:t>
            </w:r>
            <w:r w:rsidRPr="00437919">
              <w:rPr>
                <w:rStyle w:val="checkbox"/>
                <w:rFonts w:ascii="Arial" w:hAnsi="Arial" w:cs="Arial"/>
              </w:rPr>
              <w:t xml:space="preserve"> mg/</w:t>
            </w:r>
            <w:r w:rsidR="00FA6657">
              <w:rPr>
                <w:rStyle w:val="checkbox"/>
                <w:rFonts w:ascii="Arial" w:hAnsi="Arial" w:cs="Arial"/>
              </w:rPr>
              <w:t>m</w:t>
            </w:r>
            <w:r w:rsidR="00FA665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055C2F">
              <w:rPr>
                <w:rStyle w:val="checkbox"/>
                <w:rFonts w:ascii="Arial" w:hAnsi="Arial" w:cs="Arial"/>
              </w:rPr>
              <w:t>)</w:t>
            </w:r>
            <w:r w:rsidR="00695C2B">
              <w:rPr>
                <w:rStyle w:val="checkbox"/>
                <w:rFonts w:ascii="Arial" w:hAnsi="Arial" w:cs="Arial"/>
              </w:rPr>
              <w:t xml:space="preserve"> (rats, 4 h)</w:t>
            </w:r>
          </w:p>
          <w:p w14:paraId="7654CB2F" w14:textId="77777777" w:rsidR="00995C31" w:rsidRDefault="007548F5" w:rsidP="00A44283">
            <w:pPr>
              <w:pStyle w:val="ListBullet"/>
              <w:tabs>
                <w:tab w:val="clear" w:pos="360"/>
                <w:tab w:val="num" w:pos="434"/>
              </w:tabs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Irritation effects may be caused by local generation of hydrogen chloride upon hydrolysis of the substance</w:t>
            </w:r>
            <w:r w:rsidR="003F5462">
              <w:rPr>
                <w:rStyle w:val="checkbox"/>
                <w:rFonts w:ascii="Arial" w:hAnsi="Arial" w:cs="Arial"/>
              </w:rPr>
              <w:t xml:space="preserve"> in moisture</w:t>
            </w:r>
          </w:p>
          <w:p w14:paraId="5F7E1DE3" w14:textId="48942025" w:rsidR="004B6060" w:rsidRPr="004C23F4" w:rsidRDefault="00D27887" w:rsidP="00A44283">
            <w:pPr>
              <w:pStyle w:val="ListBullet"/>
              <w:tabs>
                <w:tab w:val="clear" w:pos="360"/>
                <w:tab w:val="num" w:pos="434"/>
              </w:tabs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Positive dermal sensitisation result in guinea pig maximisation study</w:t>
            </w:r>
            <w:r w:rsidR="00500A4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F7E1DEE" w14:textId="77777777" w:rsidTr="006314E3">
        <w:trPr>
          <w:cantSplit/>
        </w:trPr>
        <w:tc>
          <w:tcPr>
            <w:tcW w:w="1492" w:type="dxa"/>
          </w:tcPr>
          <w:p w14:paraId="5F7E1DEA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5F7E1DEB" w14:textId="45B34D5D" w:rsidR="004966BF" w:rsidRPr="00CE617F" w:rsidRDefault="007F2A8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27D9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7E1DEC" w14:textId="4D486DD0" w:rsidR="004966BF" w:rsidRPr="004C23F4" w:rsidRDefault="00B27D9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1" w:type="dxa"/>
          </w:tcPr>
          <w:p w14:paraId="5B1020FB" w14:textId="46777440" w:rsidR="004966BF" w:rsidRDefault="00B27D91" w:rsidP="00A44283">
            <w:pPr>
              <w:pStyle w:val="ListBullet"/>
              <w:tabs>
                <w:tab w:val="clear" w:pos="360"/>
                <w:tab w:val="num" w:pos="434"/>
              </w:tabs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="00F526AD" w:rsidRPr="00F526AD">
              <w:rPr>
                <w:rStyle w:val="checkbox"/>
                <w:rFonts w:ascii="Arial" w:hAnsi="Arial" w:cs="Arial"/>
              </w:rPr>
              <w:t xml:space="preserve">imited evidence in humans </w:t>
            </w:r>
            <w:r w:rsidR="005F098F">
              <w:rPr>
                <w:rStyle w:val="checkbox"/>
                <w:rFonts w:ascii="Arial" w:hAnsi="Arial" w:cs="Arial"/>
              </w:rPr>
              <w:t xml:space="preserve">and inadequate evidence </w:t>
            </w:r>
            <w:r w:rsidR="006B4ACF">
              <w:rPr>
                <w:rStyle w:val="checkbox"/>
                <w:rFonts w:ascii="Arial" w:hAnsi="Arial" w:cs="Arial"/>
              </w:rPr>
              <w:t xml:space="preserve">in animals </w:t>
            </w:r>
            <w:r w:rsidR="00F526AD" w:rsidRPr="00F526AD">
              <w:rPr>
                <w:rStyle w:val="checkbox"/>
                <w:rFonts w:ascii="Arial" w:hAnsi="Arial" w:cs="Arial"/>
              </w:rPr>
              <w:t xml:space="preserve">for carcinogenicity </w:t>
            </w:r>
          </w:p>
          <w:p w14:paraId="5F7E1DED" w14:textId="2946F261" w:rsidR="00A271CD" w:rsidRPr="004C23F4" w:rsidRDefault="00E8789F" w:rsidP="00D16F6E">
            <w:pPr>
              <w:pStyle w:val="ListBullet"/>
              <w:tabs>
                <w:tab w:val="clear" w:pos="360"/>
                <w:tab w:val="num" w:pos="434"/>
              </w:tabs>
              <w:ind w:left="434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1139C2" w:rsidRPr="001139C2">
              <w:rPr>
                <w:rStyle w:val="checkbox"/>
                <w:rFonts w:ascii="Arial" w:hAnsi="Arial" w:cs="Arial"/>
              </w:rPr>
              <w:t xml:space="preserve">tudies of exposures to </w:t>
            </w:r>
            <w:r>
              <w:rPr>
                <w:rStyle w:val="checkbox"/>
                <w:rFonts w:ascii="Arial" w:hAnsi="Arial" w:cs="Arial"/>
              </w:rPr>
              <w:t xml:space="preserve">mixtures of </w:t>
            </w:r>
            <w:r w:rsidR="001139C2" w:rsidRPr="001139C2">
              <w:rPr>
                <w:rStyle w:val="checkbox"/>
                <w:rFonts w:ascii="Arial" w:hAnsi="Arial" w:cs="Arial"/>
              </w:rPr>
              <w:t xml:space="preserve">α-chlorinated </w:t>
            </w:r>
            <w:proofErr w:type="spellStart"/>
            <w:r w:rsidR="001139C2" w:rsidRPr="001139C2">
              <w:rPr>
                <w:rStyle w:val="checkbox"/>
                <w:rFonts w:ascii="Arial" w:hAnsi="Arial" w:cs="Arial"/>
              </w:rPr>
              <w:t>toluenes</w:t>
            </w:r>
            <w:proofErr w:type="spellEnd"/>
            <w:r w:rsidR="001139C2" w:rsidRPr="001139C2">
              <w:rPr>
                <w:rStyle w:val="checkbox"/>
                <w:rFonts w:ascii="Arial" w:hAnsi="Arial" w:cs="Arial"/>
              </w:rPr>
              <w:t xml:space="preserve"> and benzoyl</w:t>
            </w:r>
            <w:r w:rsidR="001139C2">
              <w:rPr>
                <w:rStyle w:val="checkbox"/>
                <w:rFonts w:ascii="Arial" w:hAnsi="Arial" w:cs="Arial"/>
              </w:rPr>
              <w:t xml:space="preserve"> </w:t>
            </w:r>
            <w:r w:rsidR="001139C2" w:rsidRPr="001139C2">
              <w:rPr>
                <w:rStyle w:val="checkbox"/>
                <w:rFonts w:ascii="Arial" w:hAnsi="Arial" w:cs="Arial"/>
              </w:rPr>
              <w:t xml:space="preserve">chloride </w:t>
            </w:r>
            <w:r>
              <w:rPr>
                <w:rStyle w:val="checkbox"/>
                <w:rFonts w:ascii="Arial" w:hAnsi="Arial" w:cs="Arial"/>
              </w:rPr>
              <w:t xml:space="preserve">(same as those cited in </w:t>
            </w:r>
            <w:r w:rsidR="00B27D91">
              <w:rPr>
                <w:rStyle w:val="checkbox"/>
                <w:rFonts w:ascii="Arial" w:hAnsi="Arial" w:cs="Arial"/>
              </w:rPr>
              <w:t xml:space="preserve">ACGIH, 2017 and </w:t>
            </w:r>
            <w:r>
              <w:rPr>
                <w:rStyle w:val="checkbox"/>
                <w:rFonts w:ascii="Arial" w:hAnsi="Arial" w:cs="Arial"/>
              </w:rPr>
              <w:t>DFG</w:t>
            </w:r>
            <w:r w:rsidR="00B27D91">
              <w:rPr>
                <w:rStyle w:val="checkbox"/>
                <w:rFonts w:ascii="Arial" w:hAnsi="Arial" w:cs="Arial"/>
              </w:rPr>
              <w:t xml:space="preserve">, 1992) </w:t>
            </w:r>
            <w:r w:rsidR="001139C2" w:rsidRPr="001139C2">
              <w:rPr>
                <w:rStyle w:val="checkbox"/>
                <w:rFonts w:ascii="Arial" w:hAnsi="Arial" w:cs="Arial"/>
              </w:rPr>
              <w:t xml:space="preserve">noted </w:t>
            </w:r>
            <w:r w:rsidR="00D16F6E">
              <w:rPr>
                <w:rStyle w:val="checkbox"/>
                <w:rFonts w:ascii="Arial" w:hAnsi="Arial" w:cs="Arial"/>
              </w:rPr>
              <w:t>a significant</w:t>
            </w:r>
            <w:r w:rsidR="001139C2" w:rsidRPr="001139C2">
              <w:rPr>
                <w:rStyle w:val="checkbox"/>
                <w:rFonts w:ascii="Arial" w:hAnsi="Arial" w:cs="Arial"/>
              </w:rPr>
              <w:t xml:space="preserve"> excess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1139C2" w:rsidRPr="001139C2">
              <w:rPr>
                <w:rStyle w:val="checkbox"/>
                <w:rFonts w:ascii="Arial" w:hAnsi="Arial" w:cs="Arial"/>
              </w:rPr>
              <w:t>of lung cancer</w:t>
            </w:r>
            <w:r w:rsidR="00D16F6E">
              <w:rPr>
                <w:rStyle w:val="checkbox"/>
                <w:rFonts w:ascii="Arial" w:hAnsi="Arial" w:cs="Arial"/>
              </w:rPr>
              <w:t xml:space="preserve"> (approx. 3-fold)</w:t>
            </w:r>
            <w:r w:rsidR="001139C2" w:rsidRPr="001139C2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2"/>
    <w:p w14:paraId="5F7E1E0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F7E1E11" w14:textId="77777777" w:rsidTr="00BD1E4A">
        <w:trPr>
          <w:trHeight w:val="454"/>
          <w:tblHeader/>
        </w:trPr>
        <w:tc>
          <w:tcPr>
            <w:tcW w:w="6597" w:type="dxa"/>
            <w:vAlign w:val="center"/>
          </w:tcPr>
          <w:p w14:paraId="5F7E1E0F" w14:textId="77777777" w:rsidR="002E0D61" w:rsidRDefault="00B1422A" w:rsidP="00EA0516">
            <w:pPr>
              <w:pStyle w:val="Tablefont"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F7E1E10" w14:textId="6FFBC1B7" w:rsidR="002E0D61" w:rsidRDefault="00BD1E4A" w:rsidP="00EA0516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F7E1E14" w14:textId="77777777" w:rsidTr="00BD1E4A">
        <w:trPr>
          <w:trHeight w:val="454"/>
        </w:trPr>
        <w:tc>
          <w:tcPr>
            <w:tcW w:w="6597" w:type="dxa"/>
            <w:vAlign w:val="center"/>
          </w:tcPr>
          <w:p w14:paraId="5F7E1E12" w14:textId="77777777" w:rsidR="008A36CF" w:rsidRDefault="008A36CF" w:rsidP="00EA0516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F7E1E13" w14:textId="73ED3C75" w:rsidR="008A36CF" w:rsidRDefault="00242181" w:rsidP="00EA0516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EA0516" w14:paraId="5F7E1E17" w14:textId="77777777" w:rsidTr="00986A37">
        <w:trPr>
          <w:trHeight w:val="454"/>
        </w:trPr>
        <w:sdt>
          <w:sdtPr>
            <w:rPr>
              <w:b/>
            </w:rPr>
            <w:id w:val="1830936485"/>
            <w:placeholder>
              <w:docPart w:val="B2C40BC5D8114847AD4F432E9581FAD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F7E1E16" w14:textId="4FD79DE2" w:rsidR="00EA0516" w:rsidRDefault="00EA0516" w:rsidP="00EA0516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3"/>
    <w:p w14:paraId="5F7E1E21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F7E1E2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F7E1E22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F7E1E2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F7E1E27" w14:textId="77777777" w:rsidTr="00812887">
        <w:trPr>
          <w:cantSplit/>
        </w:trPr>
        <w:tc>
          <w:tcPr>
            <w:tcW w:w="3227" w:type="dxa"/>
          </w:tcPr>
          <w:p w14:paraId="5F7E1E2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F7E1E26" w14:textId="17F4F4CC" w:rsidR="00687890" w:rsidRPr="00DD2F9B" w:rsidRDefault="00BD1E4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F7E1E2A" w14:textId="77777777" w:rsidTr="00812887">
        <w:trPr>
          <w:cantSplit/>
        </w:trPr>
        <w:tc>
          <w:tcPr>
            <w:tcW w:w="3227" w:type="dxa"/>
          </w:tcPr>
          <w:p w14:paraId="5F7E1E2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F7E1E29" w14:textId="3ACC3940" w:rsidR="007925F0" w:rsidRPr="00DD2F9B" w:rsidRDefault="003421B4" w:rsidP="00DD2F9B">
            <w:pPr>
              <w:pStyle w:val="Tablefont"/>
            </w:pPr>
            <w:r w:rsidRPr="003421B4">
              <w:t>Skin sensitisation – category 1</w:t>
            </w:r>
          </w:p>
        </w:tc>
      </w:tr>
      <w:tr w:rsidR="00AF483F" w:rsidRPr="004C23F4" w14:paraId="5F7E1E2D" w14:textId="77777777" w:rsidTr="00812887">
        <w:trPr>
          <w:cantSplit/>
        </w:trPr>
        <w:tc>
          <w:tcPr>
            <w:tcW w:w="3227" w:type="dxa"/>
          </w:tcPr>
          <w:p w14:paraId="5F7E1E2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F7E1E2C" w14:textId="69B7EE15" w:rsidR="00AF483F" w:rsidRPr="00DD2F9B" w:rsidRDefault="008B78B6" w:rsidP="00DD2F9B">
            <w:pPr>
              <w:pStyle w:val="Tablefont"/>
            </w:pPr>
            <w:r w:rsidRPr="003421B4">
              <w:t>Skin sensitisation – category 1</w:t>
            </w:r>
          </w:p>
        </w:tc>
      </w:tr>
      <w:tr w:rsidR="00687890" w:rsidRPr="004C23F4" w14:paraId="5F7E1E30" w14:textId="77777777" w:rsidTr="00812887">
        <w:trPr>
          <w:cantSplit/>
        </w:trPr>
        <w:tc>
          <w:tcPr>
            <w:tcW w:w="3227" w:type="dxa"/>
          </w:tcPr>
          <w:p w14:paraId="5F7E1E2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F7E1E2F" w14:textId="1C0EE451" w:rsidR="00687890" w:rsidRPr="00DD2F9B" w:rsidRDefault="00585C6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F7E1E33" w14:textId="77777777" w:rsidTr="00812887">
        <w:trPr>
          <w:cantSplit/>
        </w:trPr>
        <w:tc>
          <w:tcPr>
            <w:tcW w:w="3227" w:type="dxa"/>
          </w:tcPr>
          <w:p w14:paraId="5F7E1E3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F7E1E32" w14:textId="73958AE3" w:rsidR="00E41A26" w:rsidRPr="00DD2F9B" w:rsidRDefault="00440CC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F7E1E36" w14:textId="77777777" w:rsidTr="00812887">
        <w:trPr>
          <w:cantSplit/>
        </w:trPr>
        <w:tc>
          <w:tcPr>
            <w:tcW w:w="3227" w:type="dxa"/>
          </w:tcPr>
          <w:p w14:paraId="5F7E1E3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F7E1E35" w14:textId="41009470" w:rsidR="002E0D61" w:rsidRPr="00DD2F9B" w:rsidRDefault="00D46612" w:rsidP="00DD2F9B">
            <w:pPr>
              <w:pStyle w:val="Tablefont"/>
            </w:pPr>
            <w:r>
              <w:t xml:space="preserve">Carcinogenicity – </w:t>
            </w:r>
            <w:r w:rsidR="00140445" w:rsidRPr="00140445">
              <w:t>A</w:t>
            </w:r>
            <w:r w:rsidR="006C2189">
              <w:t>4</w:t>
            </w:r>
          </w:p>
        </w:tc>
      </w:tr>
      <w:tr w:rsidR="002E0D61" w:rsidRPr="004C23F4" w14:paraId="5F7E1E39" w14:textId="77777777" w:rsidTr="00812887">
        <w:trPr>
          <w:cantSplit/>
        </w:trPr>
        <w:tc>
          <w:tcPr>
            <w:tcW w:w="3227" w:type="dxa"/>
          </w:tcPr>
          <w:p w14:paraId="5F7E1E3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F7E1E38" w14:textId="2409A0F4" w:rsidR="002E0D61" w:rsidRPr="00DD2F9B" w:rsidRDefault="00764E49" w:rsidP="00DD2F9B">
            <w:pPr>
              <w:pStyle w:val="Tablefont"/>
            </w:pPr>
            <w:r>
              <w:t>Carcinogenicity – category 3</w:t>
            </w:r>
            <w:r w:rsidR="00A07CE8">
              <w:t>B</w:t>
            </w:r>
          </w:p>
        </w:tc>
      </w:tr>
      <w:tr w:rsidR="002E0D61" w:rsidRPr="004C23F4" w14:paraId="5F7E1E3C" w14:textId="77777777" w:rsidTr="00812887">
        <w:trPr>
          <w:cantSplit/>
        </w:trPr>
        <w:tc>
          <w:tcPr>
            <w:tcW w:w="3227" w:type="dxa"/>
          </w:tcPr>
          <w:p w14:paraId="5F7E1E3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F7E1E3B" w14:textId="3B7893EF" w:rsidR="002E0D61" w:rsidRPr="00DD2F9B" w:rsidRDefault="00D4661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F7E1E3F" w14:textId="77777777" w:rsidTr="00812887">
        <w:trPr>
          <w:cantSplit/>
        </w:trPr>
        <w:tc>
          <w:tcPr>
            <w:tcW w:w="3227" w:type="dxa"/>
          </w:tcPr>
          <w:p w14:paraId="5F7E1E3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F7E1E3E" w14:textId="17E39CB3" w:rsidR="002E0D61" w:rsidRPr="00DD2F9B" w:rsidRDefault="00D4661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7E1E42" w14:textId="77777777" w:rsidTr="00812887">
        <w:trPr>
          <w:cantSplit/>
        </w:trPr>
        <w:tc>
          <w:tcPr>
            <w:tcW w:w="3227" w:type="dxa"/>
          </w:tcPr>
          <w:p w14:paraId="5F7E1E4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F7E1E41" w14:textId="423385F1" w:rsidR="00386093" w:rsidRPr="00DD2F9B" w:rsidRDefault="005A32EB" w:rsidP="00DD2F9B">
            <w:pPr>
              <w:pStyle w:val="Tablefont"/>
            </w:pPr>
            <w:r>
              <w:t>Carcinogenicity – group 2A</w:t>
            </w:r>
          </w:p>
        </w:tc>
      </w:tr>
      <w:tr w:rsidR="00386093" w:rsidRPr="004C23F4" w14:paraId="5F7E1E45" w14:textId="77777777" w:rsidTr="00812887">
        <w:trPr>
          <w:cantSplit/>
        </w:trPr>
        <w:tc>
          <w:tcPr>
            <w:tcW w:w="3227" w:type="dxa"/>
          </w:tcPr>
          <w:p w14:paraId="5F7E1E4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F7E1E44" w14:textId="4D19656B" w:rsidR="00386093" w:rsidRPr="00DD2F9B" w:rsidRDefault="006B4AC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4"/>
    <w:p w14:paraId="5F7E1E4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F7E1E4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F7E1E49" w14:textId="77777777" w:rsidTr="006614E2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F7E1E4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F7E1E4B" w14:textId="77777777" w:rsidTr="006614E2">
        <w:trPr>
          <w:cantSplit/>
          <w:tblHeader/>
        </w:trPr>
        <w:tc>
          <w:tcPr>
            <w:tcW w:w="5000" w:type="pct"/>
            <w:vAlign w:val="center"/>
          </w:tcPr>
          <w:p w14:paraId="5F7E1E4A" w14:textId="0C0DD1E4" w:rsidR="00932DCE" w:rsidRPr="004C23F4" w:rsidRDefault="00101562" w:rsidP="00F9496B">
            <w:pPr>
              <w:pStyle w:val="Tablefont"/>
            </w:pPr>
            <w:r>
              <w:t>Insufficient data to assign a</w:t>
            </w:r>
            <w:r w:rsidR="000A0D8A">
              <w:t xml:space="preserve"> skin notation </w:t>
            </w:r>
          </w:p>
        </w:tc>
      </w:tr>
    </w:tbl>
    <w:bookmarkEnd w:id="5"/>
    <w:p w14:paraId="5F7E1E4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F7E1E4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F7E1E4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F7E1E4E" w14:textId="30C9B160" w:rsidR="00EB3D1B" w:rsidRDefault="00585C6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F7E1E5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F7E1E5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7E1E5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F7E1E52" w14:textId="61BCF180" w:rsidR="001B79E5" w:rsidRDefault="006A2D0A" w:rsidP="001B79E5">
                <w:pPr>
                  <w:pStyle w:val="Tablefont"/>
                </w:pPr>
                <w:r w:rsidRPr="006A2D0A">
                  <w:t>140.57</w:t>
                </w:r>
              </w:p>
            </w:tc>
          </w:sdtContent>
        </w:sdt>
      </w:tr>
      <w:tr w:rsidR="00A31D99" w:rsidRPr="004C23F4" w14:paraId="5F7E1E5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7E1E5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5F7E1E5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F7E1E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7E1E5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7E1E5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7E1E5C" w14:textId="77777777" w:rsidTr="00EA6243">
        <w:trPr>
          <w:cantSplit/>
        </w:trPr>
        <w:tc>
          <w:tcPr>
            <w:tcW w:w="4077" w:type="dxa"/>
            <w:vAlign w:val="center"/>
          </w:tcPr>
          <w:p w14:paraId="5F7E1E5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7E1E5B" w14:textId="3F440EA6" w:rsidR="00687890" w:rsidRPr="004C23F4" w:rsidRDefault="00D34BA1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7E1E5F" w14:textId="77777777" w:rsidTr="00EA6243">
        <w:trPr>
          <w:cantSplit/>
        </w:trPr>
        <w:tc>
          <w:tcPr>
            <w:tcW w:w="4077" w:type="dxa"/>
            <w:vAlign w:val="center"/>
          </w:tcPr>
          <w:p w14:paraId="5F7E1E5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7E1E5E" w14:textId="248D681A" w:rsidR="00687890" w:rsidRPr="004C23F4" w:rsidRDefault="00D34BA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F7E1E62" w14:textId="77777777" w:rsidTr="00EA6243">
        <w:trPr>
          <w:cantSplit/>
        </w:trPr>
        <w:tc>
          <w:tcPr>
            <w:tcW w:w="4077" w:type="dxa"/>
            <w:vAlign w:val="center"/>
          </w:tcPr>
          <w:p w14:paraId="5F7E1E6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7E1E61" w14:textId="77777777" w:rsidR="00E06F40" w:rsidRPr="00A006A0" w:rsidRDefault="007F2A8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7E1E6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F7E1E6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F7E1E6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F7E1E6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F7E1E6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F7E1E6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F7E1E6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5F7E1E6A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5F7E1E6B" w14:textId="3B57B44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F92207C" w14:textId="77777777" w:rsidR="00E67269" w:rsidRDefault="00E67269" w:rsidP="00E6726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(1992) </w:t>
      </w:r>
      <w:r w:rsidRPr="00C91B7E">
        <w:t xml:space="preserve">α-Chlorinated </w:t>
      </w:r>
      <w:proofErr w:type="spellStart"/>
      <w:r w:rsidRPr="00C91B7E">
        <w:t>Toluenes</w:t>
      </w:r>
      <w:proofErr w:type="spellEnd"/>
      <w:r>
        <w:t xml:space="preserve"> – MAK value documentation.</w:t>
      </w:r>
    </w:p>
    <w:p w14:paraId="5A54DF0F" w14:textId="5446310C" w:rsidR="00C97DE7" w:rsidRDefault="00C97DE7" w:rsidP="00C97DE7">
      <w:r w:rsidRPr="00D93E3A">
        <w:t>National Industrial Chemicals Notification and Assessment Scheme (NICNAS) (201</w:t>
      </w:r>
      <w:r>
        <w:t>3</w:t>
      </w:r>
      <w:r w:rsidRPr="00D93E3A">
        <w:t xml:space="preserve">) </w:t>
      </w:r>
      <w:r w:rsidR="00B01BA2" w:rsidRPr="00B01BA2">
        <w:t>Benzoyl chloride</w:t>
      </w:r>
      <w:r w:rsidRPr="00D93E3A">
        <w:t>: Human health tier II assessment – IMAP report.</w:t>
      </w:r>
    </w:p>
    <w:p w14:paraId="3BFC29BC" w14:textId="5D05B8AF" w:rsidR="00101562" w:rsidRDefault="00101562" w:rsidP="00101562">
      <w:r w:rsidRPr="00101562">
        <w:t xml:space="preserve">International Agency for Research on Cancer (IARC) (1999) alpha-chlorinated </w:t>
      </w:r>
      <w:proofErr w:type="spellStart"/>
      <w:r w:rsidRPr="00101562">
        <w:t>toluenes</w:t>
      </w:r>
      <w:proofErr w:type="spellEnd"/>
      <w:r w:rsidRPr="00101562">
        <w:t xml:space="preserve"> and benzoyl chloride</w:t>
      </w:r>
      <w:r w:rsidRPr="00101562">
        <w:rPr>
          <w:shd w:val="clear" w:color="auto" w:fill="FFFFFF" w:themeFill="background1"/>
        </w:rPr>
        <w:t>. IARC Monographs on the evaluation of the carcinogenic risk to humans</w:t>
      </w:r>
      <w:r w:rsidR="00242181">
        <w:rPr>
          <w:shd w:val="clear" w:color="auto" w:fill="FFFFFF" w:themeFill="background1"/>
        </w:rPr>
        <w:t>.</w:t>
      </w:r>
      <w:r w:rsidRPr="00101562">
        <w:rPr>
          <w:shd w:val="clear" w:color="auto" w:fill="FFFFFF" w:themeFill="background1"/>
        </w:rPr>
        <w:t xml:space="preserve"> </w:t>
      </w:r>
      <w:r w:rsidR="00242181">
        <w:rPr>
          <w:shd w:val="clear" w:color="auto" w:fill="FFFFFF" w:themeFill="background1"/>
        </w:rPr>
        <w:t>V</w:t>
      </w:r>
      <w:r w:rsidR="00242181" w:rsidRPr="00101562">
        <w:rPr>
          <w:shd w:val="clear" w:color="auto" w:fill="FFFFFF" w:themeFill="background1"/>
        </w:rPr>
        <w:t>olume</w:t>
      </w:r>
      <w:r w:rsidR="00242181" w:rsidRPr="00101562">
        <w:t xml:space="preserve"> </w:t>
      </w:r>
      <w:r w:rsidRPr="00101562">
        <w:t>71.</w:t>
      </w:r>
    </w:p>
    <w:p w14:paraId="4ADF8DA4" w14:textId="6D341A28" w:rsidR="00101562" w:rsidRPr="00351FE0" w:rsidRDefault="00101562" w:rsidP="00084859"/>
    <w:sectPr w:rsidR="0010156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038442" w16cid:durableId="20E425AE"/>
  <w16cid:commentId w16cid:paraId="6205F36B" w16cid:durableId="20E42473"/>
  <w16cid:commentId w16cid:paraId="4579B665" w16cid:durableId="20E4267B"/>
  <w16cid:commentId w16cid:paraId="108CC598" w16cid:durableId="20E4262F"/>
  <w16cid:commentId w16cid:paraId="3A2183B6" w16cid:durableId="20E42726"/>
  <w16cid:commentId w16cid:paraId="0BBE91C5" w16cid:durableId="20E427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B79E9" w14:textId="77777777" w:rsidR="002E746A" w:rsidRDefault="002E746A" w:rsidP="00F43AD5">
      <w:pPr>
        <w:spacing w:after="0" w:line="240" w:lineRule="auto"/>
      </w:pPr>
      <w:r>
        <w:separator/>
      </w:r>
    </w:p>
  </w:endnote>
  <w:endnote w:type="continuationSeparator" w:id="0">
    <w:p w14:paraId="5FF04CF9" w14:textId="77777777" w:rsidR="002E746A" w:rsidRDefault="002E746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F7E1E71" w14:textId="7DFADF7A" w:rsidR="008A36CF" w:rsidRDefault="0014044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Benz</w:t>
        </w:r>
        <w:r w:rsidR="006A2D0A">
          <w:rPr>
            <w:b/>
            <w:sz w:val="18"/>
            <w:szCs w:val="18"/>
          </w:rPr>
          <w:t>o</w:t>
        </w:r>
        <w:r>
          <w:rPr>
            <w:b/>
            <w:sz w:val="18"/>
            <w:szCs w:val="18"/>
          </w:rPr>
          <w:t>yl chloride</w:t>
        </w:r>
        <w:r w:rsidR="008A36CF">
          <w:rPr>
            <w:b/>
            <w:sz w:val="18"/>
            <w:szCs w:val="18"/>
          </w:rPr>
          <w:t xml:space="preserve"> (</w:t>
        </w:r>
        <w:r w:rsidR="006A2D0A">
          <w:rPr>
            <w:b/>
            <w:sz w:val="18"/>
            <w:szCs w:val="18"/>
          </w:rPr>
          <w:t>98</w:t>
        </w:r>
        <w:r w:rsidR="00DE1C09">
          <w:rPr>
            <w:b/>
            <w:sz w:val="18"/>
            <w:szCs w:val="18"/>
          </w:rPr>
          <w:t>-88-4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F7E1E72" w14:textId="39684B4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F2A8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4CB40" w14:textId="77777777" w:rsidR="002E746A" w:rsidRDefault="002E746A" w:rsidP="00F43AD5">
      <w:pPr>
        <w:spacing w:after="0" w:line="240" w:lineRule="auto"/>
      </w:pPr>
      <w:r>
        <w:separator/>
      </w:r>
    </w:p>
  </w:footnote>
  <w:footnote w:type="continuationSeparator" w:id="0">
    <w:p w14:paraId="40BFFA7E" w14:textId="77777777" w:rsidR="002E746A" w:rsidRDefault="002E746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1E70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F7E1E74" wp14:editId="5F7E1E7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1E7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CAB4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37D7A"/>
    <w:multiLevelType w:val="hybridMultilevel"/>
    <w:tmpl w:val="F63617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17082A"/>
    <w:multiLevelType w:val="hybridMultilevel"/>
    <w:tmpl w:val="A70CE2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90928"/>
    <w:multiLevelType w:val="hybridMultilevel"/>
    <w:tmpl w:val="0120909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DE128E"/>
    <w:multiLevelType w:val="hybridMultilevel"/>
    <w:tmpl w:val="F544B3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A3840"/>
    <w:multiLevelType w:val="hybridMultilevel"/>
    <w:tmpl w:val="4476D0B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E339EF"/>
    <w:multiLevelType w:val="hybridMultilevel"/>
    <w:tmpl w:val="99B06B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C18F4"/>
    <w:multiLevelType w:val="hybridMultilevel"/>
    <w:tmpl w:val="DF485C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95E4077"/>
    <w:multiLevelType w:val="hybridMultilevel"/>
    <w:tmpl w:val="98A6A7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57F4A"/>
    <w:multiLevelType w:val="hybridMultilevel"/>
    <w:tmpl w:val="1456A2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087D35"/>
    <w:multiLevelType w:val="hybridMultilevel"/>
    <w:tmpl w:val="531262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1"/>
  </w:num>
  <w:num w:numId="11">
    <w:abstractNumId w:val="5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2906"/>
    <w:rsid w:val="00003251"/>
    <w:rsid w:val="00004F1A"/>
    <w:rsid w:val="00007B80"/>
    <w:rsid w:val="00013A22"/>
    <w:rsid w:val="00014C3F"/>
    <w:rsid w:val="00017C82"/>
    <w:rsid w:val="0002146A"/>
    <w:rsid w:val="00025AA0"/>
    <w:rsid w:val="00026BC8"/>
    <w:rsid w:val="00027F78"/>
    <w:rsid w:val="00032B88"/>
    <w:rsid w:val="00034D76"/>
    <w:rsid w:val="00037E82"/>
    <w:rsid w:val="00040268"/>
    <w:rsid w:val="00042398"/>
    <w:rsid w:val="00046DF5"/>
    <w:rsid w:val="00052060"/>
    <w:rsid w:val="0005574A"/>
    <w:rsid w:val="00055C2F"/>
    <w:rsid w:val="00055FE1"/>
    <w:rsid w:val="00056EC2"/>
    <w:rsid w:val="000578FF"/>
    <w:rsid w:val="00060B48"/>
    <w:rsid w:val="0006457C"/>
    <w:rsid w:val="00067F32"/>
    <w:rsid w:val="00071807"/>
    <w:rsid w:val="000803E1"/>
    <w:rsid w:val="00084513"/>
    <w:rsid w:val="00084859"/>
    <w:rsid w:val="000917FC"/>
    <w:rsid w:val="00092D94"/>
    <w:rsid w:val="00095272"/>
    <w:rsid w:val="000A0D8A"/>
    <w:rsid w:val="000A28E1"/>
    <w:rsid w:val="000B021C"/>
    <w:rsid w:val="000B05DB"/>
    <w:rsid w:val="000B0868"/>
    <w:rsid w:val="000B3E12"/>
    <w:rsid w:val="000B3E78"/>
    <w:rsid w:val="000B7B48"/>
    <w:rsid w:val="000C096D"/>
    <w:rsid w:val="000C139A"/>
    <w:rsid w:val="000C2053"/>
    <w:rsid w:val="000C20F6"/>
    <w:rsid w:val="000C248C"/>
    <w:rsid w:val="000D291C"/>
    <w:rsid w:val="000D401A"/>
    <w:rsid w:val="000E5A54"/>
    <w:rsid w:val="000E63D3"/>
    <w:rsid w:val="000E67CF"/>
    <w:rsid w:val="000E7201"/>
    <w:rsid w:val="00100EA6"/>
    <w:rsid w:val="00101562"/>
    <w:rsid w:val="00101CD8"/>
    <w:rsid w:val="0010461E"/>
    <w:rsid w:val="00106826"/>
    <w:rsid w:val="00106FAA"/>
    <w:rsid w:val="001078A9"/>
    <w:rsid w:val="00113443"/>
    <w:rsid w:val="001139C2"/>
    <w:rsid w:val="00115ED6"/>
    <w:rsid w:val="00125ADA"/>
    <w:rsid w:val="001269A7"/>
    <w:rsid w:val="00131092"/>
    <w:rsid w:val="00140445"/>
    <w:rsid w:val="00140E6A"/>
    <w:rsid w:val="00146545"/>
    <w:rsid w:val="00146B75"/>
    <w:rsid w:val="0015227A"/>
    <w:rsid w:val="0015266D"/>
    <w:rsid w:val="0015288A"/>
    <w:rsid w:val="00160F47"/>
    <w:rsid w:val="001612FD"/>
    <w:rsid w:val="001767CB"/>
    <w:rsid w:val="00177997"/>
    <w:rsid w:val="00177CA1"/>
    <w:rsid w:val="00177E6B"/>
    <w:rsid w:val="00182DE3"/>
    <w:rsid w:val="00183823"/>
    <w:rsid w:val="00183942"/>
    <w:rsid w:val="00184A6B"/>
    <w:rsid w:val="00190133"/>
    <w:rsid w:val="001A009E"/>
    <w:rsid w:val="001A1287"/>
    <w:rsid w:val="001A3859"/>
    <w:rsid w:val="001A3C9D"/>
    <w:rsid w:val="001A43F8"/>
    <w:rsid w:val="001B79E5"/>
    <w:rsid w:val="001C19FA"/>
    <w:rsid w:val="001C24CC"/>
    <w:rsid w:val="001D56F0"/>
    <w:rsid w:val="001D663B"/>
    <w:rsid w:val="001D7B41"/>
    <w:rsid w:val="001E46DA"/>
    <w:rsid w:val="001E7D80"/>
    <w:rsid w:val="001F4B6C"/>
    <w:rsid w:val="001F550C"/>
    <w:rsid w:val="001F62CB"/>
    <w:rsid w:val="001F6ED0"/>
    <w:rsid w:val="001F72E6"/>
    <w:rsid w:val="001F73C5"/>
    <w:rsid w:val="002046A6"/>
    <w:rsid w:val="00204956"/>
    <w:rsid w:val="002070B2"/>
    <w:rsid w:val="00213640"/>
    <w:rsid w:val="002164DC"/>
    <w:rsid w:val="00220CF3"/>
    <w:rsid w:val="00221212"/>
    <w:rsid w:val="00221547"/>
    <w:rsid w:val="002216FC"/>
    <w:rsid w:val="00222533"/>
    <w:rsid w:val="00222F30"/>
    <w:rsid w:val="00224EE2"/>
    <w:rsid w:val="0022792B"/>
    <w:rsid w:val="00227EC7"/>
    <w:rsid w:val="00227F85"/>
    <w:rsid w:val="00242181"/>
    <w:rsid w:val="00244AD1"/>
    <w:rsid w:val="002463BC"/>
    <w:rsid w:val="002465CE"/>
    <w:rsid w:val="00246DE5"/>
    <w:rsid w:val="002516D0"/>
    <w:rsid w:val="0025734A"/>
    <w:rsid w:val="00260A0B"/>
    <w:rsid w:val="0026219E"/>
    <w:rsid w:val="00263255"/>
    <w:rsid w:val="00276494"/>
    <w:rsid w:val="00277B0C"/>
    <w:rsid w:val="0028633E"/>
    <w:rsid w:val="00290E43"/>
    <w:rsid w:val="0029326B"/>
    <w:rsid w:val="002B02F2"/>
    <w:rsid w:val="002B0FBC"/>
    <w:rsid w:val="002B1A2C"/>
    <w:rsid w:val="002B7D41"/>
    <w:rsid w:val="002C34F2"/>
    <w:rsid w:val="002C58FF"/>
    <w:rsid w:val="002C5BD3"/>
    <w:rsid w:val="002C7AFE"/>
    <w:rsid w:val="002D05D2"/>
    <w:rsid w:val="002D1C3F"/>
    <w:rsid w:val="002D2AA8"/>
    <w:rsid w:val="002D39C2"/>
    <w:rsid w:val="002E0D61"/>
    <w:rsid w:val="002E4C7B"/>
    <w:rsid w:val="002E6980"/>
    <w:rsid w:val="002E746A"/>
    <w:rsid w:val="002F06FC"/>
    <w:rsid w:val="003047E0"/>
    <w:rsid w:val="0030740C"/>
    <w:rsid w:val="00315833"/>
    <w:rsid w:val="003215EE"/>
    <w:rsid w:val="003224BF"/>
    <w:rsid w:val="003241A8"/>
    <w:rsid w:val="003241E8"/>
    <w:rsid w:val="003253F0"/>
    <w:rsid w:val="003337DA"/>
    <w:rsid w:val="00334EFB"/>
    <w:rsid w:val="003359FF"/>
    <w:rsid w:val="00335CDE"/>
    <w:rsid w:val="003365A5"/>
    <w:rsid w:val="003404E4"/>
    <w:rsid w:val="00340985"/>
    <w:rsid w:val="00341933"/>
    <w:rsid w:val="003421B4"/>
    <w:rsid w:val="00347192"/>
    <w:rsid w:val="0034744C"/>
    <w:rsid w:val="00351C06"/>
    <w:rsid w:val="00351FE0"/>
    <w:rsid w:val="00352615"/>
    <w:rsid w:val="0035412B"/>
    <w:rsid w:val="003567A8"/>
    <w:rsid w:val="00356DFC"/>
    <w:rsid w:val="00360275"/>
    <w:rsid w:val="00362895"/>
    <w:rsid w:val="00370DBF"/>
    <w:rsid w:val="00386093"/>
    <w:rsid w:val="003904A4"/>
    <w:rsid w:val="00391841"/>
    <w:rsid w:val="00391B6D"/>
    <w:rsid w:val="00392A48"/>
    <w:rsid w:val="00394922"/>
    <w:rsid w:val="003A0E32"/>
    <w:rsid w:val="003A2B94"/>
    <w:rsid w:val="003A3830"/>
    <w:rsid w:val="003A468C"/>
    <w:rsid w:val="003B387D"/>
    <w:rsid w:val="003C0C11"/>
    <w:rsid w:val="003C0D58"/>
    <w:rsid w:val="003C4EE6"/>
    <w:rsid w:val="003C77C2"/>
    <w:rsid w:val="003D4FA3"/>
    <w:rsid w:val="003D7D5B"/>
    <w:rsid w:val="003E0807"/>
    <w:rsid w:val="003E086A"/>
    <w:rsid w:val="003E2358"/>
    <w:rsid w:val="003E3976"/>
    <w:rsid w:val="003E51FB"/>
    <w:rsid w:val="003E6B39"/>
    <w:rsid w:val="003F07E1"/>
    <w:rsid w:val="003F5462"/>
    <w:rsid w:val="003F5D5D"/>
    <w:rsid w:val="004030BC"/>
    <w:rsid w:val="00403F7D"/>
    <w:rsid w:val="00406785"/>
    <w:rsid w:val="004079B4"/>
    <w:rsid w:val="00417A56"/>
    <w:rsid w:val="004202A8"/>
    <w:rsid w:val="0042060A"/>
    <w:rsid w:val="00420957"/>
    <w:rsid w:val="00422A10"/>
    <w:rsid w:val="00423418"/>
    <w:rsid w:val="0042384A"/>
    <w:rsid w:val="00430179"/>
    <w:rsid w:val="00436315"/>
    <w:rsid w:val="00437919"/>
    <w:rsid w:val="00440CCD"/>
    <w:rsid w:val="004414B5"/>
    <w:rsid w:val="00444482"/>
    <w:rsid w:val="00444B42"/>
    <w:rsid w:val="00445E44"/>
    <w:rsid w:val="004509E2"/>
    <w:rsid w:val="004515EE"/>
    <w:rsid w:val="00451C48"/>
    <w:rsid w:val="004529F0"/>
    <w:rsid w:val="00460A03"/>
    <w:rsid w:val="00462E02"/>
    <w:rsid w:val="004723FB"/>
    <w:rsid w:val="00472A08"/>
    <w:rsid w:val="00472A11"/>
    <w:rsid w:val="00472AAD"/>
    <w:rsid w:val="0047354F"/>
    <w:rsid w:val="00474E33"/>
    <w:rsid w:val="00476803"/>
    <w:rsid w:val="0048030C"/>
    <w:rsid w:val="0048576E"/>
    <w:rsid w:val="00485BFD"/>
    <w:rsid w:val="004867A2"/>
    <w:rsid w:val="004873F2"/>
    <w:rsid w:val="00490D4C"/>
    <w:rsid w:val="00493A35"/>
    <w:rsid w:val="0049527A"/>
    <w:rsid w:val="004966BF"/>
    <w:rsid w:val="00497984"/>
    <w:rsid w:val="004A4FEE"/>
    <w:rsid w:val="004A5088"/>
    <w:rsid w:val="004A68A0"/>
    <w:rsid w:val="004A6DBF"/>
    <w:rsid w:val="004B0C94"/>
    <w:rsid w:val="004B6060"/>
    <w:rsid w:val="004C0CAD"/>
    <w:rsid w:val="004C1E3F"/>
    <w:rsid w:val="004C23F4"/>
    <w:rsid w:val="004C3475"/>
    <w:rsid w:val="004C58B6"/>
    <w:rsid w:val="004D16A3"/>
    <w:rsid w:val="004D28F7"/>
    <w:rsid w:val="004D4AA1"/>
    <w:rsid w:val="004D6D68"/>
    <w:rsid w:val="004E5EDD"/>
    <w:rsid w:val="004F448A"/>
    <w:rsid w:val="004F493D"/>
    <w:rsid w:val="004F5D24"/>
    <w:rsid w:val="004F65E8"/>
    <w:rsid w:val="0050005E"/>
    <w:rsid w:val="00500A41"/>
    <w:rsid w:val="00502B88"/>
    <w:rsid w:val="005057C1"/>
    <w:rsid w:val="005142C4"/>
    <w:rsid w:val="0051509C"/>
    <w:rsid w:val="00527039"/>
    <w:rsid w:val="005272E2"/>
    <w:rsid w:val="005278CE"/>
    <w:rsid w:val="0053108F"/>
    <w:rsid w:val="00532B56"/>
    <w:rsid w:val="00534240"/>
    <w:rsid w:val="00534B10"/>
    <w:rsid w:val="005351DE"/>
    <w:rsid w:val="005446A2"/>
    <w:rsid w:val="00544D2F"/>
    <w:rsid w:val="00550210"/>
    <w:rsid w:val="00551BD8"/>
    <w:rsid w:val="00553F08"/>
    <w:rsid w:val="0056493C"/>
    <w:rsid w:val="00581055"/>
    <w:rsid w:val="00585C62"/>
    <w:rsid w:val="005913F6"/>
    <w:rsid w:val="00591E38"/>
    <w:rsid w:val="00594391"/>
    <w:rsid w:val="005A0835"/>
    <w:rsid w:val="005A19C5"/>
    <w:rsid w:val="005A3034"/>
    <w:rsid w:val="005A32EB"/>
    <w:rsid w:val="005A462D"/>
    <w:rsid w:val="005B1281"/>
    <w:rsid w:val="005B253B"/>
    <w:rsid w:val="005B771D"/>
    <w:rsid w:val="005C5D16"/>
    <w:rsid w:val="005D3193"/>
    <w:rsid w:val="005D4A6E"/>
    <w:rsid w:val="005E6979"/>
    <w:rsid w:val="005E75CB"/>
    <w:rsid w:val="005F098F"/>
    <w:rsid w:val="006013C1"/>
    <w:rsid w:val="006065A0"/>
    <w:rsid w:val="0060669E"/>
    <w:rsid w:val="00610F2E"/>
    <w:rsid w:val="00611399"/>
    <w:rsid w:val="0061670D"/>
    <w:rsid w:val="006208DA"/>
    <w:rsid w:val="00624C4E"/>
    <w:rsid w:val="00625200"/>
    <w:rsid w:val="006314E3"/>
    <w:rsid w:val="00636230"/>
    <w:rsid w:val="006363A8"/>
    <w:rsid w:val="00636DB7"/>
    <w:rsid w:val="00641F56"/>
    <w:rsid w:val="00650553"/>
    <w:rsid w:val="00650905"/>
    <w:rsid w:val="006532ED"/>
    <w:rsid w:val="006549F2"/>
    <w:rsid w:val="006567B7"/>
    <w:rsid w:val="00657BFB"/>
    <w:rsid w:val="006614E2"/>
    <w:rsid w:val="0066333C"/>
    <w:rsid w:val="006639B4"/>
    <w:rsid w:val="006650FE"/>
    <w:rsid w:val="0067305D"/>
    <w:rsid w:val="006750C9"/>
    <w:rsid w:val="00676B39"/>
    <w:rsid w:val="00677D9B"/>
    <w:rsid w:val="00683061"/>
    <w:rsid w:val="006867F3"/>
    <w:rsid w:val="00687890"/>
    <w:rsid w:val="006901A2"/>
    <w:rsid w:val="00690368"/>
    <w:rsid w:val="0069079C"/>
    <w:rsid w:val="00690B53"/>
    <w:rsid w:val="00690E53"/>
    <w:rsid w:val="0069487E"/>
    <w:rsid w:val="00695B72"/>
    <w:rsid w:val="00695C2B"/>
    <w:rsid w:val="006A0BC3"/>
    <w:rsid w:val="006A2D0A"/>
    <w:rsid w:val="006A4034"/>
    <w:rsid w:val="006A57EA"/>
    <w:rsid w:val="006B10B5"/>
    <w:rsid w:val="006B160A"/>
    <w:rsid w:val="006B4ACF"/>
    <w:rsid w:val="006B4E6C"/>
    <w:rsid w:val="006B4EB9"/>
    <w:rsid w:val="006B50B6"/>
    <w:rsid w:val="006C0250"/>
    <w:rsid w:val="006C123E"/>
    <w:rsid w:val="006C2189"/>
    <w:rsid w:val="006D2358"/>
    <w:rsid w:val="006D79EA"/>
    <w:rsid w:val="006E5D05"/>
    <w:rsid w:val="006F33D4"/>
    <w:rsid w:val="006F3C81"/>
    <w:rsid w:val="006F55D4"/>
    <w:rsid w:val="00701053"/>
    <w:rsid w:val="00701507"/>
    <w:rsid w:val="0070228C"/>
    <w:rsid w:val="00705279"/>
    <w:rsid w:val="0071118D"/>
    <w:rsid w:val="00714021"/>
    <w:rsid w:val="00716A0F"/>
    <w:rsid w:val="00717D45"/>
    <w:rsid w:val="007208F7"/>
    <w:rsid w:val="007218AF"/>
    <w:rsid w:val="007264F9"/>
    <w:rsid w:val="00732E6B"/>
    <w:rsid w:val="007365D1"/>
    <w:rsid w:val="00740E0E"/>
    <w:rsid w:val="00750212"/>
    <w:rsid w:val="0075403A"/>
    <w:rsid w:val="00754779"/>
    <w:rsid w:val="007548F5"/>
    <w:rsid w:val="0075716D"/>
    <w:rsid w:val="00764E49"/>
    <w:rsid w:val="00765BCF"/>
    <w:rsid w:val="00765F14"/>
    <w:rsid w:val="00767A68"/>
    <w:rsid w:val="00770E31"/>
    <w:rsid w:val="00772D2C"/>
    <w:rsid w:val="007770F1"/>
    <w:rsid w:val="0078296C"/>
    <w:rsid w:val="00783FB1"/>
    <w:rsid w:val="00784255"/>
    <w:rsid w:val="00785CC3"/>
    <w:rsid w:val="00785CDD"/>
    <w:rsid w:val="00791847"/>
    <w:rsid w:val="007925F0"/>
    <w:rsid w:val="007939B3"/>
    <w:rsid w:val="0079438D"/>
    <w:rsid w:val="0079509C"/>
    <w:rsid w:val="00796708"/>
    <w:rsid w:val="007A7235"/>
    <w:rsid w:val="007A74F1"/>
    <w:rsid w:val="007B1B42"/>
    <w:rsid w:val="007B4A4B"/>
    <w:rsid w:val="007C1B98"/>
    <w:rsid w:val="007C30EB"/>
    <w:rsid w:val="007C435C"/>
    <w:rsid w:val="007C4F38"/>
    <w:rsid w:val="007C59FC"/>
    <w:rsid w:val="007D1B42"/>
    <w:rsid w:val="007E063C"/>
    <w:rsid w:val="007E084E"/>
    <w:rsid w:val="007E2A4B"/>
    <w:rsid w:val="007E307D"/>
    <w:rsid w:val="007E408A"/>
    <w:rsid w:val="007E6A4E"/>
    <w:rsid w:val="007E6C94"/>
    <w:rsid w:val="007F1005"/>
    <w:rsid w:val="007F25E0"/>
    <w:rsid w:val="007F2A8A"/>
    <w:rsid w:val="007F5328"/>
    <w:rsid w:val="008002B1"/>
    <w:rsid w:val="008044FA"/>
    <w:rsid w:val="00804F5A"/>
    <w:rsid w:val="00810C6D"/>
    <w:rsid w:val="00812887"/>
    <w:rsid w:val="00812C4F"/>
    <w:rsid w:val="008130B9"/>
    <w:rsid w:val="00820FDC"/>
    <w:rsid w:val="00826F21"/>
    <w:rsid w:val="00830EE9"/>
    <w:rsid w:val="00834CC8"/>
    <w:rsid w:val="00835E00"/>
    <w:rsid w:val="00837113"/>
    <w:rsid w:val="008414E4"/>
    <w:rsid w:val="00841DFF"/>
    <w:rsid w:val="00843E21"/>
    <w:rsid w:val="0084508E"/>
    <w:rsid w:val="00845DF8"/>
    <w:rsid w:val="00846F76"/>
    <w:rsid w:val="008473C4"/>
    <w:rsid w:val="00851F95"/>
    <w:rsid w:val="00857A8A"/>
    <w:rsid w:val="008630EE"/>
    <w:rsid w:val="00864D13"/>
    <w:rsid w:val="008678A1"/>
    <w:rsid w:val="00871CD5"/>
    <w:rsid w:val="00873207"/>
    <w:rsid w:val="008745A2"/>
    <w:rsid w:val="008768A8"/>
    <w:rsid w:val="00883B3C"/>
    <w:rsid w:val="0088798F"/>
    <w:rsid w:val="00887E4B"/>
    <w:rsid w:val="008915C8"/>
    <w:rsid w:val="00891E5C"/>
    <w:rsid w:val="008934C5"/>
    <w:rsid w:val="008959B3"/>
    <w:rsid w:val="008A2289"/>
    <w:rsid w:val="008A36CF"/>
    <w:rsid w:val="008A3BC4"/>
    <w:rsid w:val="008B403C"/>
    <w:rsid w:val="008B78B6"/>
    <w:rsid w:val="008B7983"/>
    <w:rsid w:val="008B7C0A"/>
    <w:rsid w:val="008C2511"/>
    <w:rsid w:val="008D026D"/>
    <w:rsid w:val="008D1370"/>
    <w:rsid w:val="008D23AB"/>
    <w:rsid w:val="008D4B8B"/>
    <w:rsid w:val="008D5A78"/>
    <w:rsid w:val="008E1E93"/>
    <w:rsid w:val="008E43E6"/>
    <w:rsid w:val="008E7B64"/>
    <w:rsid w:val="008F5DCD"/>
    <w:rsid w:val="00900951"/>
    <w:rsid w:val="00904970"/>
    <w:rsid w:val="009118A6"/>
    <w:rsid w:val="00915CE2"/>
    <w:rsid w:val="00916909"/>
    <w:rsid w:val="00916EC0"/>
    <w:rsid w:val="00920467"/>
    <w:rsid w:val="00921DE7"/>
    <w:rsid w:val="0093041A"/>
    <w:rsid w:val="00930714"/>
    <w:rsid w:val="00931761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69B9"/>
    <w:rsid w:val="009578DD"/>
    <w:rsid w:val="009606D6"/>
    <w:rsid w:val="00961124"/>
    <w:rsid w:val="009621B6"/>
    <w:rsid w:val="009733A0"/>
    <w:rsid w:val="00974F2D"/>
    <w:rsid w:val="00977524"/>
    <w:rsid w:val="00977E88"/>
    <w:rsid w:val="009841B9"/>
    <w:rsid w:val="00984920"/>
    <w:rsid w:val="00985033"/>
    <w:rsid w:val="0099303A"/>
    <w:rsid w:val="00995C31"/>
    <w:rsid w:val="009971C2"/>
    <w:rsid w:val="009A1254"/>
    <w:rsid w:val="009A245C"/>
    <w:rsid w:val="009A57C9"/>
    <w:rsid w:val="009B2FF2"/>
    <w:rsid w:val="009B380C"/>
    <w:rsid w:val="009B4843"/>
    <w:rsid w:val="009B6543"/>
    <w:rsid w:val="009C188C"/>
    <w:rsid w:val="009C199D"/>
    <w:rsid w:val="009C278F"/>
    <w:rsid w:val="009C2B94"/>
    <w:rsid w:val="009C5874"/>
    <w:rsid w:val="009D3B5A"/>
    <w:rsid w:val="009E0C05"/>
    <w:rsid w:val="009E0D1C"/>
    <w:rsid w:val="009E1162"/>
    <w:rsid w:val="009E2214"/>
    <w:rsid w:val="009E355A"/>
    <w:rsid w:val="009E63E2"/>
    <w:rsid w:val="009F05CF"/>
    <w:rsid w:val="009F0F3A"/>
    <w:rsid w:val="00A01D0C"/>
    <w:rsid w:val="00A0385D"/>
    <w:rsid w:val="00A0643F"/>
    <w:rsid w:val="00A067EE"/>
    <w:rsid w:val="00A0706F"/>
    <w:rsid w:val="00A07CE8"/>
    <w:rsid w:val="00A10FCE"/>
    <w:rsid w:val="00A14534"/>
    <w:rsid w:val="00A1684B"/>
    <w:rsid w:val="00A16D91"/>
    <w:rsid w:val="00A174CC"/>
    <w:rsid w:val="00A2073D"/>
    <w:rsid w:val="00A20751"/>
    <w:rsid w:val="00A22A45"/>
    <w:rsid w:val="00A24607"/>
    <w:rsid w:val="00A250A3"/>
    <w:rsid w:val="00A271CD"/>
    <w:rsid w:val="00A27BF4"/>
    <w:rsid w:val="00A27E2D"/>
    <w:rsid w:val="00A306FC"/>
    <w:rsid w:val="00A31D99"/>
    <w:rsid w:val="00A357BA"/>
    <w:rsid w:val="00A35ADC"/>
    <w:rsid w:val="00A402A3"/>
    <w:rsid w:val="00A404C4"/>
    <w:rsid w:val="00A422AB"/>
    <w:rsid w:val="00A44283"/>
    <w:rsid w:val="00A44694"/>
    <w:rsid w:val="00A53681"/>
    <w:rsid w:val="00A5603C"/>
    <w:rsid w:val="00A633D4"/>
    <w:rsid w:val="00A6461A"/>
    <w:rsid w:val="00A6637C"/>
    <w:rsid w:val="00A72E52"/>
    <w:rsid w:val="00A80E2B"/>
    <w:rsid w:val="00A84504"/>
    <w:rsid w:val="00A8672F"/>
    <w:rsid w:val="00A93057"/>
    <w:rsid w:val="00A958DA"/>
    <w:rsid w:val="00A968B0"/>
    <w:rsid w:val="00AB2672"/>
    <w:rsid w:val="00AB2817"/>
    <w:rsid w:val="00AB43C4"/>
    <w:rsid w:val="00AB7F67"/>
    <w:rsid w:val="00AC2938"/>
    <w:rsid w:val="00AC32E7"/>
    <w:rsid w:val="00AC3A9F"/>
    <w:rsid w:val="00AC4088"/>
    <w:rsid w:val="00AC6D2F"/>
    <w:rsid w:val="00AD4D26"/>
    <w:rsid w:val="00AE2745"/>
    <w:rsid w:val="00AE2F1C"/>
    <w:rsid w:val="00AE2F64"/>
    <w:rsid w:val="00AE41A5"/>
    <w:rsid w:val="00AF42CB"/>
    <w:rsid w:val="00AF46D0"/>
    <w:rsid w:val="00AF483F"/>
    <w:rsid w:val="00AF5E07"/>
    <w:rsid w:val="00AF5F06"/>
    <w:rsid w:val="00B00A25"/>
    <w:rsid w:val="00B01BA2"/>
    <w:rsid w:val="00B02ACC"/>
    <w:rsid w:val="00B0501D"/>
    <w:rsid w:val="00B11D7D"/>
    <w:rsid w:val="00B1422A"/>
    <w:rsid w:val="00B1765C"/>
    <w:rsid w:val="00B213C4"/>
    <w:rsid w:val="00B27D91"/>
    <w:rsid w:val="00B35207"/>
    <w:rsid w:val="00B40C60"/>
    <w:rsid w:val="00B410E1"/>
    <w:rsid w:val="00B44BA0"/>
    <w:rsid w:val="00B479A9"/>
    <w:rsid w:val="00B52EDF"/>
    <w:rsid w:val="00B53959"/>
    <w:rsid w:val="00B55FB5"/>
    <w:rsid w:val="00B6629C"/>
    <w:rsid w:val="00B701B5"/>
    <w:rsid w:val="00B71188"/>
    <w:rsid w:val="00B75F68"/>
    <w:rsid w:val="00B76614"/>
    <w:rsid w:val="00B76A41"/>
    <w:rsid w:val="00B85D55"/>
    <w:rsid w:val="00B87D4C"/>
    <w:rsid w:val="00B93646"/>
    <w:rsid w:val="00B967DF"/>
    <w:rsid w:val="00BA075D"/>
    <w:rsid w:val="00BA0B38"/>
    <w:rsid w:val="00BA1DBB"/>
    <w:rsid w:val="00BA4510"/>
    <w:rsid w:val="00BA4FBE"/>
    <w:rsid w:val="00BA529A"/>
    <w:rsid w:val="00BA60A7"/>
    <w:rsid w:val="00BA64DF"/>
    <w:rsid w:val="00BA7644"/>
    <w:rsid w:val="00BB612A"/>
    <w:rsid w:val="00BC17FC"/>
    <w:rsid w:val="00BC75D6"/>
    <w:rsid w:val="00BD1E4A"/>
    <w:rsid w:val="00BD499F"/>
    <w:rsid w:val="00BD56DE"/>
    <w:rsid w:val="00BE2E45"/>
    <w:rsid w:val="00BF2406"/>
    <w:rsid w:val="00C00A23"/>
    <w:rsid w:val="00C06E43"/>
    <w:rsid w:val="00C07C46"/>
    <w:rsid w:val="00C108DD"/>
    <w:rsid w:val="00C16315"/>
    <w:rsid w:val="00C20735"/>
    <w:rsid w:val="00C3091E"/>
    <w:rsid w:val="00C30B82"/>
    <w:rsid w:val="00C34302"/>
    <w:rsid w:val="00C40FF1"/>
    <w:rsid w:val="00C419E2"/>
    <w:rsid w:val="00C5020E"/>
    <w:rsid w:val="00C51DDA"/>
    <w:rsid w:val="00C57452"/>
    <w:rsid w:val="00C61EDF"/>
    <w:rsid w:val="00C6239D"/>
    <w:rsid w:val="00C62ABC"/>
    <w:rsid w:val="00C6594B"/>
    <w:rsid w:val="00C67FFB"/>
    <w:rsid w:val="00C703F1"/>
    <w:rsid w:val="00C7155E"/>
    <w:rsid w:val="00C71D1E"/>
    <w:rsid w:val="00C71D7D"/>
    <w:rsid w:val="00C74833"/>
    <w:rsid w:val="00C80573"/>
    <w:rsid w:val="00C84D77"/>
    <w:rsid w:val="00C850A0"/>
    <w:rsid w:val="00C85A86"/>
    <w:rsid w:val="00C93122"/>
    <w:rsid w:val="00C978F0"/>
    <w:rsid w:val="00C97DE7"/>
    <w:rsid w:val="00CA52F0"/>
    <w:rsid w:val="00CA58FE"/>
    <w:rsid w:val="00CA7EA6"/>
    <w:rsid w:val="00CB1CB1"/>
    <w:rsid w:val="00CB6BC1"/>
    <w:rsid w:val="00CB6CB8"/>
    <w:rsid w:val="00CC0CF9"/>
    <w:rsid w:val="00CC1A68"/>
    <w:rsid w:val="00CC2123"/>
    <w:rsid w:val="00CC620A"/>
    <w:rsid w:val="00CD2BFD"/>
    <w:rsid w:val="00CD7D3E"/>
    <w:rsid w:val="00CE5AD6"/>
    <w:rsid w:val="00CE617F"/>
    <w:rsid w:val="00CE78EF"/>
    <w:rsid w:val="00D048F7"/>
    <w:rsid w:val="00D0517E"/>
    <w:rsid w:val="00D140FC"/>
    <w:rsid w:val="00D14570"/>
    <w:rsid w:val="00D1675B"/>
    <w:rsid w:val="00D16F6E"/>
    <w:rsid w:val="00D2095B"/>
    <w:rsid w:val="00D21D8C"/>
    <w:rsid w:val="00D27887"/>
    <w:rsid w:val="00D31357"/>
    <w:rsid w:val="00D33220"/>
    <w:rsid w:val="00D334D1"/>
    <w:rsid w:val="00D34778"/>
    <w:rsid w:val="00D34BA1"/>
    <w:rsid w:val="00D43AAC"/>
    <w:rsid w:val="00D44C89"/>
    <w:rsid w:val="00D46612"/>
    <w:rsid w:val="00D516CD"/>
    <w:rsid w:val="00D54218"/>
    <w:rsid w:val="00D562F8"/>
    <w:rsid w:val="00D57C38"/>
    <w:rsid w:val="00D60249"/>
    <w:rsid w:val="00D663A2"/>
    <w:rsid w:val="00D668E6"/>
    <w:rsid w:val="00D70670"/>
    <w:rsid w:val="00D74D80"/>
    <w:rsid w:val="00D76624"/>
    <w:rsid w:val="00D87570"/>
    <w:rsid w:val="00D91CB9"/>
    <w:rsid w:val="00D91D08"/>
    <w:rsid w:val="00D97989"/>
    <w:rsid w:val="00D97D8D"/>
    <w:rsid w:val="00DA352E"/>
    <w:rsid w:val="00DB64A9"/>
    <w:rsid w:val="00DC28C0"/>
    <w:rsid w:val="00DC69F1"/>
    <w:rsid w:val="00DC7694"/>
    <w:rsid w:val="00DD1BF6"/>
    <w:rsid w:val="00DD2956"/>
    <w:rsid w:val="00DD2F9B"/>
    <w:rsid w:val="00DE1C09"/>
    <w:rsid w:val="00DE2513"/>
    <w:rsid w:val="00DE26E8"/>
    <w:rsid w:val="00DE3298"/>
    <w:rsid w:val="00DF37CF"/>
    <w:rsid w:val="00DF63D5"/>
    <w:rsid w:val="00DF6F36"/>
    <w:rsid w:val="00E0084C"/>
    <w:rsid w:val="00E025AB"/>
    <w:rsid w:val="00E02B23"/>
    <w:rsid w:val="00E06F40"/>
    <w:rsid w:val="00E07CE8"/>
    <w:rsid w:val="00E160E0"/>
    <w:rsid w:val="00E208BA"/>
    <w:rsid w:val="00E2359F"/>
    <w:rsid w:val="00E26A07"/>
    <w:rsid w:val="00E30C2B"/>
    <w:rsid w:val="00E32595"/>
    <w:rsid w:val="00E37037"/>
    <w:rsid w:val="00E37CFD"/>
    <w:rsid w:val="00E41A26"/>
    <w:rsid w:val="00E46BCB"/>
    <w:rsid w:val="00E50BC7"/>
    <w:rsid w:val="00E51CAF"/>
    <w:rsid w:val="00E52372"/>
    <w:rsid w:val="00E57E05"/>
    <w:rsid w:val="00E60F04"/>
    <w:rsid w:val="00E62AAC"/>
    <w:rsid w:val="00E661BB"/>
    <w:rsid w:val="00E67269"/>
    <w:rsid w:val="00E67C2F"/>
    <w:rsid w:val="00E67EF5"/>
    <w:rsid w:val="00E804EA"/>
    <w:rsid w:val="00E80A71"/>
    <w:rsid w:val="00E82337"/>
    <w:rsid w:val="00E8789F"/>
    <w:rsid w:val="00E92499"/>
    <w:rsid w:val="00E9494F"/>
    <w:rsid w:val="00E949AF"/>
    <w:rsid w:val="00E96077"/>
    <w:rsid w:val="00EA0516"/>
    <w:rsid w:val="00EA0A06"/>
    <w:rsid w:val="00EA6243"/>
    <w:rsid w:val="00EA637A"/>
    <w:rsid w:val="00EA74AB"/>
    <w:rsid w:val="00EB1B9E"/>
    <w:rsid w:val="00EB3D1B"/>
    <w:rsid w:val="00EB3E4B"/>
    <w:rsid w:val="00EB63F3"/>
    <w:rsid w:val="00EC1FC5"/>
    <w:rsid w:val="00EC5B5D"/>
    <w:rsid w:val="00EC6B95"/>
    <w:rsid w:val="00ED1D89"/>
    <w:rsid w:val="00ED66BC"/>
    <w:rsid w:val="00EE411F"/>
    <w:rsid w:val="00EE6C01"/>
    <w:rsid w:val="00EF233A"/>
    <w:rsid w:val="00EF303E"/>
    <w:rsid w:val="00EF3A40"/>
    <w:rsid w:val="00EF7F78"/>
    <w:rsid w:val="00F01450"/>
    <w:rsid w:val="00F01B08"/>
    <w:rsid w:val="00F01C4D"/>
    <w:rsid w:val="00F053FA"/>
    <w:rsid w:val="00F10C97"/>
    <w:rsid w:val="00F11C71"/>
    <w:rsid w:val="00F11D79"/>
    <w:rsid w:val="00F16019"/>
    <w:rsid w:val="00F166FE"/>
    <w:rsid w:val="00F20E68"/>
    <w:rsid w:val="00F22093"/>
    <w:rsid w:val="00F2262B"/>
    <w:rsid w:val="00F236DF"/>
    <w:rsid w:val="00F251EB"/>
    <w:rsid w:val="00F371A9"/>
    <w:rsid w:val="00F43AD5"/>
    <w:rsid w:val="00F4402E"/>
    <w:rsid w:val="00F526AD"/>
    <w:rsid w:val="00F56DD0"/>
    <w:rsid w:val="00F61948"/>
    <w:rsid w:val="00F64006"/>
    <w:rsid w:val="00F6491C"/>
    <w:rsid w:val="00F67BBB"/>
    <w:rsid w:val="00F7371C"/>
    <w:rsid w:val="00F74CE1"/>
    <w:rsid w:val="00F84057"/>
    <w:rsid w:val="00F84FCB"/>
    <w:rsid w:val="00F87D92"/>
    <w:rsid w:val="00F90AA7"/>
    <w:rsid w:val="00F92498"/>
    <w:rsid w:val="00F92A3A"/>
    <w:rsid w:val="00F9496B"/>
    <w:rsid w:val="00F970C9"/>
    <w:rsid w:val="00FA06A8"/>
    <w:rsid w:val="00FA3DF5"/>
    <w:rsid w:val="00FA6657"/>
    <w:rsid w:val="00FA741F"/>
    <w:rsid w:val="00FA7DFF"/>
    <w:rsid w:val="00FB4E07"/>
    <w:rsid w:val="00FB6F6B"/>
    <w:rsid w:val="00FB755A"/>
    <w:rsid w:val="00FC34BF"/>
    <w:rsid w:val="00FC60A2"/>
    <w:rsid w:val="00FD1871"/>
    <w:rsid w:val="00FD3110"/>
    <w:rsid w:val="00FD3923"/>
    <w:rsid w:val="00FE3D18"/>
    <w:rsid w:val="00FF5C3D"/>
    <w:rsid w:val="00FF6461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7E1D8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A0D8A"/>
    <w:pPr>
      <w:numPr>
        <w:numId w:val="7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0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9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95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95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0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2C40BC5D8114847AD4F432E9581F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3F7E3-EF94-492C-95F1-1F0B7EA7CBBB}"/>
      </w:docPartPr>
      <w:docPartBody>
        <w:p w:rsidR="00B519BF" w:rsidRDefault="00D3664C" w:rsidP="00D3664C">
          <w:pPr>
            <w:pStyle w:val="B2C40BC5D8114847AD4F432E9581FAD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9833BC"/>
    <w:rsid w:val="00B519BF"/>
    <w:rsid w:val="00D21A9F"/>
    <w:rsid w:val="00D3664C"/>
    <w:rsid w:val="00F8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664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2C40BC5D8114847AD4F432E9581FAD7">
    <w:name w:val="B2C40BC5D8114847AD4F432E9581FAD7"/>
    <w:rsid w:val="00D366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852AD1-E73B-41FC-8FE8-6EB98E1B24D2}"/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4EE551-04A2-4BB4-AD27-C4658BCFE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C54FACC7.dotm</Template>
  <TotalTime>59</TotalTime>
  <Pages>6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8</cp:revision>
  <cp:lastPrinted>2018-10-22T22:41:00Z</cp:lastPrinted>
  <dcterms:created xsi:type="dcterms:W3CDTF">2019-07-19T02:21:00Z</dcterms:created>
  <dcterms:modified xsi:type="dcterms:W3CDTF">2019-08-16T05:13:00Z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