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9CE6645" w14:textId="4256848B" w:rsidR="00BD499F" w:rsidRPr="004C23F4" w:rsidRDefault="00BF7662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Arsenic and compounds                         (exCept Arsine)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442B4391" w14:textId="77777777" w:rsidTr="00B76A41">
        <w:trPr>
          <w:cantSplit/>
          <w:tblHeader/>
        </w:trPr>
        <w:tc>
          <w:tcPr>
            <w:tcW w:w="4077" w:type="dxa"/>
          </w:tcPr>
          <w:p w14:paraId="3E362B5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F29DDB5" w14:textId="77777777" w:rsidR="00F43AD5" w:rsidRPr="00717D45" w:rsidRDefault="00952386" w:rsidP="00B76A41">
            <w:pPr>
              <w:pStyle w:val="Tablefont"/>
            </w:pPr>
            <w:r w:rsidRPr="00952386">
              <w:t>7440-38-2</w:t>
            </w:r>
            <w:r>
              <w:t xml:space="preserve"> (elemental)</w:t>
            </w:r>
          </w:p>
        </w:tc>
      </w:tr>
      <w:tr w:rsidR="00F43AD5" w:rsidRPr="004C23F4" w14:paraId="25345B35" w14:textId="77777777" w:rsidTr="00B76A41">
        <w:trPr>
          <w:cantSplit/>
        </w:trPr>
        <w:tc>
          <w:tcPr>
            <w:tcW w:w="4077" w:type="dxa"/>
          </w:tcPr>
          <w:p w14:paraId="4ACBF13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CF16ECD" w14:textId="3B93A07F" w:rsidR="00F43AD5" w:rsidRPr="00717D45" w:rsidRDefault="00BF7662" w:rsidP="00B76A41">
            <w:pPr>
              <w:pStyle w:val="Tablefont"/>
            </w:pPr>
            <w:r>
              <w:rPr>
                <w:b/>
              </w:rPr>
              <w:t>—</w:t>
            </w:r>
          </w:p>
        </w:tc>
      </w:tr>
      <w:tr w:rsidR="00F43AD5" w:rsidRPr="004C23F4" w14:paraId="732DCB18" w14:textId="77777777" w:rsidTr="00B76A41">
        <w:trPr>
          <w:cantSplit/>
        </w:trPr>
        <w:tc>
          <w:tcPr>
            <w:tcW w:w="4077" w:type="dxa"/>
          </w:tcPr>
          <w:p w14:paraId="649BC49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6D1A182" w14:textId="77777777" w:rsidR="00F43AD5" w:rsidRPr="00717D45" w:rsidRDefault="001E7DA9" w:rsidP="00B76A41">
            <w:pPr>
              <w:pStyle w:val="Tablefont"/>
            </w:pPr>
            <w:r>
              <w:t>As</w:t>
            </w:r>
          </w:p>
        </w:tc>
      </w:tr>
      <w:tr w:rsidR="00F43AD5" w:rsidRPr="004C23F4" w14:paraId="1F7C5AF3" w14:textId="77777777" w:rsidTr="00B76A41">
        <w:trPr>
          <w:cantSplit/>
        </w:trPr>
        <w:tc>
          <w:tcPr>
            <w:tcW w:w="4077" w:type="dxa"/>
          </w:tcPr>
          <w:p w14:paraId="3ED553E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8FF9178" w14:textId="407134B6" w:rsidR="00F43AD5" w:rsidRPr="00B40C60" w:rsidRDefault="00BF7662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00B9D228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E7DA9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35BA2479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73BFECA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4E664EA" w14:textId="14AEAED8" w:rsidR="002C7AFE" w:rsidRPr="0074237A" w:rsidRDefault="0074237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</w:t>
            </w:r>
            <w:r w:rsidR="00EB2C78">
              <w:rPr>
                <w:b/>
              </w:rPr>
              <w:t>0</w:t>
            </w:r>
            <w:r w:rsidR="000B399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="000B3992">
              <w:rPr>
                <w:b/>
              </w:rPr>
              <w:t>m</w:t>
            </w:r>
            <w:r>
              <w:rPr>
                <w:b/>
              </w:rPr>
              <w:t>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(as As)</w:t>
            </w:r>
          </w:p>
        </w:tc>
      </w:tr>
      <w:tr w:rsidR="002C7AFE" w:rsidRPr="004C23F4" w14:paraId="53D6B677" w14:textId="77777777" w:rsidTr="00921DE7">
        <w:trPr>
          <w:cantSplit/>
        </w:trPr>
        <w:tc>
          <w:tcPr>
            <w:tcW w:w="4077" w:type="dxa"/>
            <w:vAlign w:val="center"/>
          </w:tcPr>
          <w:p w14:paraId="41160A0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058B80BE" w14:textId="42F9AEFD" w:rsidR="002C7AFE" w:rsidRPr="00EB3D1B" w:rsidRDefault="00BF766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4484539" w14:textId="77777777" w:rsidTr="00921DE7">
        <w:trPr>
          <w:cantSplit/>
        </w:trPr>
        <w:tc>
          <w:tcPr>
            <w:tcW w:w="4077" w:type="dxa"/>
            <w:vAlign w:val="center"/>
          </w:tcPr>
          <w:p w14:paraId="6F22CAF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24D180D6" w14:textId="77777777" w:rsidR="002C7AFE" w:rsidRPr="00EB3D1B" w:rsidRDefault="00CB472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ED255B1" w14:textId="77777777" w:rsidTr="00A2073D">
        <w:trPr>
          <w:cantSplit/>
        </w:trPr>
        <w:tc>
          <w:tcPr>
            <w:tcW w:w="4077" w:type="dxa"/>
          </w:tcPr>
          <w:p w14:paraId="3394470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5A753DD7" w14:textId="77777777" w:rsidR="002C7AFE" w:rsidRPr="00EB3D1B" w:rsidRDefault="004715ED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1A</w:t>
            </w:r>
          </w:p>
        </w:tc>
      </w:tr>
      <w:tr w:rsidR="002C7AFE" w:rsidRPr="004C23F4" w14:paraId="653A2313" w14:textId="77777777" w:rsidTr="00921DE7">
        <w:trPr>
          <w:cantSplit/>
        </w:trPr>
        <w:tc>
          <w:tcPr>
            <w:tcW w:w="4077" w:type="dxa"/>
            <w:vAlign w:val="center"/>
          </w:tcPr>
          <w:p w14:paraId="7B2929D8" w14:textId="5E79F77B" w:rsidR="00F10C97" w:rsidRPr="002C58FF" w:rsidRDefault="00921DE7" w:rsidP="00BA5F2F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75374AB6" w14:textId="01BD85D9" w:rsidR="00A32A20" w:rsidRPr="00A037C7" w:rsidRDefault="00A037C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 mg/m</w:t>
            </w:r>
            <w:r>
              <w:rPr>
                <w:b/>
                <w:vertAlign w:val="superscript"/>
              </w:rPr>
              <w:t xml:space="preserve">3 </w:t>
            </w:r>
            <w:r>
              <w:rPr>
                <w:b/>
              </w:rPr>
              <w:t>(as As)</w:t>
            </w:r>
          </w:p>
        </w:tc>
      </w:tr>
      <w:tr w:rsidR="00BA5F2F" w:rsidRPr="004C23F4" w14:paraId="2541DA88" w14:textId="77777777" w:rsidTr="00BA5F2F">
        <w:trPr>
          <w:cantSplit/>
        </w:trPr>
        <w:tc>
          <w:tcPr>
            <w:tcW w:w="4077" w:type="dxa"/>
          </w:tcPr>
          <w:p w14:paraId="59516F63" w14:textId="1B3A0168" w:rsidR="00BA5F2F" w:rsidRDefault="00BA5F2F" w:rsidP="00BA5F2F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242B1E9B" w14:textId="4F23285C" w:rsidR="00BA5F2F" w:rsidRPr="00BA5F2F" w:rsidRDefault="00BA5F2F" w:rsidP="00017C82">
            <w:pPr>
              <w:pStyle w:val="Tablefont"/>
            </w:pPr>
            <w:bookmarkStart w:id="0" w:name="_GoBack"/>
            <w:r w:rsidRPr="00BA5F2F">
              <w:t>There is uncertainty regarding quantification of the recommended value with currently available sampling and/or analysis techniques.</w:t>
            </w:r>
            <w:bookmarkEnd w:id="0"/>
          </w:p>
        </w:tc>
      </w:tr>
    </w:tbl>
    <w:p w14:paraId="02606C9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832AAC8" w14:textId="385B9010" w:rsidR="007D7AD3" w:rsidRDefault="004715ED" w:rsidP="000C139A">
      <w:pPr>
        <w:rPr>
          <w:rFonts w:cs="Arial"/>
        </w:rPr>
      </w:pPr>
      <w:r>
        <w:rPr>
          <w:rFonts w:cs="Arial"/>
        </w:rPr>
        <w:t>A</w:t>
      </w:r>
      <w:r w:rsidR="007D7AD3">
        <w:rPr>
          <w:rFonts w:cs="Arial"/>
        </w:rPr>
        <w:t xml:space="preserve"> TWA of </w:t>
      </w:r>
      <w:r w:rsidR="00835728">
        <w:rPr>
          <w:rFonts w:cs="Arial"/>
        </w:rPr>
        <w:t>0.01 m</w:t>
      </w:r>
      <w:r w:rsidR="007D7AD3">
        <w:rPr>
          <w:rFonts w:cs="Arial"/>
        </w:rPr>
        <w:t>g/m</w:t>
      </w:r>
      <w:r w:rsidR="007D7AD3">
        <w:rPr>
          <w:rFonts w:cs="Arial"/>
          <w:vertAlign w:val="superscript"/>
        </w:rPr>
        <w:t>3</w:t>
      </w:r>
      <w:r w:rsidR="007D7AD3">
        <w:rPr>
          <w:rFonts w:cs="Arial"/>
        </w:rPr>
        <w:t xml:space="preserve"> </w:t>
      </w:r>
      <w:proofErr w:type="gramStart"/>
      <w:r w:rsidR="007D7AD3">
        <w:rPr>
          <w:rFonts w:cs="Arial"/>
        </w:rPr>
        <w:t>is recommended</w:t>
      </w:r>
      <w:proofErr w:type="gramEnd"/>
      <w:r w:rsidR="007D7AD3">
        <w:rPr>
          <w:rFonts w:cs="Arial"/>
        </w:rPr>
        <w:t xml:space="preserve"> to protect </w:t>
      </w:r>
      <w:r>
        <w:rPr>
          <w:rFonts w:cs="Arial"/>
        </w:rPr>
        <w:t>for</w:t>
      </w:r>
      <w:r w:rsidR="007D7AD3">
        <w:rPr>
          <w:rFonts w:cs="Arial"/>
        </w:rPr>
        <w:t xml:space="preserve"> </w:t>
      </w:r>
      <w:r w:rsidR="00945328">
        <w:rPr>
          <w:rFonts w:cs="Arial"/>
        </w:rPr>
        <w:t>excess</w:t>
      </w:r>
      <w:r w:rsidR="00FD75B1">
        <w:rPr>
          <w:rFonts w:cs="Arial"/>
        </w:rPr>
        <w:t xml:space="preserve"> </w:t>
      </w:r>
      <w:r w:rsidR="00D6309C">
        <w:rPr>
          <w:rFonts w:cs="Arial"/>
        </w:rPr>
        <w:t>skin, lung and liver cancers</w:t>
      </w:r>
      <w:r w:rsidR="002D053F">
        <w:rPr>
          <w:rFonts w:cs="Arial"/>
        </w:rPr>
        <w:t xml:space="preserve"> in exposed workers</w:t>
      </w:r>
      <w:r w:rsidR="00D6309C">
        <w:rPr>
          <w:rFonts w:cs="Arial"/>
        </w:rPr>
        <w:t xml:space="preserve">. </w:t>
      </w:r>
      <w:r w:rsidR="00685361">
        <w:rPr>
          <w:rFonts w:cs="Arial"/>
        </w:rPr>
        <w:t>There are i</w:t>
      </w:r>
      <w:r w:rsidR="00B43A91">
        <w:rPr>
          <w:rFonts w:cs="Arial"/>
        </w:rPr>
        <w:t xml:space="preserve">nsufficient data to </w:t>
      </w:r>
      <w:r w:rsidR="00685361">
        <w:rPr>
          <w:rFonts w:cs="Arial"/>
        </w:rPr>
        <w:t>recommend</w:t>
      </w:r>
      <w:r w:rsidR="00B43A91">
        <w:rPr>
          <w:rFonts w:cs="Arial"/>
        </w:rPr>
        <w:t xml:space="preserve"> a STEL or peak limitation.</w:t>
      </w:r>
    </w:p>
    <w:p w14:paraId="1C7DD2F2" w14:textId="0D1C0931" w:rsidR="00B13BBC" w:rsidRPr="00B43A91" w:rsidRDefault="00B13BBC" w:rsidP="00B13BBC">
      <w:pPr>
        <w:rPr>
          <w:rFonts w:cs="Arial"/>
        </w:rPr>
      </w:pPr>
      <w:r>
        <w:rPr>
          <w:rFonts w:cs="Arial"/>
        </w:rPr>
        <w:t xml:space="preserve">An assessment of mutagenicity </w:t>
      </w:r>
      <w:proofErr w:type="gramStart"/>
      <w:r>
        <w:rPr>
          <w:rFonts w:cs="Arial"/>
        </w:rPr>
        <w:t>is complicated</w:t>
      </w:r>
      <w:proofErr w:type="gramEnd"/>
      <w:r>
        <w:rPr>
          <w:rFonts w:cs="Arial"/>
        </w:rPr>
        <w:t xml:space="preserve"> by the variety of compounds within the arsenic group. A detailed examination of these data </w:t>
      </w:r>
      <w:proofErr w:type="gramStart"/>
      <w:r>
        <w:rPr>
          <w:rFonts w:cs="Arial"/>
        </w:rPr>
        <w:t>is recommended to be prioritised</w:t>
      </w:r>
      <w:proofErr w:type="gramEnd"/>
      <w:r>
        <w:rPr>
          <w:rFonts w:cs="Arial"/>
        </w:rPr>
        <w:t xml:space="preserve"> during subsequent reviews.</w:t>
      </w:r>
    </w:p>
    <w:p w14:paraId="5ACE90E6" w14:textId="3FAF0F9B" w:rsidR="00C7155E" w:rsidRPr="004C23F4" w:rsidRDefault="00F10C97" w:rsidP="006B3478">
      <w:pPr>
        <w:pStyle w:val="Heading2"/>
        <w:tabs>
          <w:tab w:val="center" w:pos="4513"/>
        </w:tabs>
      </w:pPr>
      <w:r>
        <w:t>Discussion and conclusions</w:t>
      </w:r>
      <w:r w:rsidR="00945328">
        <w:tab/>
      </w:r>
    </w:p>
    <w:p w14:paraId="1827BD70" w14:textId="4A1446B0" w:rsidR="00B13BBC" w:rsidRDefault="00633A7D" w:rsidP="006639B4">
      <w:pPr>
        <w:rPr>
          <w:rFonts w:cs="Arial"/>
        </w:rPr>
      </w:pPr>
      <w:r>
        <w:rPr>
          <w:rFonts w:cs="Arial"/>
        </w:rPr>
        <w:t xml:space="preserve">Arsenic </w:t>
      </w:r>
      <w:proofErr w:type="gramStart"/>
      <w:r w:rsidR="000268DB">
        <w:rPr>
          <w:rFonts w:cs="Arial"/>
        </w:rPr>
        <w:t xml:space="preserve">is </w:t>
      </w:r>
      <w:r>
        <w:rPr>
          <w:rFonts w:cs="Arial"/>
        </w:rPr>
        <w:t>typically encountered</w:t>
      </w:r>
      <w:proofErr w:type="gramEnd"/>
      <w:r>
        <w:rPr>
          <w:rFonts w:cs="Arial"/>
        </w:rPr>
        <w:t xml:space="preserve"> as compounds in pesticides, starting materials for alloy and semiconductor production, and specialty glass production. </w:t>
      </w:r>
      <w:r w:rsidR="00D1668D">
        <w:rPr>
          <w:rFonts w:cs="Arial"/>
        </w:rPr>
        <w:t xml:space="preserve">It is a carcinogen in humans. </w:t>
      </w:r>
      <w:r>
        <w:rPr>
          <w:rFonts w:cs="Arial"/>
        </w:rPr>
        <w:t>The critical effects of bioavailable arsenic are cancers of the skin, liver and lungs, systemic arteriosclerosis, cirrhosis of the liver and congestion</w:t>
      </w:r>
      <w:r w:rsidR="002D053F">
        <w:rPr>
          <w:rFonts w:cs="Arial"/>
        </w:rPr>
        <w:t xml:space="preserve"> and </w:t>
      </w:r>
      <w:r>
        <w:rPr>
          <w:rFonts w:cs="Arial"/>
        </w:rPr>
        <w:t xml:space="preserve">disease of the upper respiratory tract. </w:t>
      </w:r>
      <w:r w:rsidR="00B43A91">
        <w:rPr>
          <w:rFonts w:cs="Arial"/>
        </w:rPr>
        <w:t xml:space="preserve">A mutagenic mechanism of action </w:t>
      </w:r>
      <w:proofErr w:type="gramStart"/>
      <w:r w:rsidR="00B43A91">
        <w:rPr>
          <w:rFonts w:cs="Arial"/>
        </w:rPr>
        <w:t>is not established</w:t>
      </w:r>
      <w:proofErr w:type="gramEnd"/>
      <w:r w:rsidR="00B43A91">
        <w:rPr>
          <w:rFonts w:cs="Arial"/>
        </w:rPr>
        <w:t xml:space="preserve"> for arsenic compounds due to </w:t>
      </w:r>
      <w:r w:rsidR="00B13BBC">
        <w:rPr>
          <w:rFonts w:cs="Arial"/>
        </w:rPr>
        <w:t xml:space="preserve">the </w:t>
      </w:r>
      <w:r w:rsidR="00E16135">
        <w:rPr>
          <w:rFonts w:cs="Arial"/>
        </w:rPr>
        <w:t xml:space="preserve">inconsistent </w:t>
      </w:r>
      <w:r w:rsidR="00B43A91">
        <w:rPr>
          <w:rFonts w:cs="Arial"/>
        </w:rPr>
        <w:t xml:space="preserve">results from </w:t>
      </w:r>
      <w:r w:rsidR="00B43A91">
        <w:rPr>
          <w:rFonts w:cs="Arial"/>
          <w:i/>
        </w:rPr>
        <w:t>in vitro</w:t>
      </w:r>
      <w:r w:rsidR="00B43A91">
        <w:rPr>
          <w:rFonts w:cs="Arial"/>
        </w:rPr>
        <w:t xml:space="preserve"> </w:t>
      </w:r>
      <w:r w:rsidR="0073077F">
        <w:rPr>
          <w:rFonts w:cs="Arial"/>
        </w:rPr>
        <w:t xml:space="preserve">and human studies </w:t>
      </w:r>
      <w:r w:rsidR="00B43A91">
        <w:rPr>
          <w:rFonts w:cs="Arial"/>
        </w:rPr>
        <w:t>(</w:t>
      </w:r>
      <w:r w:rsidR="00BA5F2F">
        <w:rPr>
          <w:rFonts w:cs="Arial"/>
        </w:rPr>
        <w:t>ACGIH, 2018</w:t>
      </w:r>
      <w:r w:rsidR="00BA5F2F">
        <w:rPr>
          <w:rFonts w:cs="Arial"/>
        </w:rPr>
        <w:t>; DFG, 2017</w:t>
      </w:r>
      <w:r w:rsidR="00B43A91">
        <w:rPr>
          <w:rFonts w:cs="Arial"/>
        </w:rPr>
        <w:t>).</w:t>
      </w:r>
      <w:r w:rsidR="0073077F">
        <w:rPr>
          <w:rFonts w:cs="Arial"/>
        </w:rPr>
        <w:t xml:space="preserve"> </w:t>
      </w:r>
    </w:p>
    <w:p w14:paraId="37DFB8E1" w14:textId="72E98191" w:rsidR="002C637F" w:rsidRDefault="0073077F" w:rsidP="006639B4">
      <w:pPr>
        <w:rPr>
          <w:rFonts w:cs="Arial"/>
        </w:rPr>
      </w:pPr>
      <w:r w:rsidRPr="0073077F">
        <w:rPr>
          <w:rFonts w:cs="Arial"/>
        </w:rPr>
        <w:t xml:space="preserve">The TWA </w:t>
      </w:r>
      <w:proofErr w:type="gramStart"/>
      <w:r w:rsidRPr="0073077F">
        <w:rPr>
          <w:rFonts w:cs="Arial"/>
        </w:rPr>
        <w:t>is based</w:t>
      </w:r>
      <w:proofErr w:type="gramEnd"/>
      <w:r w:rsidRPr="0073077F">
        <w:rPr>
          <w:rFonts w:cs="Arial"/>
        </w:rPr>
        <w:t xml:space="preserve"> on </w:t>
      </w:r>
      <w:r w:rsidR="00F51896">
        <w:rPr>
          <w:rFonts w:cs="Arial"/>
        </w:rPr>
        <w:t xml:space="preserve">an </w:t>
      </w:r>
      <w:r w:rsidRPr="0073077F">
        <w:rPr>
          <w:rFonts w:cs="Arial"/>
        </w:rPr>
        <w:t xml:space="preserve">epidemiological </w:t>
      </w:r>
      <w:r w:rsidR="00F51896">
        <w:rPr>
          <w:rFonts w:cs="Arial"/>
        </w:rPr>
        <w:t>study</w:t>
      </w:r>
      <w:r w:rsidRPr="0073077F">
        <w:rPr>
          <w:rFonts w:cs="Arial"/>
        </w:rPr>
        <w:t xml:space="preserve"> </w:t>
      </w:r>
      <w:r w:rsidR="00F51896">
        <w:rPr>
          <w:rFonts w:cs="Arial"/>
        </w:rPr>
        <w:t>of arsenic</w:t>
      </w:r>
      <w:r w:rsidR="00B13BBC">
        <w:rPr>
          <w:rFonts w:cs="Arial"/>
        </w:rPr>
        <w:t xml:space="preserve"> </w:t>
      </w:r>
      <w:r w:rsidR="00F51896">
        <w:rPr>
          <w:rFonts w:cs="Arial"/>
        </w:rPr>
        <w:t xml:space="preserve">exposed workers </w:t>
      </w:r>
      <w:r w:rsidR="00034FF7">
        <w:rPr>
          <w:rFonts w:cs="Arial"/>
        </w:rPr>
        <w:t>in which</w:t>
      </w:r>
      <w:r w:rsidRPr="0073077F">
        <w:rPr>
          <w:rFonts w:cs="Arial"/>
        </w:rPr>
        <w:t xml:space="preserve"> the lowest exposure level associated with an ex</w:t>
      </w:r>
      <w:r>
        <w:rPr>
          <w:rFonts w:cs="Arial"/>
        </w:rPr>
        <w:t>cess risk of lung cancer is 0.2 </w:t>
      </w:r>
      <w:r w:rsidRPr="0073077F">
        <w:rPr>
          <w:rFonts w:cs="Arial"/>
        </w:rPr>
        <w:t>mg/m</w:t>
      </w:r>
      <w:r w:rsidRPr="0073077F">
        <w:rPr>
          <w:rFonts w:cs="Arial"/>
          <w:vertAlign w:val="superscript"/>
        </w:rPr>
        <w:t>3</w:t>
      </w:r>
      <w:r w:rsidR="00B13BBC">
        <w:rPr>
          <w:rFonts w:cs="Arial"/>
        </w:rPr>
        <w:t>.</w:t>
      </w:r>
      <w:r w:rsidRPr="0073077F">
        <w:rPr>
          <w:rFonts w:cs="Arial"/>
        </w:rPr>
        <w:t xml:space="preserve"> </w:t>
      </w:r>
      <w:r w:rsidR="00B13BBC">
        <w:rPr>
          <w:rFonts w:cs="Arial"/>
        </w:rPr>
        <w:t>A</w:t>
      </w:r>
      <w:r w:rsidRPr="0073077F">
        <w:rPr>
          <w:rFonts w:cs="Arial"/>
        </w:rPr>
        <w:t xml:space="preserve"> </w:t>
      </w:r>
      <w:r w:rsidR="00E16135">
        <w:rPr>
          <w:rFonts w:cs="Arial"/>
        </w:rPr>
        <w:t xml:space="preserve">no effect </w:t>
      </w:r>
      <w:r w:rsidRPr="0073077F">
        <w:rPr>
          <w:rFonts w:cs="Arial"/>
        </w:rPr>
        <w:t xml:space="preserve">level </w:t>
      </w:r>
      <w:r w:rsidR="00E16135">
        <w:rPr>
          <w:rFonts w:cs="Arial"/>
        </w:rPr>
        <w:t>for</w:t>
      </w:r>
      <w:r w:rsidR="00F51896">
        <w:rPr>
          <w:rFonts w:cs="Arial"/>
        </w:rPr>
        <w:t xml:space="preserve"> cancer</w:t>
      </w:r>
      <w:r w:rsidRPr="0073077F">
        <w:rPr>
          <w:rFonts w:cs="Arial"/>
        </w:rPr>
        <w:t xml:space="preserve"> risk </w:t>
      </w:r>
      <w:r w:rsidR="00B13BBC">
        <w:rPr>
          <w:rFonts w:cs="Arial"/>
        </w:rPr>
        <w:t xml:space="preserve">for these compounds </w:t>
      </w:r>
      <w:proofErr w:type="gramStart"/>
      <w:r w:rsidRPr="0073077F">
        <w:rPr>
          <w:rFonts w:cs="Arial"/>
        </w:rPr>
        <w:t>has not been established</w:t>
      </w:r>
      <w:proofErr w:type="gramEnd"/>
      <w:r w:rsidR="00835728">
        <w:rPr>
          <w:rFonts w:cs="Arial"/>
        </w:rPr>
        <w:t xml:space="preserve"> (ACGIH, 20</w:t>
      </w:r>
      <w:r>
        <w:rPr>
          <w:rFonts w:cs="Arial"/>
        </w:rPr>
        <w:t>1</w:t>
      </w:r>
      <w:r w:rsidR="00835728">
        <w:rPr>
          <w:rFonts w:cs="Arial"/>
        </w:rPr>
        <w:t>8</w:t>
      </w:r>
      <w:r>
        <w:rPr>
          <w:rFonts w:cs="Arial"/>
        </w:rPr>
        <w:t>)</w:t>
      </w:r>
      <w:r w:rsidRPr="0073077F">
        <w:rPr>
          <w:rFonts w:cs="Arial"/>
        </w:rPr>
        <w:t xml:space="preserve">. A factor of 20 </w:t>
      </w:r>
      <w:proofErr w:type="gramStart"/>
      <w:r w:rsidR="00CC24E9">
        <w:rPr>
          <w:rFonts w:cs="Arial"/>
        </w:rPr>
        <w:t>was</w:t>
      </w:r>
      <w:r w:rsidRPr="0073077F">
        <w:rPr>
          <w:rFonts w:cs="Arial"/>
        </w:rPr>
        <w:t xml:space="preserve"> applied</w:t>
      </w:r>
      <w:proofErr w:type="gramEnd"/>
      <w:r w:rsidRPr="0073077F">
        <w:rPr>
          <w:rFonts w:cs="Arial"/>
        </w:rPr>
        <w:t xml:space="preserve"> to account for </w:t>
      </w:r>
      <w:r>
        <w:rPr>
          <w:rFonts w:cs="Arial"/>
        </w:rPr>
        <w:t>u</w:t>
      </w:r>
      <w:r w:rsidR="00916D94">
        <w:rPr>
          <w:rFonts w:cs="Arial"/>
        </w:rPr>
        <w:t>ncertainties</w:t>
      </w:r>
      <w:r>
        <w:rPr>
          <w:rFonts w:cs="Arial"/>
        </w:rPr>
        <w:t xml:space="preserve"> in</w:t>
      </w:r>
      <w:r w:rsidR="00F51896">
        <w:rPr>
          <w:rFonts w:cs="Arial"/>
        </w:rPr>
        <w:t xml:space="preserve"> </w:t>
      </w:r>
      <w:r w:rsidR="00916D94">
        <w:rPr>
          <w:rFonts w:cs="Arial"/>
        </w:rPr>
        <w:t xml:space="preserve">mutagenicity data and </w:t>
      </w:r>
      <w:r w:rsidR="00B13BBC">
        <w:rPr>
          <w:rFonts w:cs="Arial"/>
        </w:rPr>
        <w:t>no clear</w:t>
      </w:r>
      <w:r w:rsidR="00916D94">
        <w:rPr>
          <w:rFonts w:cs="Arial"/>
        </w:rPr>
        <w:t xml:space="preserve"> NOAEL for carcinogenic effects.</w:t>
      </w:r>
    </w:p>
    <w:p w14:paraId="79084CC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E766FEB" w14:textId="340886C3" w:rsidR="001E52BC" w:rsidRDefault="00B13BBC" w:rsidP="001E52BC">
      <w:r>
        <w:t>Arsenic compounds</w:t>
      </w:r>
      <w:r w:rsidR="001E52BC">
        <w:t xml:space="preserve"> </w:t>
      </w:r>
      <w:proofErr w:type="gramStart"/>
      <w:r w:rsidR="001E52BC">
        <w:t>are classified</w:t>
      </w:r>
      <w:proofErr w:type="gramEnd"/>
      <w:r w:rsidR="001E52BC">
        <w:t xml:space="preserve"> as </w:t>
      </w:r>
      <w:r w:rsidR="00F370E9">
        <w:t>category 1</w:t>
      </w:r>
      <w:r w:rsidR="001E52BC">
        <w:t xml:space="preserve"> </w:t>
      </w:r>
      <w:r w:rsidR="00F370E9">
        <w:t>c</w:t>
      </w:r>
      <w:r w:rsidR="001E52BC">
        <w:t>arcinogens according to the Globally Harmonized System of Classification and Labelling of Chemicals (GHS).</w:t>
      </w:r>
    </w:p>
    <w:p w14:paraId="30B06D81" w14:textId="4626C181" w:rsidR="001E52BC" w:rsidRDefault="00B13BBC" w:rsidP="001E52BC">
      <w:r>
        <w:t xml:space="preserve">Arsenic compounds </w:t>
      </w:r>
      <w:proofErr w:type="gramStart"/>
      <w:r w:rsidR="002D053F">
        <w:t xml:space="preserve">are </w:t>
      </w:r>
      <w:r w:rsidR="001E52BC">
        <w:t>not classified</w:t>
      </w:r>
      <w:proofErr w:type="gramEnd"/>
      <w:r w:rsidR="001E52BC">
        <w:t xml:space="preserve"> as skin</w:t>
      </w:r>
      <w:r w:rsidR="0066263F">
        <w:t xml:space="preserve"> or</w:t>
      </w:r>
      <w:r w:rsidR="001E52BC">
        <w:t xml:space="preserve"> respiratory sensitisers according to the GHS.</w:t>
      </w:r>
    </w:p>
    <w:p w14:paraId="7B65AD40" w14:textId="57DA4376" w:rsidR="0025734A" w:rsidRPr="004C23F4" w:rsidRDefault="001E52BC">
      <w:pPr>
        <w:rPr>
          <w:rFonts w:cs="Arial"/>
        </w:rPr>
      </w:pPr>
      <w:r w:rsidRPr="00934F3C">
        <w:rPr>
          <w:rFonts w:eastAsia="Calibri" w:cs="Times New Roman"/>
        </w:rPr>
        <w:t xml:space="preserve">A skin notation is not </w:t>
      </w:r>
      <w:r w:rsidR="0066263F">
        <w:rPr>
          <w:rFonts w:eastAsia="Calibri" w:cs="Times New Roman"/>
        </w:rPr>
        <w:t>recommended</w:t>
      </w:r>
      <w:r w:rsidR="0066263F" w:rsidRPr="00934F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for </w:t>
      </w:r>
      <w:r w:rsidR="00B13BBC">
        <w:rPr>
          <w:rFonts w:eastAsia="Calibri" w:cs="Times New Roman"/>
        </w:rPr>
        <w:t xml:space="preserve">arsenic </w:t>
      </w:r>
      <w:proofErr w:type="gramStart"/>
      <w:r w:rsidR="00B13BBC">
        <w:rPr>
          <w:rFonts w:eastAsia="Calibri" w:cs="Times New Roman"/>
        </w:rPr>
        <w:t>compounds</w:t>
      </w:r>
      <w:proofErr w:type="gramEnd"/>
      <w:r>
        <w:rPr>
          <w:rFonts w:eastAsia="Calibri" w:cs="Times New Roman"/>
        </w:rPr>
        <w:t xml:space="preserve"> </w:t>
      </w:r>
      <w:r w:rsidRPr="00934F3C">
        <w:rPr>
          <w:rFonts w:eastAsia="Calibri" w:cs="Times New Roman"/>
        </w:rPr>
        <w:t xml:space="preserve">as there is no </w:t>
      </w:r>
      <w:r w:rsidR="002D053F">
        <w:rPr>
          <w:rFonts w:eastAsia="Calibri" w:cs="Times New Roman"/>
        </w:rPr>
        <w:t>evidence</w:t>
      </w:r>
      <w:r w:rsidR="002D053F" w:rsidRPr="00934F3C">
        <w:rPr>
          <w:rFonts w:eastAsia="Calibri" w:cs="Times New Roman"/>
        </w:rPr>
        <w:t xml:space="preserve"> </w:t>
      </w:r>
      <w:r w:rsidRPr="00934F3C">
        <w:rPr>
          <w:rFonts w:eastAsia="Calibri" w:cs="Times New Roman"/>
        </w:rPr>
        <w:t>of systemic effects resulting from skin absorptio</w:t>
      </w:r>
      <w:r>
        <w:rPr>
          <w:rFonts w:eastAsia="Calibri" w:cs="Times New Roman"/>
        </w:rPr>
        <w:t>n</w:t>
      </w:r>
      <w:r w:rsidR="0037471F">
        <w:rPr>
          <w:rFonts w:eastAsia="Calibri" w:cs="Times New Roman"/>
        </w:rPr>
        <w:t>.</w:t>
      </w:r>
    </w:p>
    <w:p w14:paraId="06B463B8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16239D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0530A69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7E014D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CC3354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7B2EC4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A8DA9AB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i w:val="0"/>
                  </w:rPr>
                  <w:t>Y</w:t>
                </w:r>
                <w:r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353F7">
                  <w:t xml:space="preserve">TWA: </w:t>
                </w:r>
                <w:r w:rsidR="0037471F">
                  <w:t>0.05 m</w:t>
                </w:r>
                <w:r w:rsidR="009D4360">
                  <w:t>g/m</w:t>
                </w:r>
                <w:r w:rsidR="009D4360">
                  <w:rPr>
                    <w:vertAlign w:val="superscript"/>
                  </w:rPr>
                  <w:t>3</w:t>
                </w:r>
                <w:r w:rsidR="009D4360">
                  <w:t xml:space="preserve"> </w:t>
                </w:r>
                <w:r w:rsidR="00F353F7">
                  <w:t>(as As)</w:t>
                </w:r>
              </w:sdtContent>
            </w:sdt>
          </w:p>
        </w:tc>
      </w:tr>
      <w:tr w:rsidR="00C978F0" w:rsidRPr="00DA352E" w14:paraId="1460DA9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1FFE0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6A70F3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2AD8A7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B2F8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353F7">
                  <w:t>TLV-TWA: 0.01 mg/m</w:t>
                </w:r>
                <w:r w:rsidR="00F353F7">
                  <w:rPr>
                    <w:vertAlign w:val="superscript"/>
                  </w:rPr>
                  <w:t>3</w:t>
                </w:r>
                <w:r w:rsidR="00F353F7">
                  <w:t xml:space="preserve"> (as As)</w:t>
                </w:r>
              </w:sdtContent>
            </w:sdt>
          </w:p>
        </w:tc>
      </w:tr>
      <w:tr w:rsidR="00C978F0" w:rsidRPr="00DA352E" w14:paraId="020BF30A" w14:textId="77777777" w:rsidTr="00BF7662">
        <w:trPr>
          <w:gridAfter w:val="1"/>
          <w:wAfter w:w="8" w:type="pct"/>
        </w:trPr>
        <w:tc>
          <w:tcPr>
            <w:tcW w:w="4992" w:type="pct"/>
          </w:tcPr>
          <w:p w14:paraId="3CD3D364" w14:textId="6DD844E3" w:rsidR="00B13BBC" w:rsidRPr="006B3478" w:rsidRDefault="00F353F7" w:rsidP="00C543B0">
            <w:r>
              <w:t xml:space="preserve">TLV-TWA </w:t>
            </w:r>
            <w:r w:rsidR="0066263F">
              <w:t xml:space="preserve">recommended </w:t>
            </w:r>
            <w:proofErr w:type="gramStart"/>
            <w:r>
              <w:t>to minimise</w:t>
            </w:r>
            <w:proofErr w:type="gramEnd"/>
            <w:r>
              <w:t xml:space="preserve"> adverse effects to the skin, liver, peripheral </w:t>
            </w:r>
            <w:r w:rsidR="003C5B33">
              <w:t xml:space="preserve">nerves and </w:t>
            </w:r>
            <w:r>
              <w:t>vasculature, upper respiratory tract and lungs</w:t>
            </w:r>
            <w:r w:rsidR="00956CFE">
              <w:t xml:space="preserve">. Adverse effects include cancers of the skin, </w:t>
            </w:r>
            <w:r w:rsidR="00956CFE" w:rsidRPr="00C543B0">
              <w:rPr>
                <w:rFonts w:cs="Arial"/>
              </w:rPr>
              <w:t>liver</w:t>
            </w:r>
            <w:r w:rsidR="00956CFE">
              <w:t xml:space="preserve"> and lungs, systemic arteriosclerosis, </w:t>
            </w:r>
            <w:r w:rsidR="00D72C12" w:rsidRPr="006B3478">
              <w:t>cirrhosis of the liver</w:t>
            </w:r>
            <w:r w:rsidR="00D25B12" w:rsidRPr="006B3478">
              <w:t>,</w:t>
            </w:r>
            <w:r w:rsidR="00D72C12" w:rsidRPr="006B3478">
              <w:t xml:space="preserve"> and upper respiratory tract </w:t>
            </w:r>
            <w:r w:rsidR="00D72C12" w:rsidRPr="006B3478">
              <w:rPr>
                <w:rFonts w:cs="Arial"/>
                <w:szCs w:val="20"/>
              </w:rPr>
              <w:t>disease</w:t>
            </w:r>
            <w:r w:rsidR="00D72C12" w:rsidRPr="006B3478">
              <w:t>.</w:t>
            </w:r>
            <w:r w:rsidR="004C2095" w:rsidRPr="006B3478">
              <w:t xml:space="preserve"> </w:t>
            </w:r>
          </w:p>
          <w:p w14:paraId="4E244B04" w14:textId="308B4C12" w:rsidR="00B13BBC" w:rsidRDefault="004C2095" w:rsidP="00C543B0">
            <w:r w:rsidRPr="006B3478">
              <w:rPr>
                <w:rFonts w:cs="Arial"/>
                <w:szCs w:val="20"/>
              </w:rPr>
              <w:t>I</w:t>
            </w:r>
            <w:r w:rsidR="00FD75B1" w:rsidRPr="006B3478">
              <w:rPr>
                <w:rFonts w:cs="Arial"/>
                <w:szCs w:val="20"/>
              </w:rPr>
              <w:t>nsufficient</w:t>
            </w:r>
            <w:r w:rsidR="00FD75B1" w:rsidRPr="006B3478">
              <w:t xml:space="preserve"> data to derive </w:t>
            </w:r>
            <w:r w:rsidR="00E16135">
              <w:t xml:space="preserve">a </w:t>
            </w:r>
            <w:r w:rsidR="00FD75B1" w:rsidRPr="006B3478">
              <w:t>STEL;</w:t>
            </w:r>
            <w:r w:rsidRPr="006B3478">
              <w:t xml:space="preserve"> available data do</w:t>
            </w:r>
            <w:r w:rsidR="00FD75B1" w:rsidRPr="006B3478">
              <w:t>es</w:t>
            </w:r>
            <w:r w:rsidRPr="006B3478">
              <w:t xml:space="preserve"> not warrant skin or </w:t>
            </w:r>
            <w:r w:rsidR="0037471F" w:rsidRPr="006B3478">
              <w:t>sensitiser</w:t>
            </w:r>
            <w:r w:rsidRPr="006B3478">
              <w:t xml:space="preserve"> notations. </w:t>
            </w:r>
          </w:p>
          <w:p w14:paraId="03AE49C4" w14:textId="16EE46F1" w:rsidR="00956CFE" w:rsidRPr="006B3478" w:rsidRDefault="00167008" w:rsidP="00C543B0">
            <w:r w:rsidRPr="006B3478">
              <w:rPr>
                <w:rFonts w:cs="Arial"/>
                <w:szCs w:val="20"/>
              </w:rPr>
              <w:t>Classified</w:t>
            </w:r>
            <w:r w:rsidRPr="006B3478">
              <w:t xml:space="preserve"> as a c</w:t>
            </w:r>
            <w:r>
              <w:t>onfirmed human carcinogen.</w:t>
            </w:r>
          </w:p>
          <w:p w14:paraId="7A26A413" w14:textId="77777777" w:rsidR="00167008" w:rsidRDefault="0037471F" w:rsidP="0037471F">
            <w:pPr>
              <w:pStyle w:val="Tabletextprimarysource"/>
              <w:rPr>
                <w:rFonts w:cs="Arial"/>
                <w:szCs w:val="20"/>
              </w:rPr>
            </w:pPr>
            <w:r>
              <w:t>Summary of data:</w:t>
            </w:r>
            <w:r w:rsidR="00D25B12">
              <w:rPr>
                <w:rFonts w:cs="Arial"/>
                <w:szCs w:val="20"/>
              </w:rPr>
              <w:t xml:space="preserve"> </w:t>
            </w:r>
          </w:p>
          <w:p w14:paraId="3FC65526" w14:textId="4A0F7047" w:rsidR="0037471F" w:rsidRPr="00167008" w:rsidRDefault="00167008" w:rsidP="00C543B0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 TLV-</w:t>
            </w:r>
            <w:r w:rsidRPr="00C543B0">
              <w:t>TWA</w:t>
            </w:r>
            <w:r>
              <w:rPr>
                <w:rFonts w:cs="Arial"/>
                <w:szCs w:val="20"/>
              </w:rPr>
              <w:t xml:space="preserve"> </w:t>
            </w:r>
            <w:proofErr w:type="gramStart"/>
            <w:r>
              <w:rPr>
                <w:rFonts w:cs="Arial"/>
                <w:szCs w:val="20"/>
              </w:rPr>
              <w:t>is based</w:t>
            </w:r>
            <w:proofErr w:type="gramEnd"/>
            <w:r>
              <w:rPr>
                <w:rFonts w:cs="Arial"/>
                <w:szCs w:val="20"/>
              </w:rPr>
              <w:t xml:space="preserve"> on epidemiological</w:t>
            </w:r>
            <w:r w:rsidR="00A93C4D">
              <w:rPr>
                <w:rFonts w:cs="Arial"/>
                <w:szCs w:val="20"/>
              </w:rPr>
              <w:t xml:space="preserve"> data that suggests the</w:t>
            </w:r>
            <w:r>
              <w:rPr>
                <w:rFonts w:cs="Arial"/>
                <w:szCs w:val="20"/>
              </w:rPr>
              <w:t xml:space="preserve"> lowest </w:t>
            </w:r>
            <w:r w:rsidR="00A93C4D">
              <w:rPr>
                <w:rFonts w:cs="Arial"/>
                <w:szCs w:val="20"/>
              </w:rPr>
              <w:t xml:space="preserve">exposure </w:t>
            </w:r>
            <w:r>
              <w:rPr>
                <w:rFonts w:cs="Arial"/>
                <w:szCs w:val="20"/>
              </w:rPr>
              <w:t xml:space="preserve">level </w:t>
            </w:r>
            <w:r w:rsidR="00A93C4D">
              <w:rPr>
                <w:rFonts w:cs="Arial"/>
                <w:szCs w:val="20"/>
              </w:rPr>
              <w:t>associated</w:t>
            </w:r>
            <w:r>
              <w:rPr>
                <w:rFonts w:cs="Arial"/>
                <w:szCs w:val="20"/>
              </w:rPr>
              <w:t xml:space="preserve"> </w:t>
            </w:r>
            <w:r w:rsidR="00A93C4D">
              <w:rPr>
                <w:rFonts w:cs="Arial"/>
                <w:szCs w:val="20"/>
              </w:rPr>
              <w:t xml:space="preserve">with </w:t>
            </w:r>
            <w:r>
              <w:rPr>
                <w:rFonts w:cs="Arial"/>
                <w:szCs w:val="20"/>
              </w:rPr>
              <w:t xml:space="preserve">an excess risk of lung cancer </w:t>
            </w:r>
            <w:r w:rsidR="00A93C4D">
              <w:rPr>
                <w:rFonts w:cs="Arial"/>
                <w:szCs w:val="20"/>
              </w:rPr>
              <w:t>is</w:t>
            </w:r>
            <w:r>
              <w:rPr>
                <w:rFonts w:cs="Arial"/>
                <w:szCs w:val="20"/>
              </w:rPr>
              <w:t xml:space="preserve"> 0.2 mg/m</w:t>
            </w:r>
            <w:r>
              <w:rPr>
                <w:rFonts w:cs="Arial"/>
                <w:szCs w:val="20"/>
                <w:vertAlign w:val="superscript"/>
              </w:rPr>
              <w:t>3</w:t>
            </w:r>
            <w:r>
              <w:rPr>
                <w:rFonts w:cs="Arial"/>
                <w:szCs w:val="20"/>
              </w:rPr>
              <w:t xml:space="preserve">; a </w:t>
            </w:r>
            <w:r w:rsidR="00E16135">
              <w:rPr>
                <w:rFonts w:cs="Arial"/>
                <w:szCs w:val="20"/>
              </w:rPr>
              <w:t xml:space="preserve">no effect </w:t>
            </w:r>
            <w:r>
              <w:rPr>
                <w:rFonts w:cs="Arial"/>
                <w:szCs w:val="20"/>
              </w:rPr>
              <w:t xml:space="preserve">level </w:t>
            </w:r>
            <w:r w:rsidR="00E16135">
              <w:rPr>
                <w:rFonts w:cs="Arial"/>
                <w:szCs w:val="20"/>
              </w:rPr>
              <w:t>for</w:t>
            </w:r>
            <w:r>
              <w:rPr>
                <w:rFonts w:cs="Arial"/>
                <w:szCs w:val="20"/>
              </w:rPr>
              <w:t xml:space="preserve"> risk exists has not been established.</w:t>
            </w:r>
            <w:r w:rsidR="00A93C4D">
              <w:rPr>
                <w:rFonts w:cs="Arial"/>
                <w:szCs w:val="20"/>
              </w:rPr>
              <w:t xml:space="preserve"> A factor of 20 </w:t>
            </w:r>
            <w:proofErr w:type="gramStart"/>
            <w:r w:rsidR="00A93C4D">
              <w:rPr>
                <w:rFonts w:cs="Arial"/>
                <w:szCs w:val="20"/>
              </w:rPr>
              <w:t>is applied</w:t>
            </w:r>
            <w:proofErr w:type="gramEnd"/>
            <w:r w:rsidR="00A93C4D">
              <w:rPr>
                <w:rFonts w:cs="Arial"/>
                <w:szCs w:val="20"/>
              </w:rPr>
              <w:t xml:space="preserve"> to account for the current lack of evidence for a level at which no risk of cancer exists.</w:t>
            </w:r>
          </w:p>
          <w:p w14:paraId="36BD6F6B" w14:textId="77777777" w:rsidR="00D72C12" w:rsidRDefault="00D72C12" w:rsidP="004715ED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Human </w:t>
            </w:r>
            <w:r w:rsidR="00D320AC">
              <w:t>data</w:t>
            </w:r>
            <w:r>
              <w:t>:</w:t>
            </w:r>
          </w:p>
          <w:p w14:paraId="620CF961" w14:textId="77777777" w:rsidR="00DC22D0" w:rsidRPr="00DC22D0" w:rsidRDefault="0037471F" w:rsidP="00685361">
            <w:pPr>
              <w:pStyle w:val="ListBullet"/>
              <w:spacing w:before="0" w:after="80"/>
              <w:ind w:left="714" w:hanging="357"/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</w:t>
            </w:r>
            <w:r w:rsidRPr="00DC22D0">
              <w:rPr>
                <w:rFonts w:cs="Arial"/>
                <w:szCs w:val="20"/>
              </w:rPr>
              <w:t>alf-life of 24</w:t>
            </w:r>
            <w:r w:rsidR="0066263F">
              <w:t>–</w:t>
            </w:r>
            <w:r w:rsidRPr="00DC22D0">
              <w:rPr>
                <w:rFonts w:cs="Arial"/>
                <w:szCs w:val="20"/>
              </w:rPr>
              <w:t xml:space="preserve">36 </w:t>
            </w:r>
            <w:r>
              <w:rPr>
                <w:rFonts w:cs="Arial"/>
                <w:szCs w:val="20"/>
              </w:rPr>
              <w:t>h</w:t>
            </w:r>
            <w:r w:rsidRPr="00DC22D0">
              <w:rPr>
                <w:rFonts w:cs="Arial"/>
                <w:szCs w:val="20"/>
              </w:rPr>
              <w:t xml:space="preserve"> in humans</w:t>
            </w:r>
          </w:p>
          <w:p w14:paraId="26C7DA54" w14:textId="7BAFD866" w:rsidR="00D320AC" w:rsidRDefault="008A567E" w:rsidP="006B3478">
            <w:pPr>
              <w:pStyle w:val="ListBullet"/>
              <w:spacing w:before="0" w:after="80"/>
              <w:ind w:left="714" w:hanging="357"/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Epidemiologic</w:t>
            </w:r>
            <w:r w:rsidR="00E37D19">
              <w:rPr>
                <w:rFonts w:cs="Arial"/>
                <w:szCs w:val="20"/>
              </w:rPr>
              <w:t>al</w:t>
            </w:r>
            <w:r>
              <w:rPr>
                <w:rFonts w:cs="Arial"/>
                <w:szCs w:val="20"/>
              </w:rPr>
              <w:t xml:space="preserve"> study of </w:t>
            </w:r>
            <w:r w:rsidR="00685361">
              <w:rPr>
                <w:rFonts w:cs="Arial"/>
                <w:szCs w:val="20"/>
              </w:rPr>
              <w:t>NaAsO</w:t>
            </w:r>
            <w:r w:rsidR="00685361" w:rsidRPr="00DF77E2">
              <w:rPr>
                <w:rFonts w:cs="Arial"/>
                <w:szCs w:val="20"/>
                <w:vertAlign w:val="subscript"/>
              </w:rPr>
              <w:t>2</w:t>
            </w:r>
            <w:r w:rsidR="00B13BBC">
              <w:rPr>
                <w:rFonts w:cs="Arial"/>
                <w:szCs w:val="20"/>
                <w:vertAlign w:val="subscript"/>
              </w:rPr>
              <w:t xml:space="preserve"> </w:t>
            </w:r>
            <w:r>
              <w:rPr>
                <w:rFonts w:cs="Arial"/>
                <w:szCs w:val="20"/>
              </w:rPr>
              <w:t xml:space="preserve">production </w:t>
            </w:r>
            <w:r w:rsidRPr="00D320AC">
              <w:rPr>
                <w:rFonts w:cs="Arial"/>
                <w:szCs w:val="20"/>
              </w:rPr>
              <w:t>workers</w:t>
            </w:r>
            <w:r>
              <w:rPr>
                <w:rFonts w:cs="Arial"/>
                <w:szCs w:val="20"/>
              </w:rPr>
              <w:t xml:space="preserve"> at a single factory found</w:t>
            </w:r>
            <w:r w:rsidRPr="00D320A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e</w:t>
            </w:r>
            <w:r w:rsidR="00FD75B1">
              <w:rPr>
                <w:rFonts w:cs="Arial"/>
                <w:szCs w:val="20"/>
              </w:rPr>
              <w:t>xcess</w:t>
            </w:r>
            <w:r w:rsidR="00D320AC" w:rsidRPr="00D320A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r</w:t>
            </w:r>
            <w:r w:rsidRPr="00D320AC">
              <w:rPr>
                <w:rFonts w:cs="Arial"/>
                <w:szCs w:val="20"/>
              </w:rPr>
              <w:t>espiratory and skin cancer</w:t>
            </w:r>
            <w:r>
              <w:rPr>
                <w:rFonts w:cs="Arial"/>
                <w:szCs w:val="20"/>
              </w:rPr>
              <w:t xml:space="preserve">s causing death in workers with highest exposures to </w:t>
            </w:r>
            <w:r w:rsidR="006B3356">
              <w:rPr>
                <w:rFonts w:cs="Arial"/>
                <w:szCs w:val="20"/>
              </w:rPr>
              <w:t>As</w:t>
            </w:r>
            <w:r w:rsidR="002D053F">
              <w:rPr>
                <w:rFonts w:cs="Arial"/>
                <w:szCs w:val="20"/>
              </w:rPr>
              <w:t>;</w:t>
            </w:r>
            <w:r w:rsidR="006B3356">
              <w:rPr>
                <w:rFonts w:cs="Arial"/>
                <w:szCs w:val="20"/>
              </w:rPr>
              <w:t xml:space="preserve"> </w:t>
            </w:r>
            <w:r w:rsidR="00076931">
              <w:rPr>
                <w:rFonts w:cs="Arial"/>
                <w:szCs w:val="20"/>
              </w:rPr>
              <w:t xml:space="preserve">atmospheric </w:t>
            </w:r>
            <w:r w:rsidR="006B3356">
              <w:rPr>
                <w:rFonts w:cs="Arial"/>
                <w:szCs w:val="20"/>
              </w:rPr>
              <w:t>c</w:t>
            </w:r>
            <w:r>
              <w:rPr>
                <w:rFonts w:cs="Arial"/>
                <w:szCs w:val="20"/>
              </w:rPr>
              <w:t>oncentration</w:t>
            </w:r>
            <w:r w:rsidR="00A51A8F">
              <w:rPr>
                <w:rFonts w:cs="Arial"/>
                <w:szCs w:val="20"/>
              </w:rPr>
              <w:t xml:space="preserve"> range</w:t>
            </w:r>
            <w:r w:rsidR="00076931">
              <w:rPr>
                <w:rFonts w:cs="Arial"/>
                <w:szCs w:val="20"/>
              </w:rPr>
              <w:t>d from a median of</w:t>
            </w:r>
            <w:r w:rsidR="00A51A8F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0.0</w:t>
            </w:r>
            <w:r w:rsidR="00D320AC" w:rsidRPr="00D320AC">
              <w:rPr>
                <w:rFonts w:cs="Arial"/>
                <w:szCs w:val="20"/>
              </w:rPr>
              <w:t>7</w:t>
            </w:r>
            <w:r w:rsidR="00076931">
              <w:rPr>
                <w:rFonts w:cs="Arial"/>
                <w:szCs w:val="20"/>
              </w:rPr>
              <w:t xml:space="preserve"> m</w:t>
            </w:r>
            <w:r w:rsidR="00076931" w:rsidRPr="00D320AC">
              <w:rPr>
                <w:rFonts w:cs="Arial"/>
                <w:szCs w:val="20"/>
              </w:rPr>
              <w:t>g/</w:t>
            </w:r>
            <w:r w:rsidR="00076931">
              <w:rPr>
                <w:rFonts w:cs="Arial"/>
                <w:szCs w:val="20"/>
              </w:rPr>
              <w:t>m</w:t>
            </w:r>
            <w:r w:rsidR="00076931" w:rsidRPr="008A567E">
              <w:rPr>
                <w:rFonts w:cs="Arial"/>
                <w:szCs w:val="20"/>
                <w:vertAlign w:val="superscript"/>
              </w:rPr>
              <w:t>3</w:t>
            </w:r>
            <w:r w:rsidR="00076931">
              <w:rPr>
                <w:rFonts w:cs="Arial"/>
                <w:szCs w:val="20"/>
              </w:rPr>
              <w:t xml:space="preserve"> (packing area) to a median of </w:t>
            </w:r>
            <w:r>
              <w:rPr>
                <w:rFonts w:cs="Arial"/>
                <w:szCs w:val="20"/>
              </w:rPr>
              <w:t>0.</w:t>
            </w:r>
            <w:r w:rsidR="00D320AC" w:rsidRPr="00D320AC">
              <w:rPr>
                <w:rFonts w:cs="Arial"/>
                <w:szCs w:val="20"/>
              </w:rPr>
              <w:t>7</w:t>
            </w:r>
            <w:r>
              <w:rPr>
                <w:rFonts w:cs="Arial"/>
                <w:szCs w:val="20"/>
              </w:rPr>
              <w:t> m</w:t>
            </w:r>
            <w:r w:rsidR="00D320AC" w:rsidRPr="00D320AC">
              <w:rPr>
                <w:rFonts w:cs="Arial"/>
                <w:szCs w:val="20"/>
              </w:rPr>
              <w:t>g/</w:t>
            </w:r>
            <w:r>
              <w:rPr>
                <w:rFonts w:cs="Arial"/>
                <w:szCs w:val="20"/>
              </w:rPr>
              <w:t>m</w:t>
            </w:r>
            <w:r w:rsidRPr="008A567E">
              <w:rPr>
                <w:rFonts w:cs="Arial"/>
                <w:szCs w:val="20"/>
                <w:vertAlign w:val="superscript"/>
              </w:rPr>
              <w:t>3</w:t>
            </w:r>
            <w:r w:rsidR="00076931">
              <w:rPr>
                <w:rFonts w:cs="Arial"/>
                <w:szCs w:val="20"/>
              </w:rPr>
              <w:t xml:space="preserve"> (grinding area).</w:t>
            </w:r>
          </w:p>
          <w:p w14:paraId="69EB6B1E" w14:textId="4D53320D" w:rsidR="00BF7662" w:rsidRDefault="00E16135" w:rsidP="006B3478">
            <w:pPr>
              <w:pStyle w:val="ListBullet"/>
              <w:spacing w:before="0" w:after="0"/>
              <w:ind w:left="714" w:hanging="357"/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</w:t>
            </w:r>
            <w:r w:rsidR="00D03A8A">
              <w:rPr>
                <w:rFonts w:cs="Arial"/>
                <w:szCs w:val="20"/>
              </w:rPr>
              <w:t xml:space="preserve">ultiple epidemiological studies conducted at a copper smelter </w:t>
            </w:r>
            <w:r w:rsidR="00F31A5D">
              <w:rPr>
                <w:rFonts w:cs="Arial"/>
                <w:szCs w:val="20"/>
              </w:rPr>
              <w:t xml:space="preserve">suggest </w:t>
            </w:r>
            <w:r w:rsidR="00C42232">
              <w:rPr>
                <w:rFonts w:cs="Arial"/>
                <w:szCs w:val="20"/>
              </w:rPr>
              <w:t xml:space="preserve">a </w:t>
            </w:r>
            <w:r w:rsidR="0029610D">
              <w:rPr>
                <w:rFonts w:cs="Arial"/>
                <w:szCs w:val="20"/>
              </w:rPr>
              <w:t xml:space="preserve">causal relationship between </w:t>
            </w:r>
            <w:r w:rsidR="00685361">
              <w:rPr>
                <w:rFonts w:cs="Arial"/>
                <w:szCs w:val="20"/>
              </w:rPr>
              <w:t xml:space="preserve">As </w:t>
            </w:r>
            <w:r w:rsidR="0029610D">
              <w:rPr>
                <w:rFonts w:cs="Arial"/>
                <w:szCs w:val="20"/>
              </w:rPr>
              <w:t>exposure and lung cancer</w:t>
            </w:r>
            <w:r w:rsidR="00017454">
              <w:rPr>
                <w:rFonts w:cs="Arial"/>
                <w:szCs w:val="20"/>
              </w:rPr>
              <w:t xml:space="preserve"> (</w:t>
            </w:r>
            <w:r w:rsidR="00B13BBC">
              <w:rPr>
                <w:rFonts w:cs="Arial"/>
                <w:szCs w:val="20"/>
              </w:rPr>
              <w:t xml:space="preserve">Montana group; </w:t>
            </w:r>
            <w:r w:rsidR="00017454">
              <w:rPr>
                <w:rFonts w:cs="Arial"/>
                <w:szCs w:val="20"/>
              </w:rPr>
              <w:t>overall 8</w:t>
            </w:r>
            <w:r w:rsidR="00685361">
              <w:rPr>
                <w:rFonts w:cs="Arial"/>
                <w:szCs w:val="20"/>
              </w:rPr>
              <w:t>,</w:t>
            </w:r>
            <w:r w:rsidR="00017454">
              <w:rPr>
                <w:rFonts w:cs="Arial"/>
                <w:szCs w:val="20"/>
              </w:rPr>
              <w:t>000 workers)</w:t>
            </w:r>
          </w:p>
          <w:p w14:paraId="5C0F850E" w14:textId="09344118" w:rsidR="008C6C67" w:rsidRPr="005052E8" w:rsidRDefault="00BF7662" w:rsidP="00BF7662">
            <w:pPr>
              <w:pStyle w:val="ListBullet"/>
              <w:numPr>
                <w:ilvl w:val="0"/>
                <w:numId w:val="14"/>
              </w:numPr>
              <w:spacing w:before="0" w:after="80"/>
              <w:ind w:left="1077" w:hanging="357"/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</w:t>
            </w:r>
            <w:r w:rsidR="00017454">
              <w:rPr>
                <w:rFonts w:cs="Arial"/>
                <w:szCs w:val="20"/>
              </w:rPr>
              <w:t>ne of these studies</w:t>
            </w:r>
            <w:r w:rsidR="00C543B0">
              <w:rPr>
                <w:rFonts w:cs="Arial"/>
                <w:szCs w:val="20"/>
              </w:rPr>
              <w:t xml:space="preserve"> (</w:t>
            </w:r>
            <w:r w:rsidR="00C543B0" w:rsidRPr="005052E8">
              <w:rPr>
                <w:rFonts w:cs="Arial"/>
                <w:szCs w:val="20"/>
              </w:rPr>
              <w:t>SMR study of 1,800 workers</w:t>
            </w:r>
            <w:r w:rsidR="00C543B0">
              <w:rPr>
                <w:rFonts w:cs="Arial"/>
                <w:szCs w:val="20"/>
              </w:rPr>
              <w:t xml:space="preserve">) </w:t>
            </w:r>
            <w:r w:rsidR="00017454">
              <w:rPr>
                <w:rFonts w:cs="Arial"/>
                <w:szCs w:val="20"/>
              </w:rPr>
              <w:t>demonstrated e</w:t>
            </w:r>
            <w:r w:rsidR="00BD25C7" w:rsidRPr="005052E8">
              <w:rPr>
                <w:rFonts w:cs="Arial"/>
                <w:szCs w:val="20"/>
              </w:rPr>
              <w:t xml:space="preserve">xcess lung cancers in workers exposed to high concentrations of </w:t>
            </w:r>
            <w:r w:rsidR="006B3356">
              <w:rPr>
                <w:rFonts w:cs="Arial"/>
                <w:szCs w:val="20"/>
              </w:rPr>
              <w:t>As</w:t>
            </w:r>
          </w:p>
          <w:p w14:paraId="5A70614C" w14:textId="047D5F53" w:rsidR="008C6C67" w:rsidRPr="005052E8" w:rsidRDefault="00BD25C7" w:rsidP="006B3478">
            <w:pPr>
              <w:pStyle w:val="ListBullet"/>
              <w:numPr>
                <w:ilvl w:val="0"/>
                <w:numId w:val="14"/>
              </w:numPr>
              <w:spacing w:before="0" w:after="80"/>
              <w:ind w:left="1077" w:hanging="357"/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SMR </w:t>
            </w:r>
            <w:r w:rsidR="005052E8" w:rsidRPr="005052E8">
              <w:rPr>
                <w:rFonts w:cs="Arial"/>
                <w:szCs w:val="20"/>
              </w:rPr>
              <w:t>increase</w:t>
            </w:r>
            <w:r w:rsidR="00A51A8F">
              <w:rPr>
                <w:rFonts w:cs="Arial"/>
                <w:szCs w:val="20"/>
              </w:rPr>
              <w:t>d</w:t>
            </w:r>
            <w:r w:rsidR="005052E8" w:rsidRPr="005052E8">
              <w:rPr>
                <w:rFonts w:cs="Arial"/>
                <w:szCs w:val="20"/>
              </w:rPr>
              <w:t xml:space="preserve"> from 138 in lowest exposure group </w:t>
            </w:r>
            <w:r w:rsidRPr="005052E8">
              <w:rPr>
                <w:rFonts w:cs="Arial"/>
                <w:szCs w:val="20"/>
              </w:rPr>
              <w:t>(&lt;0.1 mg/m</w:t>
            </w:r>
            <w:r w:rsidRPr="005052E8">
              <w:rPr>
                <w:rFonts w:cs="Arial"/>
                <w:szCs w:val="20"/>
                <w:vertAlign w:val="superscript"/>
              </w:rPr>
              <w:t>3</w:t>
            </w:r>
            <w:r w:rsidRPr="005052E8">
              <w:rPr>
                <w:rFonts w:cs="Arial"/>
                <w:szCs w:val="20"/>
              </w:rPr>
              <w:t>)</w:t>
            </w:r>
            <w:r>
              <w:rPr>
                <w:rFonts w:cs="Arial"/>
                <w:szCs w:val="20"/>
              </w:rPr>
              <w:t xml:space="preserve"> </w:t>
            </w:r>
            <w:r w:rsidR="005052E8" w:rsidRPr="005052E8">
              <w:rPr>
                <w:rFonts w:cs="Arial"/>
                <w:szCs w:val="20"/>
              </w:rPr>
              <w:t xml:space="preserve">to </w:t>
            </w:r>
            <w:r w:rsidR="001B452C" w:rsidRPr="005052E8">
              <w:rPr>
                <w:rFonts w:cs="Arial"/>
                <w:szCs w:val="20"/>
              </w:rPr>
              <w:t>704</w:t>
            </w:r>
            <w:r w:rsidR="001B452C">
              <w:rPr>
                <w:rFonts w:cs="Arial"/>
                <w:szCs w:val="20"/>
              </w:rPr>
              <w:t xml:space="preserve"> </w:t>
            </w:r>
            <w:r w:rsidR="005052E8" w:rsidRPr="005052E8">
              <w:rPr>
                <w:rFonts w:cs="Arial"/>
                <w:szCs w:val="20"/>
              </w:rPr>
              <w:t>in highest exposure group</w:t>
            </w:r>
            <w:r>
              <w:rPr>
                <w:rFonts w:cs="Arial"/>
                <w:szCs w:val="20"/>
              </w:rPr>
              <w:t xml:space="preserve"> </w:t>
            </w:r>
            <w:r w:rsidR="0066263F" w:rsidRPr="005052E8">
              <w:rPr>
                <w:rFonts w:cs="Arial"/>
                <w:szCs w:val="20"/>
              </w:rPr>
              <w:t>(&gt;5 mg/m</w:t>
            </w:r>
            <w:r w:rsidR="0066263F" w:rsidRPr="005052E8">
              <w:rPr>
                <w:rFonts w:cs="Arial"/>
                <w:szCs w:val="20"/>
                <w:vertAlign w:val="superscript"/>
              </w:rPr>
              <w:t>3</w:t>
            </w:r>
            <w:r w:rsidR="0066263F" w:rsidRPr="005052E8">
              <w:rPr>
                <w:rFonts w:cs="Arial"/>
                <w:szCs w:val="20"/>
              </w:rPr>
              <w:t>)</w:t>
            </w:r>
          </w:p>
          <w:p w14:paraId="24517A13" w14:textId="72D72639" w:rsidR="00A709EF" w:rsidRPr="00A709EF" w:rsidRDefault="00BD25C7" w:rsidP="006B3478">
            <w:pPr>
              <w:pStyle w:val="ListBullet"/>
              <w:spacing w:before="0" w:after="0"/>
              <w:ind w:left="714" w:hanging="357"/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</w:t>
            </w:r>
            <w:r w:rsidRPr="00A709EF">
              <w:rPr>
                <w:rFonts w:cs="Arial"/>
                <w:szCs w:val="20"/>
              </w:rPr>
              <w:t>ositive relation</w:t>
            </w:r>
            <w:r w:rsidR="0037471F">
              <w:rPr>
                <w:rFonts w:cs="Arial"/>
                <w:szCs w:val="20"/>
              </w:rPr>
              <w:t>ship</w:t>
            </w:r>
            <w:r w:rsidRPr="00A709EF">
              <w:rPr>
                <w:rFonts w:cs="Arial"/>
                <w:szCs w:val="20"/>
              </w:rPr>
              <w:t xml:space="preserve"> between time</w:t>
            </w:r>
            <w:r w:rsidRPr="00A709EF">
              <w:rPr>
                <w:rFonts w:cs="Arial"/>
                <w:szCs w:val="20"/>
              </w:rPr>
              <w:noBreakHyphen/>
              <w:t xml:space="preserve">weighted exposure and risk of lung cancer </w:t>
            </w:r>
            <w:r>
              <w:rPr>
                <w:rFonts w:cs="Arial"/>
                <w:szCs w:val="20"/>
              </w:rPr>
              <w:t xml:space="preserve">in </w:t>
            </w:r>
            <w:r w:rsidR="00A709EF" w:rsidRPr="00A709EF">
              <w:rPr>
                <w:rFonts w:cs="Arial"/>
                <w:szCs w:val="20"/>
              </w:rPr>
              <w:t>SMR study of a copper smelter (</w:t>
            </w:r>
            <w:r w:rsidR="00C543B0">
              <w:rPr>
                <w:rFonts w:cs="Arial"/>
                <w:szCs w:val="20"/>
              </w:rPr>
              <w:t>Tacoma group:</w:t>
            </w:r>
            <w:r w:rsidR="008438BF">
              <w:rPr>
                <w:rFonts w:cs="Arial"/>
                <w:szCs w:val="20"/>
              </w:rPr>
              <w:t xml:space="preserve"> </w:t>
            </w:r>
            <w:r w:rsidR="00A709EF" w:rsidRPr="00A709EF">
              <w:rPr>
                <w:rFonts w:cs="Arial"/>
                <w:szCs w:val="20"/>
              </w:rPr>
              <w:t>2</w:t>
            </w:r>
            <w:r w:rsidR="00BA5F2F">
              <w:rPr>
                <w:rFonts w:cs="Arial"/>
                <w:szCs w:val="20"/>
              </w:rPr>
              <w:t>,</w:t>
            </w:r>
            <w:r w:rsidR="00A709EF" w:rsidRPr="00A709EF">
              <w:rPr>
                <w:rFonts w:cs="Arial"/>
                <w:szCs w:val="20"/>
              </w:rPr>
              <w:t xml:space="preserve">800 workers) </w:t>
            </w:r>
          </w:p>
          <w:p w14:paraId="64C50018" w14:textId="77777777" w:rsidR="002A3458" w:rsidRDefault="006B3356" w:rsidP="006B3478">
            <w:pPr>
              <w:pStyle w:val="ListBullet"/>
              <w:numPr>
                <w:ilvl w:val="0"/>
                <w:numId w:val="14"/>
              </w:numPr>
              <w:spacing w:before="0" w:after="80"/>
              <w:ind w:left="1077" w:hanging="357"/>
              <w:contextualSpacing w:val="0"/>
            </w:pPr>
            <w:r>
              <w:rPr>
                <w:rFonts w:cs="Arial"/>
                <w:szCs w:val="20"/>
              </w:rPr>
              <w:t>e</w:t>
            </w:r>
            <w:r w:rsidR="00BD25C7" w:rsidRPr="00A709EF">
              <w:rPr>
                <w:rFonts w:cs="Arial"/>
                <w:szCs w:val="20"/>
              </w:rPr>
              <w:t xml:space="preserve">xcess risk of respiratory cancer </w:t>
            </w:r>
            <w:r w:rsidR="00BD25C7">
              <w:rPr>
                <w:rFonts w:cs="Arial"/>
                <w:szCs w:val="20"/>
              </w:rPr>
              <w:t xml:space="preserve">in </w:t>
            </w:r>
            <w:r w:rsidR="00BD25C7" w:rsidRPr="00A709EF">
              <w:rPr>
                <w:rFonts w:cs="Arial"/>
                <w:szCs w:val="20"/>
              </w:rPr>
              <w:t>lowest exposure group (0.2 mg/m</w:t>
            </w:r>
            <w:r w:rsidR="00BD25C7" w:rsidRPr="00A709EF">
              <w:rPr>
                <w:rFonts w:cs="Arial"/>
                <w:szCs w:val="20"/>
                <w:vertAlign w:val="superscript"/>
              </w:rPr>
              <w:t>3</w:t>
            </w:r>
            <w:r w:rsidR="00BD25C7" w:rsidRPr="00A709EF">
              <w:rPr>
                <w:rFonts w:cs="Arial"/>
                <w:szCs w:val="20"/>
              </w:rPr>
              <w:t>)</w:t>
            </w:r>
            <w:r w:rsidR="00BD25C7">
              <w:rPr>
                <w:rFonts w:cs="Arial"/>
                <w:szCs w:val="20"/>
              </w:rPr>
              <w:t xml:space="preserve"> based on</w:t>
            </w:r>
            <w:r w:rsidR="00BD25C7" w:rsidRPr="00A709EF">
              <w:rPr>
                <w:rFonts w:cs="Arial"/>
                <w:szCs w:val="20"/>
              </w:rPr>
              <w:t xml:space="preserve"> </w:t>
            </w:r>
            <w:r w:rsidR="00BD25C7">
              <w:rPr>
                <w:rFonts w:cs="Arial"/>
                <w:szCs w:val="20"/>
              </w:rPr>
              <w:t>a</w:t>
            </w:r>
            <w:r w:rsidR="00A709EF" w:rsidRPr="00A709EF">
              <w:rPr>
                <w:rFonts w:cs="Arial"/>
                <w:szCs w:val="20"/>
              </w:rPr>
              <w:t>tmospheric</w:t>
            </w:r>
            <w:r w:rsidR="0037471F">
              <w:rPr>
                <w:rFonts w:cs="Arial"/>
                <w:szCs w:val="20"/>
              </w:rPr>
              <w:t xml:space="preserve"> exposure</w:t>
            </w:r>
            <w:r w:rsidR="00A709EF" w:rsidRPr="00A709EF">
              <w:rPr>
                <w:rFonts w:cs="Arial"/>
                <w:szCs w:val="20"/>
              </w:rPr>
              <w:t xml:space="preserve"> (type not specified) </w:t>
            </w:r>
            <w:r w:rsidR="004C16CB">
              <w:rPr>
                <w:rFonts w:cs="Arial"/>
                <w:szCs w:val="20"/>
              </w:rPr>
              <w:t xml:space="preserve">and urine </w:t>
            </w:r>
            <w:r w:rsidR="004C16CB" w:rsidRPr="00A709EF">
              <w:rPr>
                <w:rFonts w:cs="Arial"/>
                <w:szCs w:val="20"/>
              </w:rPr>
              <w:t>sampling</w:t>
            </w:r>
            <w:r w:rsidR="002A3458">
              <w:t xml:space="preserve"> </w:t>
            </w:r>
          </w:p>
          <w:p w14:paraId="74A186B6" w14:textId="41197196" w:rsidR="00FD75B1" w:rsidRDefault="002A3458" w:rsidP="006B3478">
            <w:pPr>
              <w:pStyle w:val="ListBullet"/>
              <w:spacing w:before="0" w:after="80"/>
              <w:ind w:left="714" w:hanging="357"/>
              <w:contextualSpacing w:val="0"/>
            </w:pPr>
            <w:r w:rsidRPr="006B3478">
              <w:rPr>
                <w:rFonts w:cs="Arial"/>
                <w:szCs w:val="20"/>
              </w:rPr>
              <w:t>Clinically</w:t>
            </w:r>
            <w:r>
              <w:t xml:space="preserve"> non-relevant changes to liver function in </w:t>
            </w:r>
            <w:r w:rsidR="00B41693">
              <w:t>As</w:t>
            </w:r>
            <w:r w:rsidR="00B41693" w:rsidRPr="00DF77E2">
              <w:rPr>
                <w:vertAlign w:val="subscript"/>
              </w:rPr>
              <w:t>2</w:t>
            </w:r>
            <w:r w:rsidR="00B41693">
              <w:t>O</w:t>
            </w:r>
            <w:r w:rsidR="00B41693" w:rsidRPr="00DF77E2">
              <w:rPr>
                <w:vertAlign w:val="subscript"/>
              </w:rPr>
              <w:t>3</w:t>
            </w:r>
            <w:r w:rsidR="00B41693">
              <w:t xml:space="preserve"> </w:t>
            </w:r>
            <w:r>
              <w:t xml:space="preserve">workers exposed to </w:t>
            </w:r>
            <w:r w:rsidR="006B3356">
              <w:br/>
            </w:r>
            <w:r>
              <w:t>5.7–11.6 µg/m</w:t>
            </w:r>
            <w:r>
              <w:rPr>
                <w:vertAlign w:val="superscript"/>
              </w:rPr>
              <w:t>3</w:t>
            </w:r>
            <w:r>
              <w:t xml:space="preserve"> (82.6 µg/L urinary excretion) compared with smelter workers exposed to 18.9 µg/m</w:t>
            </w:r>
            <w:r>
              <w:rPr>
                <w:vertAlign w:val="superscript"/>
              </w:rPr>
              <w:t>3</w:t>
            </w:r>
            <w:r w:rsidR="00FD75B1">
              <w:t xml:space="preserve"> (53.3 µg/L urinary excretion)</w:t>
            </w:r>
          </w:p>
          <w:p w14:paraId="69449DB4" w14:textId="08276B86" w:rsidR="00A93C4D" w:rsidRDefault="00FD75B1" w:rsidP="006B3478">
            <w:pPr>
              <w:pStyle w:val="ListBullet"/>
              <w:spacing w:before="0" w:after="80"/>
              <w:ind w:left="714" w:hanging="357"/>
              <w:contextualSpacing w:val="0"/>
            </w:pPr>
            <w:r w:rsidRPr="006B3478">
              <w:rPr>
                <w:rFonts w:cs="Arial"/>
                <w:szCs w:val="20"/>
              </w:rPr>
              <w:t>Noted</w:t>
            </w:r>
            <w:r>
              <w:t xml:space="preserve"> h</w:t>
            </w:r>
            <w:r w:rsidR="002A3458">
              <w:t xml:space="preserve">igher urinary concentration in </w:t>
            </w:r>
            <w:r w:rsidR="00685361" w:rsidRPr="00076931">
              <w:t>As</w:t>
            </w:r>
            <w:r w:rsidR="00685361" w:rsidRPr="00076931">
              <w:rPr>
                <w:vertAlign w:val="subscript"/>
              </w:rPr>
              <w:t>2</w:t>
            </w:r>
            <w:r w:rsidR="00685361" w:rsidRPr="00076931">
              <w:t>O</w:t>
            </w:r>
            <w:r w:rsidR="00685361" w:rsidRPr="00076931">
              <w:rPr>
                <w:vertAlign w:val="subscript"/>
              </w:rPr>
              <w:t>3</w:t>
            </w:r>
            <w:r w:rsidR="00076931">
              <w:t xml:space="preserve"> </w:t>
            </w:r>
            <w:r w:rsidR="002A3458" w:rsidRPr="00076931">
              <w:t>workers</w:t>
            </w:r>
            <w:r w:rsidR="002A3458">
              <w:t xml:space="preserve"> than smelter workers despite their lower airborne </w:t>
            </w:r>
            <w:r w:rsidR="006B3356">
              <w:t>As</w:t>
            </w:r>
            <w:r w:rsidR="002A3458">
              <w:t xml:space="preserve"> exposure</w:t>
            </w:r>
          </w:p>
          <w:p w14:paraId="017187CE" w14:textId="0BB409E6" w:rsidR="00A93C4D" w:rsidRPr="002A3458" w:rsidRDefault="00A93C4D" w:rsidP="00A93C4D">
            <w:pPr>
              <w:pStyle w:val="ListBullet"/>
              <w:ind w:left="720"/>
            </w:pPr>
            <w:r>
              <w:t xml:space="preserve">Currently available mutagenicity data from patients and exposed workers is </w:t>
            </w:r>
            <w:r w:rsidR="00C42232">
              <w:t>inconsistent</w:t>
            </w:r>
            <w:r>
              <w:t>.</w:t>
            </w:r>
          </w:p>
          <w:p w14:paraId="3DD956D1" w14:textId="77777777" w:rsidR="006B3356" w:rsidRDefault="006B3356" w:rsidP="004715ED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55E456E2" w14:textId="77777777" w:rsidR="005052E8" w:rsidRDefault="005052E8" w:rsidP="004715ED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33E5F677" w14:textId="77777777" w:rsidR="005052E8" w:rsidRPr="008F6FD6" w:rsidRDefault="00A709EF" w:rsidP="006B3478">
            <w:pPr>
              <w:pStyle w:val="ListBullet"/>
              <w:spacing w:before="0" w:after="80"/>
              <w:ind w:left="714" w:hanging="357"/>
              <w:contextualSpacing w:val="0"/>
              <w:rPr>
                <w:rFonts w:cs="Arial"/>
                <w:szCs w:val="20"/>
              </w:rPr>
            </w:pPr>
            <w:r w:rsidRPr="006B3478">
              <w:rPr>
                <w:rFonts w:cs="Arial"/>
                <w:szCs w:val="20"/>
              </w:rPr>
              <w:t>Elemental</w:t>
            </w:r>
            <w:r w:rsidRPr="008F6FD6">
              <w:rPr>
                <w:rFonts w:cs="Arial"/>
                <w:szCs w:val="20"/>
              </w:rPr>
              <w:t xml:space="preserve"> </w:t>
            </w:r>
            <w:r w:rsidR="006B3356">
              <w:rPr>
                <w:rFonts w:cs="Arial"/>
                <w:szCs w:val="20"/>
              </w:rPr>
              <w:t>As</w:t>
            </w:r>
            <w:r w:rsidRPr="008F6FD6">
              <w:rPr>
                <w:rFonts w:cs="Arial"/>
                <w:szCs w:val="20"/>
              </w:rPr>
              <w:t xml:space="preserve"> typically less toxic </w:t>
            </w:r>
            <w:r w:rsidR="00FD75B1">
              <w:rPr>
                <w:rFonts w:cs="Arial"/>
                <w:szCs w:val="20"/>
              </w:rPr>
              <w:t xml:space="preserve">than </w:t>
            </w:r>
            <w:r w:rsidRPr="008F6FD6">
              <w:rPr>
                <w:rFonts w:cs="Arial"/>
                <w:szCs w:val="20"/>
              </w:rPr>
              <w:t>oxides</w:t>
            </w:r>
            <w:r w:rsidR="00841CA3" w:rsidRPr="008F6FD6">
              <w:rPr>
                <w:rFonts w:cs="Arial"/>
                <w:szCs w:val="20"/>
              </w:rPr>
              <w:t>;</w:t>
            </w:r>
            <w:r w:rsidRPr="008F6FD6">
              <w:rPr>
                <w:rFonts w:cs="Arial"/>
                <w:szCs w:val="20"/>
              </w:rPr>
              <w:t xml:space="preserve"> </w:t>
            </w:r>
            <w:proofErr w:type="spellStart"/>
            <w:r w:rsidRPr="008F6FD6">
              <w:rPr>
                <w:rFonts w:cs="Arial"/>
                <w:szCs w:val="20"/>
              </w:rPr>
              <w:t>sulfides</w:t>
            </w:r>
            <w:proofErr w:type="spellEnd"/>
            <w:r w:rsidRPr="008F6FD6">
              <w:rPr>
                <w:rFonts w:cs="Arial"/>
                <w:szCs w:val="20"/>
              </w:rPr>
              <w:t xml:space="preserve"> are less acutely toxic but comparably chronically</w:t>
            </w:r>
            <w:r w:rsidR="006B3356">
              <w:rPr>
                <w:rFonts w:cs="Arial"/>
                <w:szCs w:val="20"/>
              </w:rPr>
              <w:t>; l</w:t>
            </w:r>
            <w:r w:rsidRPr="008F6FD6">
              <w:rPr>
                <w:rFonts w:cs="Arial"/>
                <w:szCs w:val="20"/>
              </w:rPr>
              <w:t xml:space="preserve">ittle information available for </w:t>
            </w:r>
            <w:r w:rsidR="00DC22D0" w:rsidRPr="008F6FD6">
              <w:rPr>
                <w:rFonts w:cs="Arial"/>
                <w:szCs w:val="20"/>
              </w:rPr>
              <w:t>organic arsenicals</w:t>
            </w:r>
          </w:p>
          <w:p w14:paraId="182D0F52" w14:textId="14EC629F" w:rsidR="00DC22D0" w:rsidRPr="008F6FD6" w:rsidRDefault="00AB3694" w:rsidP="006B3478">
            <w:pPr>
              <w:pStyle w:val="ListBullet"/>
              <w:spacing w:before="0" w:after="80"/>
              <w:ind w:left="714" w:hanging="357"/>
              <w:contextualSpacing w:val="0"/>
            </w:pPr>
            <w:r w:rsidRPr="008F6FD6">
              <w:t>Lung adenomas</w:t>
            </w:r>
            <w:r w:rsidR="00BD25C7" w:rsidRPr="008F6FD6">
              <w:t xml:space="preserve"> developed</w:t>
            </w:r>
            <w:r w:rsidRPr="008F6FD6">
              <w:t xml:space="preserve"> in inhalation study of </w:t>
            </w:r>
            <w:r w:rsidR="00B41693" w:rsidRPr="00B41693">
              <w:rPr>
                <w:rFonts w:cs="Arial"/>
                <w:szCs w:val="20"/>
              </w:rPr>
              <w:t>Ca</w:t>
            </w:r>
            <w:r w:rsidR="00B41693" w:rsidRPr="00B41693">
              <w:rPr>
                <w:rFonts w:cs="Arial"/>
                <w:szCs w:val="20"/>
                <w:vertAlign w:val="subscript"/>
              </w:rPr>
              <w:t>3</w:t>
            </w:r>
            <w:r w:rsidR="00B41693" w:rsidRPr="00B41693">
              <w:rPr>
                <w:rFonts w:cs="Arial"/>
                <w:szCs w:val="20"/>
              </w:rPr>
              <w:t>(AsO4)</w:t>
            </w:r>
            <w:r w:rsidR="00B41693" w:rsidRPr="00B41693">
              <w:rPr>
                <w:rFonts w:cs="Arial"/>
                <w:szCs w:val="20"/>
                <w:vertAlign w:val="subscript"/>
              </w:rPr>
              <w:t>2</w:t>
            </w:r>
            <w:r w:rsidR="00076931">
              <w:t xml:space="preserve"> o</w:t>
            </w:r>
            <w:r w:rsidRPr="008F6FD6">
              <w:t xml:space="preserve">r </w:t>
            </w:r>
            <w:r w:rsidR="00B41693">
              <w:t>As</w:t>
            </w:r>
            <w:r w:rsidR="00B41693" w:rsidRPr="00DF77E2">
              <w:rPr>
                <w:vertAlign w:val="subscript"/>
              </w:rPr>
              <w:t>2</w:t>
            </w:r>
            <w:r w:rsidR="00B41693">
              <w:t>S</w:t>
            </w:r>
            <w:r w:rsidR="00B41693" w:rsidRPr="00DF77E2">
              <w:rPr>
                <w:vertAlign w:val="subscript"/>
              </w:rPr>
              <w:t>3</w:t>
            </w:r>
            <w:r w:rsidRPr="008F6FD6">
              <w:t xml:space="preserve"> </w:t>
            </w:r>
            <w:r w:rsidR="00DC22D0" w:rsidRPr="008F6FD6">
              <w:t>(</w:t>
            </w:r>
            <w:r w:rsidRPr="008F6FD6">
              <w:t>hamsters, intra</w:t>
            </w:r>
            <w:r w:rsidR="006B3356">
              <w:t>-</w:t>
            </w:r>
            <w:proofErr w:type="spellStart"/>
            <w:r w:rsidRPr="008F6FD6">
              <w:t>tracheally</w:t>
            </w:r>
            <w:proofErr w:type="spellEnd"/>
            <w:r w:rsidRPr="008F6FD6">
              <w:t xml:space="preserve"> instilled, </w:t>
            </w:r>
            <w:r w:rsidR="00DC22D0" w:rsidRPr="008F6FD6">
              <w:t>3</w:t>
            </w:r>
            <w:r w:rsidRPr="008F6FD6">
              <w:t> </w:t>
            </w:r>
            <w:r w:rsidR="00DC22D0" w:rsidRPr="008F6FD6">
              <w:t>mg/kg</w:t>
            </w:r>
            <w:r w:rsidR="00984346" w:rsidRPr="008F6FD6">
              <w:t xml:space="preserve"> </w:t>
            </w:r>
            <w:r w:rsidR="0063027C">
              <w:t>elemental As</w:t>
            </w:r>
            <w:r w:rsidR="00DC22D0" w:rsidRPr="008F6FD6">
              <w:t>, weekly, duration unspecified)</w:t>
            </w:r>
          </w:p>
          <w:p w14:paraId="1A8882BB" w14:textId="4B902BBA" w:rsidR="00CE6982" w:rsidRPr="00BF7662" w:rsidRDefault="00BD25C7" w:rsidP="00BF7662">
            <w:pPr>
              <w:pStyle w:val="ListBullet"/>
              <w:spacing w:before="0" w:after="80"/>
              <w:ind w:left="714" w:hanging="357"/>
              <w:contextualSpacing w:val="0"/>
              <w:rPr>
                <w:rFonts w:cs="Arial"/>
                <w:szCs w:val="20"/>
              </w:rPr>
            </w:pPr>
            <w:r w:rsidRPr="006B3478">
              <w:rPr>
                <w:rFonts w:cs="Arial"/>
                <w:szCs w:val="20"/>
              </w:rPr>
              <w:t>Lung</w:t>
            </w:r>
            <w:r w:rsidRPr="008F6FD6">
              <w:rPr>
                <w:rFonts w:cs="Arial"/>
                <w:szCs w:val="20"/>
              </w:rPr>
              <w:t xml:space="preserve"> adenomas observed in inhalation study with </w:t>
            </w:r>
            <w:r w:rsidR="006B3356">
              <w:rPr>
                <w:rFonts w:cs="Arial"/>
                <w:szCs w:val="20"/>
              </w:rPr>
              <w:t>AsO</w:t>
            </w:r>
            <w:r w:rsidR="006B3356" w:rsidRPr="00597AA7">
              <w:rPr>
                <w:rFonts w:cs="Arial"/>
                <w:szCs w:val="20"/>
                <w:vertAlign w:val="subscript"/>
              </w:rPr>
              <w:t>3</w:t>
            </w:r>
            <w:r w:rsidRPr="008F6FD6">
              <w:rPr>
                <w:rFonts w:cs="Arial"/>
                <w:szCs w:val="20"/>
              </w:rPr>
              <w:t xml:space="preserve"> (hamsters, intra</w:t>
            </w:r>
            <w:r w:rsidR="006B3356">
              <w:rPr>
                <w:rFonts w:cs="Arial"/>
                <w:szCs w:val="20"/>
              </w:rPr>
              <w:t>-</w:t>
            </w:r>
            <w:proofErr w:type="spellStart"/>
            <w:r w:rsidRPr="008F6FD6">
              <w:rPr>
                <w:rFonts w:cs="Arial"/>
                <w:szCs w:val="20"/>
              </w:rPr>
              <w:t>tracheally</w:t>
            </w:r>
            <w:proofErr w:type="spellEnd"/>
            <w:r w:rsidRPr="008F6FD6">
              <w:rPr>
                <w:rFonts w:cs="Arial"/>
                <w:szCs w:val="20"/>
              </w:rPr>
              <w:t xml:space="preserve"> instilled, 3.75</w:t>
            </w:r>
            <w:r w:rsidR="0066263F">
              <w:t>–</w:t>
            </w:r>
            <w:r w:rsidRPr="008F6FD6">
              <w:rPr>
                <w:rFonts w:cs="Arial"/>
                <w:szCs w:val="20"/>
              </w:rPr>
              <w:t xml:space="preserve">5.2 mg </w:t>
            </w:r>
            <w:r w:rsidR="0063027C">
              <w:rPr>
                <w:rFonts w:cs="Arial"/>
                <w:szCs w:val="20"/>
              </w:rPr>
              <w:t xml:space="preserve">elemental </w:t>
            </w:r>
            <w:proofErr w:type="gramStart"/>
            <w:r w:rsidR="0063027C">
              <w:rPr>
                <w:rFonts w:cs="Arial"/>
                <w:szCs w:val="20"/>
              </w:rPr>
              <w:t>As</w:t>
            </w:r>
            <w:proofErr w:type="gramEnd"/>
            <w:r w:rsidR="00984346" w:rsidRPr="008F6FD6">
              <w:rPr>
                <w:rFonts w:cs="Arial"/>
                <w:szCs w:val="20"/>
              </w:rPr>
              <w:t>, weekly, duration unspecified)</w:t>
            </w:r>
            <w:r w:rsidR="00B7397E">
              <w:rPr>
                <w:rFonts w:cs="Arial"/>
                <w:szCs w:val="20"/>
              </w:rPr>
              <w:t>.</w:t>
            </w:r>
          </w:p>
        </w:tc>
      </w:tr>
      <w:tr w:rsidR="00C978F0" w:rsidRPr="00DA352E" w14:paraId="44E21DD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77757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B2F8C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B2F8C">
                  <w:t>—</w:t>
                </w:r>
              </w:sdtContent>
            </w:sdt>
          </w:p>
        </w:tc>
      </w:tr>
      <w:tr w:rsidR="00C978F0" w:rsidRPr="00DA352E" w14:paraId="4E018B1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1A08AA4" w14:textId="77777777" w:rsidR="00C978F0" w:rsidRDefault="00B7397E" w:rsidP="003365A5">
            <w:pPr>
              <w:pStyle w:val="Tabletextprimarysource"/>
            </w:pPr>
            <w:r w:rsidRPr="00C543B0">
              <w:rPr>
                <w:rFonts w:cs="Arial"/>
                <w:szCs w:val="20"/>
              </w:rPr>
              <w:t>Summary</w:t>
            </w:r>
            <w:r>
              <w:t xml:space="preserve"> of additional data:</w:t>
            </w:r>
          </w:p>
          <w:p w14:paraId="231E8828" w14:textId="77777777" w:rsidR="008438BF" w:rsidRDefault="006B3356" w:rsidP="00C543B0">
            <w:r>
              <w:t>A</w:t>
            </w:r>
            <w:r w:rsidR="00EB2F8C">
              <w:t xml:space="preserve"> NOAEL for carcinogenic effects can</w:t>
            </w:r>
            <w:r>
              <w:t xml:space="preserve">not </w:t>
            </w:r>
            <w:r w:rsidR="00EB2F8C">
              <w:t>be determined from available studies</w:t>
            </w:r>
            <w:r w:rsidR="00DE4EA6">
              <w:t xml:space="preserve">. </w:t>
            </w:r>
            <w:r w:rsidR="00CD6DA7">
              <w:t>C</w:t>
            </w:r>
            <w:r w:rsidR="00CD6DA7" w:rsidRPr="00CD6DA7">
              <w:t xml:space="preserve">hanged DNA </w:t>
            </w:r>
            <w:r w:rsidR="00CD6DA7" w:rsidRPr="00C543B0">
              <w:t>methylation</w:t>
            </w:r>
            <w:r w:rsidR="00CD6DA7" w:rsidRPr="00CD6DA7">
              <w:t>, histone modification and micro</w:t>
            </w:r>
            <w:r w:rsidR="00CD6DA7">
              <w:t>-</w:t>
            </w:r>
            <w:r w:rsidR="00CD6DA7" w:rsidRPr="00CD6DA7">
              <w:t>RNA expression</w:t>
            </w:r>
            <w:r w:rsidR="00CD6DA7">
              <w:t xml:space="preserve"> attributed to carcinogenic mechanism of action</w:t>
            </w:r>
            <w:r w:rsidR="00DE4EA6">
              <w:t xml:space="preserve">. </w:t>
            </w:r>
          </w:p>
          <w:p w14:paraId="77FD171C" w14:textId="16D70333" w:rsidR="006B3356" w:rsidRDefault="002C637F" w:rsidP="00C543B0">
            <w:r w:rsidRPr="00C543B0">
              <w:rPr>
                <w:rFonts w:cs="Arial"/>
                <w:szCs w:val="20"/>
              </w:rPr>
              <w:t>Reduction</w:t>
            </w:r>
            <w:r>
              <w:t xml:space="preserve"> of </w:t>
            </w:r>
            <w:proofErr w:type="gramStart"/>
            <w:r>
              <w:t>As(</w:t>
            </w:r>
            <w:proofErr w:type="gramEnd"/>
            <w:r>
              <w:t xml:space="preserve">V) to As(III) compounds is favoured under physiological conditions. </w:t>
            </w:r>
            <w:r w:rsidR="00DE4EA6">
              <w:t xml:space="preserve">Upon inhalation, </w:t>
            </w:r>
            <w:r w:rsidR="00685361">
              <w:t xml:space="preserve">As </w:t>
            </w:r>
            <w:r w:rsidR="00DE4EA6">
              <w:t xml:space="preserve">is distributed throughout the body by the </w:t>
            </w:r>
            <w:proofErr w:type="gramStart"/>
            <w:r w:rsidR="00DE4EA6">
              <w:t>blood</w:t>
            </w:r>
            <w:r>
              <w:t>;</w:t>
            </w:r>
            <w:proofErr w:type="gramEnd"/>
            <w:r w:rsidR="00DE4EA6">
              <w:t xml:space="preserve"> target organs are </w:t>
            </w:r>
            <w:r w:rsidR="00DE4EA6" w:rsidRPr="00DE4EA6">
              <w:t>lungs, bladder, kidneys, skin and liver</w:t>
            </w:r>
            <w:r w:rsidR="00DE4EA6">
              <w:t>.</w:t>
            </w:r>
          </w:p>
          <w:p w14:paraId="436C8AFA" w14:textId="77777777" w:rsidR="00DE4EA6" w:rsidRDefault="00751EC2" w:rsidP="004715ED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361C71C3" w14:textId="77777777" w:rsidR="00751EC2" w:rsidRDefault="00751EC2" w:rsidP="006B3478">
            <w:pPr>
              <w:pStyle w:val="ListBullet"/>
              <w:spacing w:before="0" w:after="80"/>
              <w:ind w:left="714" w:hanging="357"/>
              <w:contextualSpacing w:val="0"/>
            </w:pPr>
            <w:r w:rsidRPr="006B3478">
              <w:rPr>
                <w:rFonts w:cs="Arial"/>
                <w:szCs w:val="20"/>
              </w:rPr>
              <w:t>Case</w:t>
            </w:r>
            <w:r>
              <w:t xml:space="preserve"> study of glass factory worker exposed to </w:t>
            </w:r>
            <w:r w:rsidR="006B3356">
              <w:t>AsO</w:t>
            </w:r>
            <w:r w:rsidR="006B3356" w:rsidRPr="00597AA7">
              <w:rPr>
                <w:vertAlign w:val="subscript"/>
              </w:rPr>
              <w:t>3</w:t>
            </w:r>
            <w:r>
              <w:t xml:space="preserve"> reported vascular papilloma on skin of the hands, </w:t>
            </w:r>
            <w:r w:rsidR="00513613">
              <w:t>neck</w:t>
            </w:r>
            <w:r w:rsidR="00D4203F">
              <w:t>, and</w:t>
            </w:r>
            <w:r w:rsidR="00513613">
              <w:t xml:space="preserve"> </w:t>
            </w:r>
            <w:r>
              <w:t>hollows of the elbows and knees</w:t>
            </w:r>
          </w:p>
          <w:p w14:paraId="7C45109D" w14:textId="77777777" w:rsidR="00643CA1" w:rsidRDefault="00751EC2" w:rsidP="006B3478">
            <w:pPr>
              <w:pStyle w:val="ListBullet"/>
              <w:spacing w:before="0" w:after="80"/>
              <w:ind w:left="714" w:hanging="357"/>
              <w:contextualSpacing w:val="0"/>
            </w:pPr>
            <w:r w:rsidRPr="006B3478">
              <w:rPr>
                <w:rFonts w:cs="Arial"/>
                <w:szCs w:val="20"/>
              </w:rPr>
              <w:t>Linear</w:t>
            </w:r>
            <w:r>
              <w:t xml:space="preserve"> dose-</w:t>
            </w:r>
            <w:r w:rsidR="00317F94">
              <w:t>response relationship for lung cancer reported in 2</w:t>
            </w:r>
            <w:r w:rsidR="006B3356">
              <w:t>/</w:t>
            </w:r>
            <w:r w:rsidR="00317F94">
              <w:t>6 reviewed studies</w:t>
            </w:r>
            <w:r w:rsidR="006B3356">
              <w:t>; r</w:t>
            </w:r>
            <w:r w:rsidR="00317F94">
              <w:t>emaining 4 studies cited lack of data on synergistic effects of smoking</w:t>
            </w:r>
            <w:r w:rsidR="001E0DFA">
              <w:t xml:space="preserve">; </w:t>
            </w:r>
            <w:r w:rsidR="00643CA1">
              <w:t>co-exposures to other substances may account for supra-linear relationships</w:t>
            </w:r>
          </w:p>
          <w:p w14:paraId="009B61E2" w14:textId="4EA83F2B" w:rsidR="00EB2C78" w:rsidRDefault="006B3356" w:rsidP="006B3478">
            <w:pPr>
              <w:pStyle w:val="ListBullet"/>
              <w:spacing w:before="0" w:after="80"/>
              <w:ind w:left="714" w:hanging="357"/>
              <w:contextualSpacing w:val="0"/>
            </w:pPr>
            <w:r w:rsidRPr="006B3478">
              <w:rPr>
                <w:rFonts w:cs="Arial"/>
                <w:szCs w:val="20"/>
              </w:rPr>
              <w:t>BEI</w:t>
            </w:r>
            <w:r w:rsidR="00EB2C78">
              <w:t xml:space="preserve"> of 50 µg for inorganic </w:t>
            </w:r>
            <w:proofErr w:type="gramStart"/>
            <w:r>
              <w:t>As</w:t>
            </w:r>
            <w:proofErr w:type="gramEnd"/>
            <w:r>
              <w:t xml:space="preserve"> </w:t>
            </w:r>
            <w:r w:rsidR="00EB2C78">
              <w:t>and methylated metabolites in urine</w:t>
            </w:r>
            <w:r>
              <w:t>/</w:t>
            </w:r>
            <w:r w:rsidR="001E0DFA">
              <w:t xml:space="preserve">L </w:t>
            </w:r>
            <w:r w:rsidR="00EB2C78">
              <w:t>of urine (after several shifts, end of exposure or end of shift)</w:t>
            </w:r>
            <w:r w:rsidR="00BF7662">
              <w:t>.</w:t>
            </w:r>
          </w:p>
          <w:p w14:paraId="6406BE8A" w14:textId="77777777" w:rsidR="006B3356" w:rsidRDefault="006B3356" w:rsidP="004715ED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71C8B11D" w14:textId="77777777" w:rsidR="00DE4EA6" w:rsidRDefault="00DE4EA6" w:rsidP="004715ED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3B3F89F1" w14:textId="51A276F2" w:rsidR="00B7397E" w:rsidRDefault="00B7397E" w:rsidP="006B3478">
            <w:pPr>
              <w:pStyle w:val="ListBullet"/>
              <w:spacing w:before="0" w:after="80"/>
              <w:ind w:left="714" w:hanging="357"/>
              <w:contextualSpacing w:val="0"/>
            </w:pPr>
            <w:r w:rsidRPr="006B3478">
              <w:rPr>
                <w:rFonts w:cs="Arial"/>
                <w:szCs w:val="20"/>
              </w:rPr>
              <w:t>Despite</w:t>
            </w:r>
            <w:r>
              <w:t xml:space="preserve"> </w:t>
            </w:r>
            <w:r w:rsidR="00CD6DA7">
              <w:t xml:space="preserve">lower toxicity of </w:t>
            </w:r>
            <w:r w:rsidR="00B41693">
              <w:t>GaAs</w:t>
            </w:r>
            <w:r w:rsidR="00CD6DA7">
              <w:t xml:space="preserve">, presence of </w:t>
            </w:r>
            <w:proofErr w:type="gramStart"/>
            <w:r w:rsidR="006B3356">
              <w:t>As</w:t>
            </w:r>
            <w:proofErr w:type="gramEnd"/>
            <w:r w:rsidR="006B3356">
              <w:t xml:space="preserve"> </w:t>
            </w:r>
            <w:r w:rsidR="00CD6DA7">
              <w:t xml:space="preserve">metabolites suggests </w:t>
            </w:r>
            <w:r w:rsidR="006B3356">
              <w:t xml:space="preserve">it </w:t>
            </w:r>
            <w:r w:rsidR="00CD6DA7">
              <w:t xml:space="preserve">is bioavailable and therefore grouped with other </w:t>
            </w:r>
            <w:r w:rsidR="006B3356">
              <w:t xml:space="preserve">As </w:t>
            </w:r>
            <w:r w:rsidR="00CD6DA7">
              <w:t>compounds.</w:t>
            </w:r>
          </w:p>
          <w:p w14:paraId="0F9BA551" w14:textId="1BBDD81A" w:rsidR="00EA29C6" w:rsidRDefault="00EA29C6" w:rsidP="006B3478">
            <w:pPr>
              <w:pStyle w:val="ListBullet"/>
              <w:spacing w:before="0" w:after="80"/>
              <w:ind w:left="714" w:hanging="357"/>
              <w:contextualSpacing w:val="0"/>
            </w:pPr>
            <w:r w:rsidRPr="006B3478">
              <w:rPr>
                <w:rFonts w:cs="Arial"/>
                <w:szCs w:val="20"/>
              </w:rPr>
              <w:t>NOAEL</w:t>
            </w:r>
            <w:r w:rsidR="006B3356">
              <w:t xml:space="preserve">: </w:t>
            </w:r>
            <w:r>
              <w:t>0.3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63027C">
              <w:t>elemental As</w:t>
            </w:r>
            <w:r>
              <w:t xml:space="preserve"> (mice, inhalation, no further information) as measured by immunological response</w:t>
            </w:r>
          </w:p>
          <w:p w14:paraId="6121C1D5" w14:textId="5D180C59" w:rsidR="00EA29C6" w:rsidRDefault="00EA29C6" w:rsidP="006B3478">
            <w:pPr>
              <w:pStyle w:val="ListBullet"/>
              <w:spacing w:before="0" w:after="80"/>
              <w:ind w:left="714" w:hanging="357"/>
              <w:contextualSpacing w:val="0"/>
            </w:pPr>
            <w:r w:rsidRPr="006B3478">
              <w:rPr>
                <w:rFonts w:cs="Arial"/>
                <w:szCs w:val="20"/>
              </w:rPr>
              <w:t>NOAEL</w:t>
            </w:r>
            <w:r w:rsidR="006B3356">
              <w:t xml:space="preserve">: </w:t>
            </w:r>
            <w:r>
              <w:t>4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63027C">
              <w:t>elemental As</w:t>
            </w:r>
            <w:r>
              <w:t xml:space="preserve"> (rats, inhalation, no further information) as measured by damage to lung tissue</w:t>
            </w:r>
          </w:p>
          <w:p w14:paraId="6164995B" w14:textId="77777777" w:rsidR="002C637F" w:rsidRPr="002C637F" w:rsidRDefault="00A141AC" w:rsidP="006B3478">
            <w:pPr>
              <w:pStyle w:val="ListBullet"/>
              <w:spacing w:before="0" w:after="80"/>
              <w:ind w:left="714" w:hanging="357"/>
              <w:contextualSpacing w:val="0"/>
            </w:pPr>
            <w:r>
              <w:rPr>
                <w:rFonts w:cs="Arial"/>
                <w:i/>
                <w:color w:val="1C1D1E"/>
                <w:shd w:val="clear" w:color="auto" w:fill="FFFFFF"/>
              </w:rPr>
              <w:t>In vitro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assays are inconclusive as to mutagenic activity of As compounds; As(III) </w:t>
            </w:r>
            <w:r w:rsidRPr="00685361">
              <w:t>compounds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have </w:t>
            </w:r>
            <w:r w:rsidR="002C637F">
              <w:rPr>
                <w:rFonts w:cs="Arial"/>
                <w:color w:val="1C1D1E"/>
                <w:shd w:val="clear" w:color="auto" w:fill="FFFFFF"/>
              </w:rPr>
              <w:t xml:space="preserve">however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generally indicated </w:t>
            </w:r>
            <w:r w:rsidR="002C637F">
              <w:rPr>
                <w:rFonts w:cs="Arial"/>
                <w:color w:val="1C1D1E"/>
                <w:shd w:val="clear" w:color="auto" w:fill="FFFFFF"/>
              </w:rPr>
              <w:t xml:space="preserve">mutagenicity whereas As(V) compounds are only mutagenic at cytotoxic concentrations </w:t>
            </w:r>
          </w:p>
          <w:p w14:paraId="01DBB297" w14:textId="7E9EA74B" w:rsidR="003A4B9B" w:rsidRPr="002C637F" w:rsidRDefault="002C637F" w:rsidP="006B3478">
            <w:pPr>
              <w:pStyle w:val="ListBullet"/>
              <w:spacing w:before="0" w:after="80"/>
              <w:ind w:left="714" w:hanging="357"/>
              <w:contextualSpacing w:val="0"/>
            </w:pPr>
            <w:r w:rsidRPr="006B3478">
              <w:rPr>
                <w:rFonts w:cs="Arial"/>
                <w:szCs w:val="20"/>
              </w:rPr>
              <w:t>Results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from mutagenicity assays using methylated </w:t>
            </w:r>
            <w:proofErr w:type="gramStart"/>
            <w:r w:rsidR="00B41693">
              <w:rPr>
                <w:rFonts w:cs="Arial"/>
                <w:color w:val="1C1D1E"/>
                <w:shd w:val="clear" w:color="auto" w:fill="FFFFFF"/>
              </w:rPr>
              <w:t>As</w:t>
            </w:r>
            <w:proofErr w:type="gramEnd"/>
            <w:r w:rsidR="00B41693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metabolites are </w:t>
            </w:r>
            <w:r w:rsidR="00BF7662">
              <w:rPr>
                <w:rFonts w:cs="Arial"/>
                <w:color w:val="1C1D1E"/>
                <w:shd w:val="clear" w:color="auto" w:fill="FFFFFF"/>
              </w:rPr>
              <w:t>inconsistent</w:t>
            </w:r>
            <w:r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6715E510" w14:textId="5F23F786" w:rsidR="002C637F" w:rsidRPr="00DA352E" w:rsidRDefault="002C637F" w:rsidP="002C637F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03D24E6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423AB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F769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1F7698">
                  <w:t>NA</w:t>
                </w:r>
                <w:proofErr w:type="spellEnd"/>
              </w:sdtContent>
            </w:sdt>
          </w:p>
        </w:tc>
      </w:tr>
      <w:tr w:rsidR="00C978F0" w:rsidRPr="00DA352E" w14:paraId="17FD714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167E70" w14:textId="11C4740D" w:rsidR="00C978F0" w:rsidRPr="00DA352E" w:rsidRDefault="00730081" w:rsidP="003365A5">
            <w:pPr>
              <w:pStyle w:val="Tabletextprimarysource"/>
            </w:pPr>
            <w:r>
              <w:t>No report</w:t>
            </w:r>
            <w:r w:rsidR="00BF7662">
              <w:t>.</w:t>
            </w:r>
          </w:p>
        </w:tc>
      </w:tr>
      <w:tr w:rsidR="00DA352E" w:rsidRPr="00DA352E" w14:paraId="47DEAF1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0F0259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2480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2480F">
                  <w:t>NA</w:t>
                </w:r>
                <w:proofErr w:type="spellEnd"/>
              </w:sdtContent>
            </w:sdt>
          </w:p>
        </w:tc>
      </w:tr>
      <w:tr w:rsidR="00DA352E" w:rsidRPr="00DA352E" w14:paraId="2F2D23D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4EF661C" w14:textId="762B3F93" w:rsidR="00DA352E" w:rsidRPr="00DA352E" w:rsidRDefault="00730081" w:rsidP="003365A5">
            <w:pPr>
              <w:pStyle w:val="Tabletextprimarysource"/>
            </w:pPr>
            <w:r>
              <w:t>No report</w:t>
            </w:r>
            <w:r w:rsidR="00BF7662">
              <w:t>.</w:t>
            </w:r>
          </w:p>
        </w:tc>
      </w:tr>
      <w:tr w:rsidR="00DA352E" w:rsidRPr="00DA352E" w14:paraId="11B75FE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1C445D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82CA6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C2095">
                  <w:t>TWA: 0.05 mg/m</w:t>
                </w:r>
                <w:r w:rsidR="004C2095">
                  <w:rPr>
                    <w:vertAlign w:val="superscript"/>
                  </w:rPr>
                  <w:t>3</w:t>
                </w:r>
                <w:r w:rsidR="004C2095">
                  <w:t>; STEL: 0.1 mg/m</w:t>
                </w:r>
                <w:r w:rsidR="004C209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10EB531C" w14:textId="77777777" w:rsidTr="00BF7662">
        <w:trPr>
          <w:gridAfter w:val="1"/>
          <w:wAfter w:w="8" w:type="pct"/>
        </w:trPr>
        <w:tc>
          <w:tcPr>
            <w:tcW w:w="4992" w:type="pct"/>
          </w:tcPr>
          <w:p w14:paraId="42E72039" w14:textId="77777777" w:rsidR="00DA352E" w:rsidRDefault="00382CA6" w:rsidP="003365A5">
            <w:pPr>
              <w:pStyle w:val="Tabletextprimarysource"/>
            </w:pPr>
            <w:r>
              <w:t>Summary of additional data:</w:t>
            </w:r>
          </w:p>
          <w:p w14:paraId="37CBF57C" w14:textId="71E594CE" w:rsidR="00F21203" w:rsidRDefault="0063027C" w:rsidP="006B3478">
            <w:pPr>
              <w:pStyle w:val="ListBullet"/>
              <w:spacing w:before="0" w:after="80"/>
              <w:ind w:left="714" w:hanging="357"/>
              <w:contextualSpacing w:val="0"/>
            </w:pPr>
            <w:r>
              <w:rPr>
                <w:rFonts w:cs="Arial"/>
                <w:szCs w:val="20"/>
              </w:rPr>
              <w:t>The inhalational unit Risk</w:t>
            </w:r>
            <w:r>
              <w:t xml:space="preserve"> (IUR) </w:t>
            </w:r>
            <w:r w:rsidR="002C637F">
              <w:t>presented</w:t>
            </w:r>
            <w:r w:rsidR="00F21203">
              <w:t xml:space="preserve"> using absolute-risk linear </w:t>
            </w:r>
            <w:r w:rsidR="00FD75B1">
              <w:t xml:space="preserve">model: </w:t>
            </w:r>
            <w:r w:rsidR="00F21203">
              <w:t>4.3x10</w:t>
            </w:r>
            <w:r w:rsidR="00F21203">
              <w:rPr>
                <w:vertAlign w:val="superscript"/>
              </w:rPr>
              <w:noBreakHyphen/>
            </w:r>
            <w:r w:rsidR="00F21203" w:rsidRPr="00F21203">
              <w:rPr>
                <w:vertAlign w:val="superscript"/>
              </w:rPr>
              <w:t>3</w:t>
            </w:r>
            <w:r w:rsidR="00F21203">
              <w:t xml:space="preserve"> per 1</w:t>
            </w:r>
            <w:r>
              <w:t> </w:t>
            </w:r>
            <w:r w:rsidR="00F21203">
              <w:t>µg/m</w:t>
            </w:r>
            <w:r w:rsidR="00F21203" w:rsidRPr="00F21203">
              <w:rPr>
                <w:vertAlign w:val="superscript"/>
              </w:rPr>
              <w:t>3</w:t>
            </w:r>
            <w:r w:rsidR="00017454">
              <w:t xml:space="preserve">; </w:t>
            </w:r>
            <w:r w:rsidR="005E0A8B">
              <w:t xml:space="preserve">value </w:t>
            </w:r>
            <w:r w:rsidR="00017454">
              <w:t xml:space="preserve">based on exposure data from epidemiological studies of the Montana </w:t>
            </w:r>
            <w:r w:rsidR="005E0A8B">
              <w:t>(n=8</w:t>
            </w:r>
            <w:r w:rsidR="00685361">
              <w:t>,</w:t>
            </w:r>
            <w:r w:rsidR="005E0A8B">
              <w:t xml:space="preserve">000) </w:t>
            </w:r>
            <w:r w:rsidR="00017454">
              <w:t xml:space="preserve">and Tacoma </w:t>
            </w:r>
            <w:r w:rsidR="005E0A8B">
              <w:t>(n=2</w:t>
            </w:r>
            <w:r w:rsidR="00685361">
              <w:t>,</w:t>
            </w:r>
            <w:r w:rsidR="008438BF">
              <w:t>000)</w:t>
            </w:r>
            <w:r w:rsidR="00017454">
              <w:t xml:space="preserve"> </w:t>
            </w:r>
            <w:r w:rsidR="008438BF">
              <w:t xml:space="preserve">groups </w:t>
            </w:r>
            <w:r w:rsidR="005E0A8B">
              <w:t xml:space="preserve">also </w:t>
            </w:r>
            <w:r>
              <w:t xml:space="preserve">reported </w:t>
            </w:r>
            <w:r w:rsidR="00017454">
              <w:t>in ACGIH, 2001</w:t>
            </w:r>
          </w:p>
          <w:p w14:paraId="26957A87" w14:textId="62E6645B" w:rsidR="00BC036D" w:rsidRDefault="007E5F99" w:rsidP="006B3478">
            <w:pPr>
              <w:pStyle w:val="ListBullet"/>
              <w:spacing w:before="0" w:after="80"/>
              <w:ind w:left="714" w:hanging="357"/>
              <w:contextualSpacing w:val="0"/>
            </w:pPr>
            <w:r w:rsidRPr="006B3478">
              <w:rPr>
                <w:rFonts w:cs="Arial"/>
                <w:szCs w:val="20"/>
              </w:rPr>
              <w:t>Noted</w:t>
            </w:r>
            <w:r>
              <w:t xml:space="preserve"> that NIOSH reported </w:t>
            </w:r>
            <w:r w:rsidR="00BC036D">
              <w:t>8</w:t>
            </w:r>
            <w:r w:rsidR="0066263F">
              <w:t>–</w:t>
            </w:r>
            <w:r w:rsidR="00BC036D">
              <w:t>24 h exposure</w:t>
            </w:r>
            <w:r>
              <w:t xml:space="preserve">, on a </w:t>
            </w:r>
            <w:r w:rsidR="00BC036D">
              <w:t>TWA basis, at concentrations of 0.002</w:t>
            </w:r>
            <w:r w:rsidR="00BA5F2F">
              <w:t>–</w:t>
            </w:r>
            <w:r w:rsidR="00BC036D">
              <w:t>0.003 mg/m</w:t>
            </w:r>
            <w:r w:rsidR="00BC036D" w:rsidRPr="00BC036D">
              <w:rPr>
                <w:vertAlign w:val="superscript"/>
              </w:rPr>
              <w:t>3</w:t>
            </w:r>
            <w:r w:rsidR="00BC036D">
              <w:t xml:space="preserve"> resulted in increased cancer mortality</w:t>
            </w:r>
          </w:p>
          <w:p w14:paraId="4F8A56C6" w14:textId="08F4D857" w:rsidR="00BC036D" w:rsidRDefault="007E5F99" w:rsidP="006B3478">
            <w:pPr>
              <w:pStyle w:val="ListBullet"/>
              <w:spacing w:before="0" w:after="80"/>
              <w:ind w:left="714" w:hanging="357"/>
              <w:contextualSpacing w:val="0"/>
            </w:pPr>
            <w:r w:rsidRPr="006B3478">
              <w:rPr>
                <w:rFonts w:cs="Arial"/>
                <w:szCs w:val="20"/>
              </w:rPr>
              <w:t>NIOSH</w:t>
            </w:r>
            <w:r>
              <w:t xml:space="preserve"> recommended that w</w:t>
            </w:r>
            <w:r w:rsidR="00BC036D">
              <w:t>orker exposure should be &lt;0.002 mg/m</w:t>
            </w:r>
            <w:r w:rsidR="00BC036D" w:rsidRPr="00BC036D">
              <w:rPr>
                <w:vertAlign w:val="superscript"/>
              </w:rPr>
              <w:t>3</w:t>
            </w:r>
            <w:r w:rsidR="00BC036D">
              <w:t xml:space="preserve"> </w:t>
            </w:r>
            <w:r w:rsidR="0063027C">
              <w:t>elemental As</w:t>
            </w:r>
            <w:r w:rsidR="00BC036D">
              <w:t xml:space="preserve"> (15</w:t>
            </w:r>
            <w:r w:rsidR="00BF7662">
              <w:t> </w:t>
            </w:r>
            <w:r w:rsidR="00BC036D">
              <w:t>min sampling period)</w:t>
            </w:r>
          </w:p>
          <w:p w14:paraId="092FB995" w14:textId="175BCC50" w:rsidR="0074237A" w:rsidRDefault="0074237A" w:rsidP="004715ED">
            <w:pPr>
              <w:pStyle w:val="ListBullet"/>
              <w:ind w:left="720"/>
            </w:pPr>
            <w:r>
              <w:t xml:space="preserve">Well-conducted human study used to calculate minimal cancer risk </w:t>
            </w:r>
            <w:r w:rsidR="00D95DB9">
              <w:t xml:space="preserve">from inhalational exposure to </w:t>
            </w:r>
            <w:r w:rsidR="00B41693">
              <w:t>A</w:t>
            </w:r>
            <w:r w:rsidR="00945328">
              <w:t>s</w:t>
            </w:r>
          </w:p>
          <w:p w14:paraId="06EF3FD5" w14:textId="51977A3E" w:rsidR="00382CA6" w:rsidRDefault="003A4B9B" w:rsidP="006B3478">
            <w:pPr>
              <w:pStyle w:val="ListBullet"/>
              <w:numPr>
                <w:ilvl w:val="0"/>
                <w:numId w:val="13"/>
              </w:numPr>
              <w:spacing w:before="0" w:after="80"/>
              <w:ind w:left="1077" w:hanging="357"/>
              <w:contextualSpacing w:val="0"/>
            </w:pPr>
            <w:r>
              <w:t>m</w:t>
            </w:r>
            <w:r w:rsidR="00382CA6">
              <w:t xml:space="preserve">inimal cancer risk </w:t>
            </w:r>
            <w:r w:rsidR="007E5F99">
              <w:t xml:space="preserve">(4/100,000) </w:t>
            </w:r>
            <w:r w:rsidR="00382CA6">
              <w:t>calculated at 0.00028 mg/m</w:t>
            </w:r>
            <w:r w:rsidR="00382CA6">
              <w:rPr>
                <w:vertAlign w:val="superscript"/>
              </w:rPr>
              <w:t>3</w:t>
            </w:r>
            <w:r w:rsidR="00382CA6">
              <w:t xml:space="preserve"> </w:t>
            </w:r>
            <w:r w:rsidR="0063027C">
              <w:t>elemental As</w:t>
            </w:r>
            <w:r w:rsidR="004C2095">
              <w:t xml:space="preserve"> (40 </w:t>
            </w:r>
            <w:proofErr w:type="spellStart"/>
            <w:r w:rsidR="001E0DFA">
              <w:t>yr</w:t>
            </w:r>
            <w:proofErr w:type="spellEnd"/>
            <w:r w:rsidR="001E0DFA">
              <w:t xml:space="preserve"> </w:t>
            </w:r>
            <w:r w:rsidR="004C2095">
              <w:t>exposure)</w:t>
            </w:r>
          </w:p>
          <w:p w14:paraId="2370726C" w14:textId="2E268073" w:rsidR="00382CA6" w:rsidRDefault="00382CA6" w:rsidP="006B3478">
            <w:pPr>
              <w:pStyle w:val="ListBullet"/>
              <w:spacing w:before="0" w:after="80"/>
              <w:ind w:left="714" w:hanging="357"/>
              <w:contextualSpacing w:val="0"/>
            </w:pPr>
            <w:r w:rsidRPr="006B3478">
              <w:rPr>
                <w:rFonts w:cs="Arial"/>
                <w:szCs w:val="20"/>
              </w:rPr>
              <w:t>Support</w:t>
            </w:r>
            <w:r>
              <w:t xml:space="preserve"> a non-threshold mechanism of </w:t>
            </w:r>
            <w:proofErr w:type="spellStart"/>
            <w:r>
              <w:t>genotoxicity</w:t>
            </w:r>
            <w:proofErr w:type="spellEnd"/>
            <w:r>
              <w:t xml:space="preserve"> of the substances</w:t>
            </w:r>
            <w:r w:rsidR="003A4B9B">
              <w:t>;</w:t>
            </w:r>
            <w:r>
              <w:t xml:space="preserve"> available epidemiological studies do not allow derivation of a NOAEL</w:t>
            </w:r>
            <w:r w:rsidR="00752701">
              <w:t>.</w:t>
            </w:r>
          </w:p>
          <w:p w14:paraId="2BE25AE0" w14:textId="37B9E38B" w:rsidR="00EB2C78" w:rsidRDefault="00BC036D" w:rsidP="006B3478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Sum of inorganic </w:t>
            </w:r>
            <w:r w:rsidR="003A4B9B">
              <w:t xml:space="preserve">As </w:t>
            </w:r>
            <w:r>
              <w:t xml:space="preserve">and </w:t>
            </w:r>
            <w:proofErr w:type="spellStart"/>
            <w:r>
              <w:t>monomethylarsonic</w:t>
            </w:r>
            <w:proofErr w:type="spellEnd"/>
            <w:r>
              <w:t xml:space="preserve"> acid and </w:t>
            </w:r>
            <w:proofErr w:type="spellStart"/>
            <w:r>
              <w:t>dimethylarsinic</w:t>
            </w:r>
            <w:proofErr w:type="spellEnd"/>
            <w:r>
              <w:t xml:space="preserve"> acid in urine collected at the end of the work week</w:t>
            </w:r>
            <w:r w:rsidR="001E0DFA">
              <w:t xml:space="preserve"> </w:t>
            </w:r>
            <w:r>
              <w:t xml:space="preserve">is the recommended method for biological monitoring of occupational exposure to elemental and soluble inorganic </w:t>
            </w:r>
            <w:r w:rsidR="00B41693">
              <w:t xml:space="preserve">As </w:t>
            </w:r>
            <w:r>
              <w:t>compounds</w:t>
            </w:r>
            <w:r w:rsidR="001E0DFA">
              <w:t>.</w:t>
            </w:r>
          </w:p>
          <w:p w14:paraId="25C4FB59" w14:textId="77777777" w:rsidR="003A4B9B" w:rsidRPr="00382CA6" w:rsidRDefault="003A4B9B" w:rsidP="00597AA7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2EE0217B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0"/>
        <w:gridCol w:w="501"/>
        <w:gridCol w:w="661"/>
        <w:gridCol w:w="6374"/>
      </w:tblGrid>
      <w:tr w:rsidR="004966BF" w:rsidRPr="00263255" w14:paraId="29F7FA6B" w14:textId="77777777" w:rsidTr="00D4203F">
        <w:trPr>
          <w:cantSplit/>
          <w:trHeight w:val="393"/>
          <w:tblHeader/>
        </w:trPr>
        <w:tc>
          <w:tcPr>
            <w:tcW w:w="1490" w:type="dxa"/>
            <w:shd w:val="clear" w:color="auto" w:fill="BFBFBF" w:themeFill="background1" w:themeFillShade="BF"/>
            <w:vAlign w:val="center"/>
          </w:tcPr>
          <w:p w14:paraId="67712A0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501" w:type="dxa"/>
            <w:shd w:val="clear" w:color="auto" w:fill="BFBFBF" w:themeFill="background1" w:themeFillShade="BF"/>
            <w:vAlign w:val="center"/>
          </w:tcPr>
          <w:p w14:paraId="7B6606D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4204337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374" w:type="dxa"/>
            <w:shd w:val="clear" w:color="auto" w:fill="BFBFBF" w:themeFill="background1" w:themeFillShade="BF"/>
            <w:vAlign w:val="center"/>
          </w:tcPr>
          <w:p w14:paraId="34BF4CF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7063516" w14:textId="77777777" w:rsidTr="00D4203F">
        <w:trPr>
          <w:cantSplit/>
        </w:trPr>
        <w:tc>
          <w:tcPr>
            <w:tcW w:w="1490" w:type="dxa"/>
          </w:tcPr>
          <w:p w14:paraId="294EA32E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501" w:type="dxa"/>
          </w:tcPr>
          <w:p w14:paraId="48D6DA0D" w14:textId="77777777" w:rsidR="004966BF" w:rsidRPr="00CE617F" w:rsidRDefault="00BA5F2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C209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578035B" w14:textId="77777777" w:rsidR="004966BF" w:rsidRPr="004C23F4" w:rsidRDefault="00BC036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</w:t>
            </w:r>
            <w:r w:rsidRPr="00BC036D">
              <w:rPr>
                <w:rStyle w:val="checkbox"/>
                <w:rFonts w:ascii="Arial" w:hAnsi="Arial" w:cs="Arial"/>
              </w:rPr>
              <w:t>013</w:t>
            </w:r>
          </w:p>
        </w:tc>
        <w:tc>
          <w:tcPr>
            <w:tcW w:w="6374" w:type="dxa"/>
          </w:tcPr>
          <w:p w14:paraId="1825A3B6" w14:textId="77777777" w:rsidR="004966BF" w:rsidRPr="004C23F4" w:rsidRDefault="004715ED" w:rsidP="004C209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3A4B9B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7ACA055" w14:textId="77777777" w:rsidTr="00D4203F">
        <w:trPr>
          <w:cantSplit/>
        </w:trPr>
        <w:tc>
          <w:tcPr>
            <w:tcW w:w="1490" w:type="dxa"/>
          </w:tcPr>
          <w:p w14:paraId="442F8122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501" w:type="dxa"/>
          </w:tcPr>
          <w:p w14:paraId="6D79BDCE" w14:textId="77777777" w:rsidR="004966BF" w:rsidRPr="00CE617F" w:rsidRDefault="00BA5F2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C209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2737A79" w14:textId="77777777" w:rsidR="004966BF" w:rsidRPr="004C23F4" w:rsidRDefault="00BC036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2012</w:t>
            </w:r>
          </w:p>
        </w:tc>
        <w:tc>
          <w:tcPr>
            <w:tcW w:w="6374" w:type="dxa"/>
          </w:tcPr>
          <w:p w14:paraId="532E70DD" w14:textId="77777777" w:rsidR="004966BF" w:rsidRPr="004C23F4" w:rsidRDefault="004715E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4715ED">
              <w:rPr>
                <w:rStyle w:val="checkbox"/>
                <w:rFonts w:ascii="Arial" w:hAnsi="Arial" w:cs="Arial"/>
              </w:rPr>
              <w:t>No additional information</w:t>
            </w:r>
            <w:r w:rsidR="003A4B9B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E265641" w14:textId="77777777" w:rsidTr="00D4203F">
        <w:trPr>
          <w:cantSplit/>
        </w:trPr>
        <w:tc>
          <w:tcPr>
            <w:tcW w:w="1490" w:type="dxa"/>
          </w:tcPr>
          <w:p w14:paraId="748FB2BE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501" w:type="dxa"/>
          </w:tcPr>
          <w:p w14:paraId="47C9295F" w14:textId="77777777" w:rsidR="004966BF" w:rsidRPr="00CE617F" w:rsidRDefault="00BA5F2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4203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B44EF37" w14:textId="77777777" w:rsidR="004966BF" w:rsidRPr="004C23F4" w:rsidRDefault="00D4203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374" w:type="dxa"/>
          </w:tcPr>
          <w:p w14:paraId="0F048CB4" w14:textId="197217A5" w:rsidR="00F26463" w:rsidRPr="00F26463" w:rsidRDefault="0072539B" w:rsidP="00F26463">
            <w:pPr>
              <w:pStyle w:val="ListBullet"/>
              <w:rPr>
                <w:rFonts w:cs="Arial"/>
              </w:rPr>
            </w:pPr>
            <w:r>
              <w:t>Geometric mean for unit inhalation risk obtained from 2 data sets (M</w:t>
            </w:r>
            <w:r w:rsidR="008438BF">
              <w:t>ontana and Tacoma group</w:t>
            </w:r>
            <w:r>
              <w:t>s presented in ACGIH, 2001)</w:t>
            </w:r>
            <w:r w:rsidR="00F26463">
              <w:t>: 2.7</w:t>
            </w:r>
            <w:r w:rsidR="00F26463">
              <w:rPr>
                <w:rStyle w:val="checkbox"/>
                <w:rFonts w:ascii="Arial" w:hAnsi="Arial" w:cs="Arial"/>
              </w:rPr>
              <w:t>x10</w:t>
            </w:r>
            <w:r w:rsidR="00F26463">
              <w:rPr>
                <w:rStyle w:val="checkbox"/>
                <w:rFonts w:ascii="Arial" w:hAnsi="Arial" w:cs="Arial"/>
                <w:vertAlign w:val="superscript"/>
              </w:rPr>
              <w:t>-3</w:t>
            </w:r>
            <w:r w:rsidR="00F26463">
              <w:rPr>
                <w:rStyle w:val="checkbox"/>
                <w:rFonts w:ascii="Arial" w:hAnsi="Arial" w:cs="Arial"/>
              </w:rPr>
              <w:t xml:space="preserve"> </w:t>
            </w:r>
            <w:r w:rsidR="00F26463">
              <w:t>and 7.2</w:t>
            </w:r>
            <w:r w:rsidR="00F26463">
              <w:rPr>
                <w:rStyle w:val="checkbox"/>
                <w:rFonts w:ascii="Arial" w:hAnsi="Arial" w:cs="Arial"/>
              </w:rPr>
              <w:t>x10</w:t>
            </w:r>
            <w:r w:rsidR="00F26463">
              <w:rPr>
                <w:rStyle w:val="checkbox"/>
                <w:rFonts w:ascii="Arial" w:hAnsi="Arial" w:cs="Arial"/>
                <w:vertAlign w:val="superscript"/>
              </w:rPr>
              <w:t>-3</w:t>
            </w:r>
            <w:r w:rsidR="00F26463">
              <w:rPr>
                <w:rStyle w:val="checkbox"/>
                <w:rFonts w:ascii="Arial" w:hAnsi="Arial" w:cs="Arial"/>
              </w:rPr>
              <w:t xml:space="preserve"> per µg/m</w:t>
            </w:r>
            <w:r w:rsidR="00F26463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F26463">
              <w:t xml:space="preserve"> respectively</w:t>
            </w:r>
          </w:p>
          <w:p w14:paraId="065D454A" w14:textId="053A75E6" w:rsidR="00F26463" w:rsidRPr="00F26463" w:rsidRDefault="00F26463" w:rsidP="0072539B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Geometric mean of </w:t>
            </w:r>
            <w:r w:rsidR="008438BF">
              <w:rPr>
                <w:rStyle w:val="checkbox"/>
                <w:rFonts w:ascii="Arial" w:hAnsi="Arial" w:cs="Arial"/>
              </w:rPr>
              <w:t>IUR</w:t>
            </w:r>
            <w:r>
              <w:rPr>
                <w:rStyle w:val="checkbox"/>
                <w:rFonts w:ascii="Arial" w:hAnsi="Arial" w:cs="Arial"/>
              </w:rPr>
              <w:t>: 4.3x10</w:t>
            </w:r>
            <w:r>
              <w:rPr>
                <w:rStyle w:val="checkbox"/>
                <w:rFonts w:ascii="Arial" w:hAnsi="Arial" w:cs="Arial"/>
                <w:vertAlign w:val="superscript"/>
              </w:rPr>
              <w:t>-3</w:t>
            </w:r>
            <w:r w:rsidR="00752701">
              <w:rPr>
                <w:rStyle w:val="checkbox"/>
                <w:rFonts w:ascii="Arial" w:hAnsi="Arial" w:cs="Arial"/>
              </w:rPr>
              <w:t xml:space="preserve"> /</w:t>
            </w:r>
            <w:r>
              <w:rPr>
                <w:rStyle w:val="checkbox"/>
                <w:rFonts w:ascii="Arial" w:hAnsi="Arial" w:cs="Arial"/>
              </w:rPr>
              <w:t>µg/m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</w:p>
          <w:p w14:paraId="6258AA28" w14:textId="54601D9F" w:rsidR="00F26463" w:rsidRPr="00F26463" w:rsidRDefault="00F26463" w:rsidP="0072539B">
            <w:pPr>
              <w:pStyle w:val="ListBullet"/>
              <w:rPr>
                <w:rFonts w:cs="Arial"/>
              </w:rPr>
            </w:pPr>
            <w:r>
              <w:t>A</w:t>
            </w:r>
            <w:r w:rsidR="0072539B">
              <w:t xml:space="preserve">ssumed that the increase in age-specific mortality rate of lung cancer only </w:t>
            </w:r>
            <w:r>
              <w:t>due to</w:t>
            </w:r>
            <w:r w:rsidR="0072539B">
              <w:t xml:space="preserve"> cumulative exposures. </w:t>
            </w:r>
          </w:p>
          <w:p w14:paraId="6E99D251" w14:textId="7B49E22D" w:rsidR="005E0A8B" w:rsidRPr="00F26463" w:rsidRDefault="0072539B" w:rsidP="00F26463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t xml:space="preserve">The unit risk should not be used if the air concentration exceeds </w:t>
            </w:r>
            <w:proofErr w:type="gramStart"/>
            <w:r>
              <w:t>2</w:t>
            </w:r>
            <w:proofErr w:type="gramEnd"/>
            <w:r>
              <w:t xml:space="preserve"> </w:t>
            </w:r>
            <w:r w:rsidR="00F26463">
              <w:t>µ</w:t>
            </w:r>
            <w:r>
              <w:t>g/</w:t>
            </w:r>
            <w:r w:rsidR="00F26463">
              <w:t>m</w:t>
            </w:r>
            <w:r w:rsidR="00F26463">
              <w:rPr>
                <w:vertAlign w:val="superscript"/>
              </w:rPr>
              <w:t>3</w:t>
            </w:r>
            <w:r w:rsidR="00A506E6">
              <w:t>.</w:t>
            </w:r>
          </w:p>
        </w:tc>
      </w:tr>
      <w:tr w:rsidR="004966BF" w:rsidRPr="004C23F4" w14:paraId="2DE1DB7D" w14:textId="77777777" w:rsidTr="00D4203F">
        <w:trPr>
          <w:cantSplit/>
        </w:trPr>
        <w:tc>
          <w:tcPr>
            <w:tcW w:w="1490" w:type="dxa"/>
          </w:tcPr>
          <w:p w14:paraId="3FC7B396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501" w:type="dxa"/>
          </w:tcPr>
          <w:p w14:paraId="6B414F44" w14:textId="77777777" w:rsidR="004966BF" w:rsidRPr="00CE617F" w:rsidRDefault="00BA5F2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F02A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38AD25F" w14:textId="77777777" w:rsidR="004966BF" w:rsidRPr="006F02A5" w:rsidRDefault="006F02A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6F02A5"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374" w:type="dxa"/>
          </w:tcPr>
          <w:p w14:paraId="3FB56B4A" w14:textId="2EC9B313" w:rsidR="004966BF" w:rsidRPr="00D4203F" w:rsidRDefault="006F02A5" w:rsidP="00743362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t xml:space="preserve">Excess lifetime lung cancer mortality risk 0.00014 </w:t>
            </w:r>
            <w:r w:rsidR="00D4203F">
              <w:t xml:space="preserve">per </w:t>
            </w:r>
            <w:r>
              <w:t>mg/m</w:t>
            </w:r>
            <w:r w:rsidRPr="006F02A5">
              <w:rPr>
                <w:vertAlign w:val="superscript"/>
              </w:rPr>
              <w:t>3</w:t>
            </w:r>
            <w:r>
              <w:t xml:space="preserve"> </w:t>
            </w:r>
            <w:r w:rsidR="0063027C">
              <w:t xml:space="preserve">elemental </w:t>
            </w:r>
            <w:proofErr w:type="gramStart"/>
            <w:r w:rsidR="0063027C">
              <w:t>As</w:t>
            </w:r>
            <w:proofErr w:type="gramEnd"/>
            <w:r w:rsidR="00D4203F">
              <w:t xml:space="preserve"> (or 1.4 per µg/m</w:t>
            </w:r>
            <w:r w:rsidR="00D4203F">
              <w:rPr>
                <w:vertAlign w:val="superscript"/>
              </w:rPr>
              <w:t>3</w:t>
            </w:r>
            <w:r w:rsidR="00D4203F">
              <w:t>)</w:t>
            </w:r>
            <w:r w:rsidR="003A4B9B">
              <w:t>.</w:t>
            </w:r>
          </w:p>
        </w:tc>
      </w:tr>
      <w:tr w:rsidR="004966BF" w:rsidRPr="004C23F4" w14:paraId="3B6A2796" w14:textId="77777777" w:rsidTr="00D4203F">
        <w:trPr>
          <w:cantSplit/>
        </w:trPr>
        <w:tc>
          <w:tcPr>
            <w:tcW w:w="1490" w:type="dxa"/>
          </w:tcPr>
          <w:p w14:paraId="4CAE0993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501" w:type="dxa"/>
          </w:tcPr>
          <w:p w14:paraId="4BB22AF6" w14:textId="77777777" w:rsidR="004966BF" w:rsidRDefault="00BA5F2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D3F3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D27020D" w14:textId="77777777" w:rsidR="004966BF" w:rsidRPr="004C23F4" w:rsidRDefault="003D3F3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374" w:type="dxa"/>
          </w:tcPr>
          <w:p w14:paraId="2C8668AB" w14:textId="2518EA1F" w:rsidR="004966BF" w:rsidRPr="004C23F4" w:rsidRDefault="003D3F34" w:rsidP="00743362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3D3F34">
              <w:rPr>
                <w:rStyle w:val="checkbox"/>
                <w:rFonts w:ascii="Arial" w:hAnsi="Arial" w:cs="Arial"/>
              </w:rPr>
              <w:t xml:space="preserve">IDLH </w:t>
            </w:r>
            <w:r w:rsidRPr="00743362">
              <w:t>based</w:t>
            </w:r>
            <w:r w:rsidRPr="003D3F34">
              <w:rPr>
                <w:rStyle w:val="checkbox"/>
                <w:rFonts w:ascii="Arial" w:hAnsi="Arial" w:cs="Arial"/>
              </w:rPr>
              <w:t xml:space="preserve"> on </w:t>
            </w:r>
            <w:r>
              <w:rPr>
                <w:rStyle w:val="checkbox"/>
                <w:rFonts w:ascii="Arial" w:hAnsi="Arial" w:cs="Arial"/>
              </w:rPr>
              <w:t>a lowest lethal concentration (</w:t>
            </w:r>
            <w:proofErr w:type="spellStart"/>
            <w:r w:rsidR="00AB15A2" w:rsidRPr="003D3F34">
              <w:rPr>
                <w:rStyle w:val="checkbox"/>
                <w:rFonts w:ascii="Arial" w:hAnsi="Arial" w:cs="Arial"/>
              </w:rPr>
              <w:t>LC</w:t>
            </w:r>
            <w:r w:rsidR="00AB15A2" w:rsidRPr="003D3F34">
              <w:rPr>
                <w:rStyle w:val="checkbox"/>
                <w:rFonts w:ascii="Arial" w:hAnsi="Arial" w:cs="Arial"/>
                <w:vertAlign w:val="subscript"/>
              </w:rPr>
              <w:t>L</w:t>
            </w:r>
            <w:r w:rsidR="00AB15A2">
              <w:rPr>
                <w:rStyle w:val="checkbox"/>
                <w:rFonts w:ascii="Arial" w:hAnsi="Arial" w:cs="Arial"/>
                <w:vertAlign w:val="subscript"/>
              </w:rPr>
              <w:t>o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) </w:t>
            </w:r>
            <w:r w:rsidRPr="003D3F34">
              <w:rPr>
                <w:rStyle w:val="checkbox"/>
                <w:rFonts w:ascii="Arial" w:hAnsi="Arial" w:cs="Arial"/>
              </w:rPr>
              <w:t>of 100 mg/m</w:t>
            </w:r>
            <w:r w:rsidRPr="003D3F34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3D3F34">
              <w:rPr>
                <w:rStyle w:val="checkbox"/>
                <w:rFonts w:ascii="Arial" w:hAnsi="Arial" w:cs="Arial"/>
              </w:rPr>
              <w:t xml:space="preserve"> for </w:t>
            </w:r>
            <w:r w:rsidR="00B41693">
              <w:rPr>
                <w:rStyle w:val="checkbox"/>
                <w:rFonts w:ascii="Arial" w:hAnsi="Arial" w:cs="Arial"/>
              </w:rPr>
              <w:t>AsCl</w:t>
            </w:r>
            <w:r w:rsidR="00B41693" w:rsidRPr="00B41693">
              <w:rPr>
                <w:rStyle w:val="checkbox"/>
                <w:rFonts w:ascii="Arial" w:hAnsi="Arial" w:cs="Arial"/>
                <w:vertAlign w:val="sub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(cat, 1 h)</w:t>
            </w:r>
            <w:r w:rsidR="00930297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727D798F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F38E085" w14:textId="77777777" w:rsidTr="002C637F">
        <w:trPr>
          <w:trHeight w:val="454"/>
          <w:tblHeader/>
        </w:trPr>
        <w:tc>
          <w:tcPr>
            <w:tcW w:w="6597" w:type="dxa"/>
            <w:vAlign w:val="center"/>
          </w:tcPr>
          <w:p w14:paraId="52AD5B8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F9C6E1B" w14:textId="4C6445B2" w:rsidR="002E0D61" w:rsidRDefault="0068536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6159306" w14:textId="77777777" w:rsidTr="002C637F">
        <w:trPr>
          <w:trHeight w:val="454"/>
        </w:trPr>
        <w:tc>
          <w:tcPr>
            <w:tcW w:w="6597" w:type="dxa"/>
            <w:vAlign w:val="center"/>
          </w:tcPr>
          <w:p w14:paraId="140A189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25D731A" w14:textId="7BF51EC6" w:rsidR="008A36CF" w:rsidRDefault="002C637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438BF" w14:paraId="005A2593" w14:textId="77777777" w:rsidTr="00465E1F">
        <w:trPr>
          <w:trHeight w:val="454"/>
        </w:trPr>
        <w:sdt>
          <w:sdtPr>
            <w:rPr>
              <w:b/>
            </w:rPr>
            <w:id w:val="1830936485"/>
            <w:placeholder>
              <w:docPart w:val="4EB44CF260304771AF4974ABD003D31C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918329B" w14:textId="405D04D6" w:rsidR="008438BF" w:rsidRDefault="008438B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2"/>
    <w:p w14:paraId="4D2C81A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5471DD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F7669F6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CCBE61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C6E558C" w14:textId="77777777" w:rsidTr="00812887">
        <w:trPr>
          <w:cantSplit/>
        </w:trPr>
        <w:tc>
          <w:tcPr>
            <w:tcW w:w="3227" w:type="dxa"/>
          </w:tcPr>
          <w:p w14:paraId="44512D0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93A4B79" w14:textId="77777777" w:rsidR="00687890" w:rsidRPr="00DD2F9B" w:rsidRDefault="006F02A5" w:rsidP="00DD2F9B">
            <w:pPr>
              <w:pStyle w:val="Tablefont"/>
            </w:pPr>
            <w:r>
              <w:t>Carc.1</w:t>
            </w:r>
            <w:r w:rsidR="004715ED">
              <w:t>A</w:t>
            </w:r>
          </w:p>
        </w:tc>
      </w:tr>
      <w:tr w:rsidR="007925F0" w:rsidRPr="004C23F4" w14:paraId="11D399FA" w14:textId="77777777" w:rsidTr="00812887">
        <w:trPr>
          <w:cantSplit/>
        </w:trPr>
        <w:tc>
          <w:tcPr>
            <w:tcW w:w="3227" w:type="dxa"/>
          </w:tcPr>
          <w:p w14:paraId="3FD4A79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C2EFE03" w14:textId="77777777" w:rsidR="007925F0" w:rsidRPr="00DD2F9B" w:rsidRDefault="00930297" w:rsidP="00DD2F9B">
            <w:pPr>
              <w:pStyle w:val="Tablefont"/>
            </w:pPr>
            <w:r>
              <w:t xml:space="preserve">Carcinogenicity – category </w:t>
            </w:r>
            <w:r w:rsidR="006F02A5">
              <w:t>1</w:t>
            </w:r>
            <w:r>
              <w:t>A</w:t>
            </w:r>
          </w:p>
        </w:tc>
      </w:tr>
      <w:tr w:rsidR="00AF483F" w:rsidRPr="004C23F4" w14:paraId="72487D61" w14:textId="77777777" w:rsidTr="00812887">
        <w:trPr>
          <w:cantSplit/>
        </w:trPr>
        <w:tc>
          <w:tcPr>
            <w:tcW w:w="3227" w:type="dxa"/>
          </w:tcPr>
          <w:p w14:paraId="7DC6B9F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BD98177" w14:textId="77777777" w:rsidR="00AF483F" w:rsidRPr="00DD2F9B" w:rsidRDefault="006F02A5" w:rsidP="00DD2F9B">
            <w:pPr>
              <w:pStyle w:val="Tablefont"/>
            </w:pPr>
            <w:proofErr w:type="spellStart"/>
            <w:r>
              <w:rPr>
                <w:rFonts w:cs="Arial"/>
                <w:color w:val="262626"/>
                <w:shd w:val="clear" w:color="auto" w:fill="FFFFFF"/>
              </w:rPr>
              <w:t>Carc</w:t>
            </w:r>
            <w:proofErr w:type="spellEnd"/>
            <w:r>
              <w:rPr>
                <w:rFonts w:cs="Arial"/>
                <w:color w:val="262626"/>
                <w:shd w:val="clear" w:color="auto" w:fill="FFFFFF"/>
              </w:rPr>
              <w:t>. Cat 1</w:t>
            </w:r>
          </w:p>
        </w:tc>
      </w:tr>
      <w:tr w:rsidR="00687890" w:rsidRPr="004C23F4" w14:paraId="03745FF4" w14:textId="77777777" w:rsidTr="00812887">
        <w:trPr>
          <w:cantSplit/>
        </w:trPr>
        <w:tc>
          <w:tcPr>
            <w:tcW w:w="3227" w:type="dxa"/>
          </w:tcPr>
          <w:p w14:paraId="61FEF98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DB8BE97" w14:textId="77777777" w:rsidR="00687890" w:rsidRPr="00DD2F9B" w:rsidRDefault="004715ED" w:rsidP="00930297">
            <w:pPr>
              <w:pStyle w:val="Tablefont"/>
            </w:pPr>
            <w:r>
              <w:t xml:space="preserve">Carcinogenicity – category 1A (compounds) </w:t>
            </w:r>
          </w:p>
        </w:tc>
      </w:tr>
      <w:tr w:rsidR="00E41A26" w:rsidRPr="004C23F4" w14:paraId="356FE678" w14:textId="77777777" w:rsidTr="00812887">
        <w:trPr>
          <w:cantSplit/>
        </w:trPr>
        <w:tc>
          <w:tcPr>
            <w:tcW w:w="3227" w:type="dxa"/>
          </w:tcPr>
          <w:p w14:paraId="2291D6D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FEC4069" w14:textId="77777777" w:rsidR="00E41A26" w:rsidRPr="00DD2F9B" w:rsidRDefault="006F02A5" w:rsidP="00DD2F9B">
            <w:pPr>
              <w:pStyle w:val="Tablefont"/>
            </w:pPr>
            <w:r>
              <w:t>Carcinogenicity – category 1A</w:t>
            </w:r>
          </w:p>
        </w:tc>
      </w:tr>
      <w:tr w:rsidR="002E0D61" w:rsidRPr="004C23F4" w14:paraId="44D23621" w14:textId="77777777" w:rsidTr="00812887">
        <w:trPr>
          <w:cantSplit/>
        </w:trPr>
        <w:tc>
          <w:tcPr>
            <w:tcW w:w="3227" w:type="dxa"/>
          </w:tcPr>
          <w:p w14:paraId="20E959C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3259BAE" w14:textId="77777777" w:rsidR="002E0D61" w:rsidRPr="00DD2F9B" w:rsidRDefault="004C2095" w:rsidP="00DD2F9B">
            <w:pPr>
              <w:pStyle w:val="Tablefont"/>
            </w:pPr>
            <w:r>
              <w:t>Carcinogenicity – A1</w:t>
            </w:r>
          </w:p>
        </w:tc>
      </w:tr>
      <w:tr w:rsidR="002E0D61" w:rsidRPr="004C23F4" w14:paraId="035CCFD7" w14:textId="77777777" w:rsidTr="00812887">
        <w:trPr>
          <w:cantSplit/>
        </w:trPr>
        <w:tc>
          <w:tcPr>
            <w:tcW w:w="3227" w:type="dxa"/>
          </w:tcPr>
          <w:p w14:paraId="4F737A9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C339EB9" w14:textId="77777777" w:rsidR="002E0D61" w:rsidRPr="00DD2F9B" w:rsidRDefault="004C2095" w:rsidP="00DD2F9B">
            <w:pPr>
              <w:pStyle w:val="Tablefont"/>
            </w:pPr>
            <w:r>
              <w:t>Carcinogenicity –1</w:t>
            </w:r>
          </w:p>
        </w:tc>
      </w:tr>
      <w:tr w:rsidR="002E0D61" w:rsidRPr="004C23F4" w14:paraId="487F2950" w14:textId="77777777" w:rsidTr="00812887">
        <w:trPr>
          <w:cantSplit/>
        </w:trPr>
        <w:tc>
          <w:tcPr>
            <w:tcW w:w="3227" w:type="dxa"/>
          </w:tcPr>
          <w:p w14:paraId="1A9E1A2A" w14:textId="77777777" w:rsidR="004079B4" w:rsidRPr="004C23F4" w:rsidRDefault="002E0D61" w:rsidP="00F4402E">
            <w:pPr>
              <w:pStyle w:val="Tablefont"/>
            </w:pPr>
            <w:r>
              <w:lastRenderedPageBreak/>
              <w:t>SCOEL</w:t>
            </w:r>
          </w:p>
        </w:tc>
        <w:tc>
          <w:tcPr>
            <w:tcW w:w="6015" w:type="dxa"/>
          </w:tcPr>
          <w:p w14:paraId="3E5E736E" w14:textId="77777777" w:rsidR="002E0D61" w:rsidRPr="00DD2F9B" w:rsidRDefault="004C209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EE84578" w14:textId="77777777" w:rsidTr="00812887">
        <w:trPr>
          <w:cantSplit/>
        </w:trPr>
        <w:tc>
          <w:tcPr>
            <w:tcW w:w="3227" w:type="dxa"/>
          </w:tcPr>
          <w:p w14:paraId="5160C08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7C79693" w14:textId="77777777" w:rsidR="002E0D61" w:rsidRPr="00DD2F9B" w:rsidRDefault="00E25D7D" w:rsidP="00DD2F9B">
            <w:pPr>
              <w:pStyle w:val="Tablefont"/>
            </w:pPr>
            <w:r>
              <w:t>Carcinogenicity – category 1</w:t>
            </w:r>
            <w:r w:rsidR="00930297">
              <w:t>A</w:t>
            </w:r>
          </w:p>
        </w:tc>
      </w:tr>
      <w:tr w:rsidR="00386093" w:rsidRPr="004C23F4" w14:paraId="24ADC223" w14:textId="77777777" w:rsidTr="00812887">
        <w:trPr>
          <w:cantSplit/>
        </w:trPr>
        <w:tc>
          <w:tcPr>
            <w:tcW w:w="3227" w:type="dxa"/>
          </w:tcPr>
          <w:p w14:paraId="7FBDCBA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F3BD02B" w14:textId="77777777" w:rsidR="00386093" w:rsidRPr="00DD2F9B" w:rsidRDefault="00F21203" w:rsidP="00DD2F9B">
            <w:pPr>
              <w:pStyle w:val="Tablefont"/>
            </w:pPr>
            <w:r>
              <w:t xml:space="preserve">Carcinogenicity – </w:t>
            </w:r>
            <w:r w:rsidR="00930297">
              <w:t>Group</w:t>
            </w:r>
            <w:r>
              <w:t xml:space="preserve"> 1</w:t>
            </w:r>
          </w:p>
        </w:tc>
      </w:tr>
      <w:tr w:rsidR="00386093" w:rsidRPr="004C23F4" w14:paraId="7086D05E" w14:textId="77777777" w:rsidTr="00812887">
        <w:trPr>
          <w:cantSplit/>
        </w:trPr>
        <w:tc>
          <w:tcPr>
            <w:tcW w:w="3227" w:type="dxa"/>
          </w:tcPr>
          <w:p w14:paraId="38FD7B4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F6E2B7A" w14:textId="77777777" w:rsidR="00386093" w:rsidRPr="00DD2F9B" w:rsidRDefault="00F21203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3"/>
    <w:p w14:paraId="7EF4997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8B032B1" w14:textId="77777777" w:rsidR="001E0DFA" w:rsidRDefault="001E0DFA" w:rsidP="001E0DFA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1E0DFA" w:rsidRPr="004C23F4" w14:paraId="7E1C323D" w14:textId="77777777" w:rsidTr="00FC64C1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A95564A" w14:textId="77777777" w:rsidR="001E0DFA" w:rsidRPr="004C23F4" w:rsidRDefault="001E0DFA" w:rsidP="00FC64C1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>
              <w:tab/>
            </w:r>
          </w:p>
        </w:tc>
      </w:tr>
      <w:tr w:rsidR="001E0DFA" w:rsidRPr="004C23F4" w14:paraId="60684210" w14:textId="77777777" w:rsidTr="00FC64C1">
        <w:trPr>
          <w:cantSplit/>
          <w:tblHeader/>
        </w:trPr>
        <w:tc>
          <w:tcPr>
            <w:tcW w:w="5000" w:type="pct"/>
            <w:vAlign w:val="center"/>
          </w:tcPr>
          <w:p w14:paraId="1AC05ACE" w14:textId="77777777" w:rsidR="001E0DFA" w:rsidRPr="004C23F4" w:rsidRDefault="004715ED" w:rsidP="00FC64C1">
            <w:pPr>
              <w:pStyle w:val="Tablefont"/>
            </w:pPr>
            <w:r>
              <w:t xml:space="preserve">Insufficient data to assign a skin notation </w:t>
            </w:r>
          </w:p>
        </w:tc>
      </w:tr>
    </w:tbl>
    <w:bookmarkEnd w:id="4"/>
    <w:p w14:paraId="1D90D6F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2721BD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893AB1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41706F1" w14:textId="724D9F8C" w:rsidR="00EB3D1B" w:rsidRDefault="00835728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EA42F6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2"/>
        <w:gridCol w:w="5034"/>
      </w:tblGrid>
      <w:tr w:rsidR="001B79E5" w:rsidRPr="004C23F4" w14:paraId="5F8BA35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BBC345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E312CAD" w14:textId="77777777" w:rsidR="001B79E5" w:rsidRDefault="00930297" w:rsidP="001B79E5">
                <w:pPr>
                  <w:pStyle w:val="Tablefont"/>
                </w:pPr>
                <w:r>
                  <w:t>74.9 (elemental)</w:t>
                </w:r>
              </w:p>
            </w:tc>
          </w:sdtContent>
        </w:sdt>
      </w:tr>
      <w:tr w:rsidR="00A31D99" w:rsidRPr="004C23F4" w14:paraId="3876944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B0721A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2BA372C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C364AD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823682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15F330D" w14:textId="77777777" w:rsidR="00687890" w:rsidRPr="004C23F4" w:rsidRDefault="00F21203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55A6C5A2" w14:textId="77777777" w:rsidTr="00EA6243">
        <w:trPr>
          <w:cantSplit/>
        </w:trPr>
        <w:tc>
          <w:tcPr>
            <w:tcW w:w="4077" w:type="dxa"/>
            <w:vAlign w:val="center"/>
          </w:tcPr>
          <w:p w14:paraId="49E31BF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8B57DC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2B0CE21" w14:textId="77777777" w:rsidTr="00EA6243">
        <w:trPr>
          <w:cantSplit/>
        </w:trPr>
        <w:tc>
          <w:tcPr>
            <w:tcW w:w="4077" w:type="dxa"/>
            <w:vAlign w:val="center"/>
          </w:tcPr>
          <w:p w14:paraId="79F8B43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5276093" w14:textId="77777777" w:rsidR="00687890" w:rsidRPr="004C23F4" w:rsidRDefault="00F21203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3FF954B0" w14:textId="77777777" w:rsidTr="00EA6243">
        <w:trPr>
          <w:cantSplit/>
        </w:trPr>
        <w:tc>
          <w:tcPr>
            <w:tcW w:w="4077" w:type="dxa"/>
            <w:vAlign w:val="center"/>
          </w:tcPr>
          <w:p w14:paraId="33E0A2F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BD831BF" w14:textId="77777777" w:rsidR="00E06F40" w:rsidRPr="00A006A0" w:rsidRDefault="00BA5F2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F21203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B2C78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B32B7C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99A584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3C1575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B3F61D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3E3143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13901A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300E1C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398A87E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28D46B3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0DDEBF6" w14:textId="77777777" w:rsidR="00AA035F" w:rsidRDefault="00AA035F" w:rsidP="00AA035F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(2002) </w:t>
      </w:r>
      <w:proofErr w:type="spellStart"/>
      <w:r w:rsidRPr="00AA035F">
        <w:t>Arsen</w:t>
      </w:r>
      <w:proofErr w:type="spellEnd"/>
      <w:r w:rsidRPr="00AA035F">
        <w:t xml:space="preserve"> und </w:t>
      </w:r>
      <w:proofErr w:type="spellStart"/>
      <w:r w:rsidRPr="00AA035F">
        <w:t>anorganische</w:t>
      </w:r>
      <w:proofErr w:type="spellEnd"/>
      <w:r w:rsidRPr="00AA035F">
        <w:t xml:space="preserve"> </w:t>
      </w:r>
      <w:proofErr w:type="spellStart"/>
      <w:r w:rsidRPr="00AA035F">
        <w:t>Arsenverbindungen</w:t>
      </w:r>
      <w:proofErr w:type="spellEnd"/>
      <w:r w:rsidRPr="00AA035F">
        <w:t xml:space="preserve"> (</w:t>
      </w:r>
      <w:proofErr w:type="spellStart"/>
      <w:r w:rsidRPr="00AA035F">
        <w:t>mit</w:t>
      </w:r>
      <w:proofErr w:type="spellEnd"/>
      <w:r w:rsidRPr="00AA035F">
        <w:t xml:space="preserve"> </w:t>
      </w:r>
      <w:proofErr w:type="spellStart"/>
      <w:r w:rsidRPr="00AA035F">
        <w:t>Ausnahme</w:t>
      </w:r>
      <w:proofErr w:type="spellEnd"/>
      <w:r w:rsidRPr="00AA035F">
        <w:t xml:space="preserve"> von </w:t>
      </w:r>
      <w:proofErr w:type="spellStart"/>
      <w:r w:rsidRPr="00AA035F">
        <w:t>Arsenwasserstoff</w:t>
      </w:r>
      <w:proofErr w:type="spellEnd"/>
      <w:r w:rsidRPr="00AA035F">
        <w:t xml:space="preserve">) </w:t>
      </w:r>
      <w:r>
        <w:t>– MAK value documentation German language edition.</w:t>
      </w:r>
    </w:p>
    <w:p w14:paraId="6CB21947" w14:textId="77777777" w:rsidR="0059765C" w:rsidRDefault="00645048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(2014) </w:t>
      </w:r>
      <w:r w:rsidR="005C2F44" w:rsidRPr="005C2F44">
        <w:t>Arsenic and its inorganic compounds (with the exception of arsine)</w:t>
      </w:r>
      <w:r>
        <w:t xml:space="preserve"> – MAK value documentation.</w:t>
      </w:r>
    </w:p>
    <w:p w14:paraId="07809BA1" w14:textId="77777777" w:rsidR="008F7EBB" w:rsidRDefault="008F7EBB" w:rsidP="008F7EBB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(2017) </w:t>
      </w:r>
      <w:r w:rsidRPr="005C2F44">
        <w:t>Arsenic and its inorganic compounds (with the exception of arsine)</w:t>
      </w:r>
      <w:r>
        <w:t xml:space="preserve"> – MAK value documentation.</w:t>
      </w:r>
    </w:p>
    <w:p w14:paraId="6BDF1314" w14:textId="77777777" w:rsidR="00935AAE" w:rsidRPr="00930297" w:rsidRDefault="0085350B" w:rsidP="00084859">
      <w:r w:rsidRPr="0085350B">
        <w:lastRenderedPageBreak/>
        <w:t>European Chemicals Agency (ECHA) (</w:t>
      </w:r>
      <w:r>
        <w:t>2017</w:t>
      </w:r>
      <w:r w:rsidRPr="0085350B">
        <w:t xml:space="preserve">) </w:t>
      </w:r>
      <w:r>
        <w:t xml:space="preserve">Committee for Risk Assessment RAC Opinion on </w:t>
      </w:r>
      <w:r w:rsidRPr="00930297">
        <w:t>Arsenic acid and its inorganic salts ECHA/RAC/A77-O-0000001412-86-148/F</w:t>
      </w:r>
    </w:p>
    <w:p w14:paraId="67EBCAD1" w14:textId="40AA58B3" w:rsidR="00AD401E" w:rsidRDefault="00AD401E" w:rsidP="00BC036D">
      <w:r w:rsidRPr="00930297">
        <w:t>Health Council of the Netherlands (HCOTN) (</w:t>
      </w:r>
      <w:sdt>
        <w:sdtPr>
          <w:id w:val="1546321862"/>
          <w:placeholder>
            <w:docPart w:val="DD0AF77B6A3C46C386E11850BDB90EBA"/>
          </w:placeholder>
          <w:temporary/>
          <w:showingPlcHdr/>
        </w:sdtPr>
        <w:sdtEndPr/>
        <w:sdtContent>
          <w:r w:rsidRPr="00930297">
            <w:rPr>
              <w:rStyle w:val="PlaceholderText"/>
              <w:color w:val="auto"/>
            </w:rPr>
            <w:t>2012</w:t>
          </w:r>
        </w:sdtContent>
      </w:sdt>
      <w:r w:rsidRPr="00930297">
        <w:t xml:space="preserve">) </w:t>
      </w:r>
      <w:sdt>
        <w:sdtPr>
          <w:id w:val="-2066397176"/>
          <w:placeholder>
            <w:docPart w:val="DC046A3E080F452EBC6D6113B99EBCDF"/>
          </w:placeholder>
          <w:temporary/>
          <w:showingPlcHdr/>
        </w:sdtPr>
        <w:sdtEndPr/>
        <w:sdtContent>
          <w:r w:rsidRPr="00930297">
            <w:t>Arsenic and inorganic arsenic compounds</w:t>
          </w:r>
        </w:sdtContent>
      </w:sdt>
      <w:r w:rsidRPr="00930297">
        <w:t>. Health-based calculated occupational cancer risk values. The Hague: Health Council of the Netherlands</w:t>
      </w:r>
      <w:proofErr w:type="gramStart"/>
      <w:r w:rsidRPr="00930297">
        <w:t>;</w:t>
      </w:r>
      <w:proofErr w:type="gramEnd"/>
      <w:r w:rsidRPr="00930297">
        <w:t xml:space="preserve"> publication no. </w:t>
      </w:r>
      <w:sdt>
        <w:sdtPr>
          <w:id w:val="-1739624877"/>
          <w:placeholder>
            <w:docPart w:val="3569DAFA4E8E49D29E8B6FBDB1F7ECA8"/>
          </w:placeholder>
          <w:temporary/>
          <w:showingPlcHdr/>
        </w:sdtPr>
        <w:sdtEndPr/>
        <w:sdtContent>
          <w:r w:rsidRPr="00930297">
            <w:t>2012/32</w:t>
          </w:r>
        </w:sdtContent>
      </w:sdt>
      <w:r w:rsidRPr="00930297">
        <w:t>.</w:t>
      </w:r>
    </w:p>
    <w:p w14:paraId="5BD0AB23" w14:textId="77777777" w:rsidR="00F9719C" w:rsidRPr="00930297" w:rsidRDefault="00F9719C" w:rsidP="00935AAE">
      <w:r w:rsidRPr="00930297">
        <w:t>International Agency for Research on Cancer (IARC) (</w:t>
      </w:r>
      <w:sdt>
        <w:sdtPr>
          <w:id w:val="159357081"/>
          <w:placeholder>
            <w:docPart w:val="AA1E26A3C97241FE8A948D6282DB3117"/>
          </w:placeholder>
          <w:temporary/>
          <w:showingPlcHdr/>
        </w:sdtPr>
        <w:sdtEndPr/>
        <w:sdtContent>
          <w:r w:rsidRPr="00930297">
            <w:rPr>
              <w:rStyle w:val="PlaceholderText"/>
              <w:color w:val="auto"/>
            </w:rPr>
            <w:t>2012</w:t>
          </w:r>
        </w:sdtContent>
      </w:sdt>
      <w:r w:rsidRPr="00930297">
        <w:t xml:space="preserve">) </w:t>
      </w:r>
      <w:sdt>
        <w:sdtPr>
          <w:id w:val="163210222"/>
          <w:placeholder>
            <w:docPart w:val="22CCBFF399A74FDDB0833F96214BF0BC"/>
          </w:placeholder>
          <w:temporary/>
          <w:showingPlcHdr/>
        </w:sdtPr>
        <w:sdtEndPr/>
        <w:sdtContent>
          <w:r w:rsidRPr="00930297">
            <w:t>Arsenic, Metals, Fibres and Dust</w:t>
          </w:r>
        </w:sdtContent>
      </w:sdt>
      <w:r w:rsidRPr="00930297">
        <w:t>. IARC Monographs on the evaluation of the carcinogenic risk to humans.</w:t>
      </w:r>
    </w:p>
    <w:p w14:paraId="6F42372D" w14:textId="6AAC7006" w:rsidR="00935AAE" w:rsidRDefault="000F77D1" w:rsidP="00935AAE">
      <w:r w:rsidRPr="00930297">
        <w:t xml:space="preserve">National Industrial Chemicals Notification and Assessment Scheme (NICNAS) (2013) Arsenic: Human health tier II assessment: Human health </w:t>
      </w:r>
      <w:sdt>
        <w:sdtPr>
          <w:id w:val="-1295753243"/>
          <w:placeholder>
            <w:docPart w:val="F8F4418A96EC4E80A74D8A0745DF7437"/>
          </w:placeholder>
          <w:temporary/>
          <w:showingPlcHdr/>
        </w:sdtPr>
        <w:sdtEndPr/>
        <w:sdtContent>
          <w:r w:rsidRPr="00930297">
            <w:t>tier II</w:t>
          </w:r>
        </w:sdtContent>
      </w:sdt>
      <w:r w:rsidRPr="00930297">
        <w:t xml:space="preserve"> assessment – IMAP report.</w:t>
      </w:r>
    </w:p>
    <w:p w14:paraId="2567EFFD" w14:textId="39013CAA" w:rsidR="009B1F5E" w:rsidRPr="00930297" w:rsidRDefault="009B1F5E" w:rsidP="00935AAE">
      <w:r w:rsidRPr="00147E3B">
        <w:rPr>
          <w:bCs/>
          <w:color w:val="000000"/>
        </w:rPr>
        <w:t>Tenth Adaptation to Technical Progress Commission Regulation</w:t>
      </w:r>
      <w:r>
        <w:rPr>
          <w:color w:val="000000"/>
        </w:rPr>
        <w:t xml:space="preserve"> (EU Annex) No 2017/776 amending, for the purposes of its adaptation to technical and scientific progress, Regulation (EC) No 1272/2008 of the European Parliament and of the Council on classification, labelling and packaging of substances and mixtures (the CLP Regulation)</w:t>
      </w:r>
    </w:p>
    <w:p w14:paraId="1F6E903C" w14:textId="77777777" w:rsidR="00BC036D" w:rsidRPr="00930297" w:rsidRDefault="006E0E1B" w:rsidP="003D3F34">
      <w:r w:rsidRPr="00930297">
        <w:t>US Environmental Protection Agency (US EPA) (1991) Arsenic, inorganic – Integrated Risk Information System (IRIS) documentation.</w:t>
      </w:r>
      <w:r w:rsidR="00D5267D" w:rsidRPr="00930297">
        <w:t>US National Institute for Occupational Safety and Health (NIOSH) (</w:t>
      </w:r>
      <w:sdt>
        <w:sdtPr>
          <w:id w:val="-1194999823"/>
          <w:placeholder>
            <w:docPart w:val="F89A4E7F54344AEB8223615AE40AE4E0"/>
          </w:placeholder>
          <w:temporary/>
          <w:showingPlcHdr/>
        </w:sdtPr>
        <w:sdtEndPr/>
        <w:sdtContent>
          <w:r w:rsidR="00D5267D" w:rsidRPr="00930297">
            <w:t>1994</w:t>
          </w:r>
        </w:sdtContent>
      </w:sdt>
      <w:r w:rsidR="00D5267D" w:rsidRPr="00930297">
        <w:t>) Immediately dangerous to life or health concentrations – Arsenic (inorganic compounds, as As).</w:t>
      </w:r>
    </w:p>
    <w:sectPr w:rsidR="00BC036D" w:rsidRPr="00930297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724C04" w16cid:durableId="20ED9014"/>
  <w16cid:commentId w16cid:paraId="4A216B01" w16cid:durableId="20ED93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E8C1E" w14:textId="77777777" w:rsidR="00C703C9" w:rsidRDefault="00C703C9" w:rsidP="00F43AD5">
      <w:pPr>
        <w:spacing w:after="0" w:line="240" w:lineRule="auto"/>
      </w:pPr>
      <w:r>
        <w:separator/>
      </w:r>
    </w:p>
  </w:endnote>
  <w:endnote w:type="continuationSeparator" w:id="0">
    <w:p w14:paraId="14F04678" w14:textId="77777777" w:rsidR="00C703C9" w:rsidRDefault="00C703C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5DEA0DC" w14:textId="27749DFE" w:rsidR="006F02A5" w:rsidRDefault="00BF7662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Arsenic and Compounds (e</w:t>
        </w:r>
        <w:r w:rsidR="00695054" w:rsidRPr="00695054">
          <w:rPr>
            <w:b/>
            <w:sz w:val="18"/>
            <w:szCs w:val="18"/>
          </w:rPr>
          <w:t>xcept Arsine)</w:t>
        </w:r>
        <w:r w:rsidR="00695054">
          <w:rPr>
            <w:b/>
            <w:sz w:val="18"/>
            <w:szCs w:val="18"/>
          </w:rPr>
          <w:t xml:space="preserve"> </w:t>
        </w:r>
        <w:r w:rsidR="006F02A5">
          <w:rPr>
            <w:b/>
            <w:sz w:val="18"/>
            <w:szCs w:val="18"/>
          </w:rPr>
          <w:t>(</w:t>
        </w:r>
        <w:r w:rsidR="00695054">
          <w:rPr>
            <w:b/>
            <w:sz w:val="18"/>
            <w:szCs w:val="18"/>
          </w:rPr>
          <w:t>7440-38-2</w:t>
        </w:r>
        <w:proofErr w:type="gramStart"/>
        <w:r w:rsidR="006F02A5">
          <w:rPr>
            <w:b/>
            <w:sz w:val="18"/>
            <w:szCs w:val="18"/>
          </w:rPr>
          <w:t>)</w:t>
        </w:r>
        <w:proofErr w:type="gramEnd"/>
        <w:r w:rsidR="006F02A5" w:rsidRPr="00F43AD5">
          <w:rPr>
            <w:sz w:val="18"/>
            <w:szCs w:val="18"/>
          </w:rPr>
          <w:br/>
          <w:t xml:space="preserve">Safe Work Australia </w:t>
        </w:r>
        <w:r w:rsidR="006F02A5" w:rsidRPr="00F43AD5">
          <w:rPr>
            <w:rFonts w:ascii="Courier New" w:hAnsi="Courier New" w:cs="Courier New"/>
            <w:sz w:val="18"/>
            <w:szCs w:val="18"/>
          </w:rPr>
          <w:t>—</w:t>
        </w:r>
        <w:r w:rsidR="006F02A5" w:rsidRPr="00F43AD5">
          <w:rPr>
            <w:sz w:val="18"/>
            <w:szCs w:val="18"/>
          </w:rPr>
          <w:t xml:space="preserve"> 201</w:t>
        </w:r>
        <w:r w:rsidR="006F02A5">
          <w:rPr>
            <w:sz w:val="18"/>
            <w:szCs w:val="18"/>
          </w:rPr>
          <w:t>9</w:t>
        </w:r>
      </w:p>
      <w:p w14:paraId="48CDD849" w14:textId="37E851AF" w:rsidR="006F02A5" w:rsidRPr="00F43AD5" w:rsidRDefault="006F02A5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A5F2F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8110F" w14:textId="77777777" w:rsidR="00C703C9" w:rsidRDefault="00C703C9" w:rsidP="00F43AD5">
      <w:pPr>
        <w:spacing w:after="0" w:line="240" w:lineRule="auto"/>
      </w:pPr>
      <w:r>
        <w:separator/>
      </w:r>
    </w:p>
  </w:footnote>
  <w:footnote w:type="continuationSeparator" w:id="0">
    <w:p w14:paraId="6CC3C158" w14:textId="77777777" w:rsidR="00C703C9" w:rsidRDefault="00C703C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687AA" w14:textId="77777777" w:rsidR="006F02A5" w:rsidRDefault="006F02A5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2F491E58" wp14:editId="231DDFC7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CB327" w14:textId="77777777" w:rsidR="006F02A5" w:rsidRDefault="006F02A5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52445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528C5"/>
    <w:multiLevelType w:val="hybridMultilevel"/>
    <w:tmpl w:val="7E9CC5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61BCA"/>
    <w:multiLevelType w:val="hybridMultilevel"/>
    <w:tmpl w:val="AD30878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317809"/>
    <w:multiLevelType w:val="hybridMultilevel"/>
    <w:tmpl w:val="82D817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029CA"/>
    <w:multiLevelType w:val="hybridMultilevel"/>
    <w:tmpl w:val="E5FA3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A549E"/>
    <w:multiLevelType w:val="hybridMultilevel"/>
    <w:tmpl w:val="EDBE4B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83934"/>
    <w:multiLevelType w:val="hybridMultilevel"/>
    <w:tmpl w:val="7E642C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170DC"/>
    <w:multiLevelType w:val="hybridMultilevel"/>
    <w:tmpl w:val="FC5C037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8F7DAE"/>
    <w:multiLevelType w:val="hybridMultilevel"/>
    <w:tmpl w:val="27928A4C"/>
    <w:lvl w:ilvl="0" w:tplc="3A42545E">
      <w:start w:val="184"/>
      <w:numFmt w:val="bullet"/>
      <w:lvlText w:val="—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55945"/>
    <w:multiLevelType w:val="hybridMultilevel"/>
    <w:tmpl w:val="01FEE1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06989"/>
    <w:multiLevelType w:val="hybridMultilevel"/>
    <w:tmpl w:val="DC8A4E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12453D"/>
    <w:multiLevelType w:val="hybridMultilevel"/>
    <w:tmpl w:val="40F08D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420CA0"/>
    <w:multiLevelType w:val="hybridMultilevel"/>
    <w:tmpl w:val="0AC46AF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C8C644E"/>
    <w:multiLevelType w:val="hybridMultilevel"/>
    <w:tmpl w:val="283E46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9"/>
  </w:num>
  <w:num w:numId="7">
    <w:abstractNumId w:val="5"/>
  </w:num>
  <w:num w:numId="8">
    <w:abstractNumId w:val="10"/>
  </w:num>
  <w:num w:numId="9">
    <w:abstractNumId w:val="13"/>
  </w:num>
  <w:num w:numId="10">
    <w:abstractNumId w:val="2"/>
  </w:num>
  <w:num w:numId="11">
    <w:abstractNumId w:val="8"/>
  </w:num>
  <w:num w:numId="12">
    <w:abstractNumId w:val="0"/>
  </w:num>
  <w:num w:numId="13">
    <w:abstractNumId w:val="12"/>
  </w:num>
  <w:num w:numId="14">
    <w:abstractNumId w:val="7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2E4A"/>
    <w:rsid w:val="00007B80"/>
    <w:rsid w:val="00013A22"/>
    <w:rsid w:val="00014C3F"/>
    <w:rsid w:val="00017454"/>
    <w:rsid w:val="00017C82"/>
    <w:rsid w:val="000268DB"/>
    <w:rsid w:val="00032B88"/>
    <w:rsid w:val="00034FF7"/>
    <w:rsid w:val="0004398A"/>
    <w:rsid w:val="00046DF5"/>
    <w:rsid w:val="00052060"/>
    <w:rsid w:val="0005574A"/>
    <w:rsid w:val="00055ADA"/>
    <w:rsid w:val="00055FE1"/>
    <w:rsid w:val="00056EC2"/>
    <w:rsid w:val="00060B48"/>
    <w:rsid w:val="00065C09"/>
    <w:rsid w:val="00067F32"/>
    <w:rsid w:val="00071807"/>
    <w:rsid w:val="00076931"/>
    <w:rsid w:val="000803E1"/>
    <w:rsid w:val="00084513"/>
    <w:rsid w:val="00084859"/>
    <w:rsid w:val="00092D94"/>
    <w:rsid w:val="000B0868"/>
    <w:rsid w:val="000B3992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77D1"/>
    <w:rsid w:val="0010461E"/>
    <w:rsid w:val="00106FAA"/>
    <w:rsid w:val="00113443"/>
    <w:rsid w:val="001269A7"/>
    <w:rsid w:val="00131092"/>
    <w:rsid w:val="00140E6A"/>
    <w:rsid w:val="00146545"/>
    <w:rsid w:val="00146B75"/>
    <w:rsid w:val="00147E3B"/>
    <w:rsid w:val="0015266D"/>
    <w:rsid w:val="0015288A"/>
    <w:rsid w:val="00160F47"/>
    <w:rsid w:val="00167008"/>
    <w:rsid w:val="00177CA1"/>
    <w:rsid w:val="00183823"/>
    <w:rsid w:val="00183942"/>
    <w:rsid w:val="001A009E"/>
    <w:rsid w:val="001A1287"/>
    <w:rsid w:val="001A3859"/>
    <w:rsid w:val="001A3C9D"/>
    <w:rsid w:val="001A43F8"/>
    <w:rsid w:val="001B452C"/>
    <w:rsid w:val="001B79E5"/>
    <w:rsid w:val="001D56F0"/>
    <w:rsid w:val="001D663B"/>
    <w:rsid w:val="001D7B41"/>
    <w:rsid w:val="001E0DFA"/>
    <w:rsid w:val="001E46DA"/>
    <w:rsid w:val="001E52BC"/>
    <w:rsid w:val="001E7249"/>
    <w:rsid w:val="001E7D80"/>
    <w:rsid w:val="001E7DA9"/>
    <w:rsid w:val="001F4B6C"/>
    <w:rsid w:val="001F62CB"/>
    <w:rsid w:val="001F6ED0"/>
    <w:rsid w:val="001F72E6"/>
    <w:rsid w:val="001F73C5"/>
    <w:rsid w:val="001F7698"/>
    <w:rsid w:val="002046A6"/>
    <w:rsid w:val="00204956"/>
    <w:rsid w:val="0020694E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9610D"/>
    <w:rsid w:val="002A3458"/>
    <w:rsid w:val="002B1A2C"/>
    <w:rsid w:val="002C34F2"/>
    <w:rsid w:val="002C58FF"/>
    <w:rsid w:val="002C637F"/>
    <w:rsid w:val="002C7AFE"/>
    <w:rsid w:val="002D053F"/>
    <w:rsid w:val="002D05D2"/>
    <w:rsid w:val="002E0D61"/>
    <w:rsid w:val="002E4C7B"/>
    <w:rsid w:val="0030740C"/>
    <w:rsid w:val="00315833"/>
    <w:rsid w:val="00316785"/>
    <w:rsid w:val="00317F94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1EB2"/>
    <w:rsid w:val="0037471F"/>
    <w:rsid w:val="00382CA6"/>
    <w:rsid w:val="00386093"/>
    <w:rsid w:val="00386E9E"/>
    <w:rsid w:val="003904A4"/>
    <w:rsid w:val="00391841"/>
    <w:rsid w:val="00391B6D"/>
    <w:rsid w:val="00394922"/>
    <w:rsid w:val="003A0E32"/>
    <w:rsid w:val="003A2B94"/>
    <w:rsid w:val="003A4B9B"/>
    <w:rsid w:val="003B387D"/>
    <w:rsid w:val="003C0D58"/>
    <w:rsid w:val="003C5B33"/>
    <w:rsid w:val="003D1F20"/>
    <w:rsid w:val="003D3F34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480F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0B77"/>
    <w:rsid w:val="004715ED"/>
    <w:rsid w:val="00472A11"/>
    <w:rsid w:val="00472AAD"/>
    <w:rsid w:val="00474E33"/>
    <w:rsid w:val="00476803"/>
    <w:rsid w:val="00485AE6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6CB"/>
    <w:rsid w:val="004C1E3F"/>
    <w:rsid w:val="004C2095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52E8"/>
    <w:rsid w:val="00507D33"/>
    <w:rsid w:val="00513613"/>
    <w:rsid w:val="005142C4"/>
    <w:rsid w:val="0051509C"/>
    <w:rsid w:val="005272E2"/>
    <w:rsid w:val="0053108F"/>
    <w:rsid w:val="00532B56"/>
    <w:rsid w:val="00534B10"/>
    <w:rsid w:val="00540133"/>
    <w:rsid w:val="005446A2"/>
    <w:rsid w:val="00544D2F"/>
    <w:rsid w:val="00551BD8"/>
    <w:rsid w:val="00581055"/>
    <w:rsid w:val="00591E38"/>
    <w:rsid w:val="0059765C"/>
    <w:rsid w:val="00597AA7"/>
    <w:rsid w:val="005A19C5"/>
    <w:rsid w:val="005A3034"/>
    <w:rsid w:val="005A462D"/>
    <w:rsid w:val="005B253B"/>
    <w:rsid w:val="005B62D5"/>
    <w:rsid w:val="005B771D"/>
    <w:rsid w:val="005C2F44"/>
    <w:rsid w:val="005C5D16"/>
    <w:rsid w:val="005D3193"/>
    <w:rsid w:val="005D4A6E"/>
    <w:rsid w:val="005E0A8B"/>
    <w:rsid w:val="005E6979"/>
    <w:rsid w:val="005E75CB"/>
    <w:rsid w:val="006013C1"/>
    <w:rsid w:val="0060669E"/>
    <w:rsid w:val="00610F2E"/>
    <w:rsid w:val="00611399"/>
    <w:rsid w:val="00624C4E"/>
    <w:rsid w:val="00625200"/>
    <w:rsid w:val="0063027C"/>
    <w:rsid w:val="00633A7D"/>
    <w:rsid w:val="006352BD"/>
    <w:rsid w:val="006363A8"/>
    <w:rsid w:val="00636DB7"/>
    <w:rsid w:val="00643CA1"/>
    <w:rsid w:val="00645048"/>
    <w:rsid w:val="00650905"/>
    <w:rsid w:val="006532ED"/>
    <w:rsid w:val="006549F2"/>
    <w:rsid w:val="006567B7"/>
    <w:rsid w:val="00657BFB"/>
    <w:rsid w:val="0066263F"/>
    <w:rsid w:val="0066333C"/>
    <w:rsid w:val="006639B4"/>
    <w:rsid w:val="006650FE"/>
    <w:rsid w:val="0067305D"/>
    <w:rsid w:val="00677D9B"/>
    <w:rsid w:val="00685361"/>
    <w:rsid w:val="006867F3"/>
    <w:rsid w:val="00687890"/>
    <w:rsid w:val="006901A2"/>
    <w:rsid w:val="00690368"/>
    <w:rsid w:val="0069079C"/>
    <w:rsid w:val="00690B53"/>
    <w:rsid w:val="00695054"/>
    <w:rsid w:val="00695B72"/>
    <w:rsid w:val="006B160A"/>
    <w:rsid w:val="006B3356"/>
    <w:rsid w:val="006B3478"/>
    <w:rsid w:val="006B4E6C"/>
    <w:rsid w:val="006B50B6"/>
    <w:rsid w:val="006D79EA"/>
    <w:rsid w:val="006E0E1B"/>
    <w:rsid w:val="006E5D05"/>
    <w:rsid w:val="006F02A5"/>
    <w:rsid w:val="00701053"/>
    <w:rsid w:val="00701507"/>
    <w:rsid w:val="00714021"/>
    <w:rsid w:val="0071452D"/>
    <w:rsid w:val="00716A0F"/>
    <w:rsid w:val="00717D45"/>
    <w:rsid w:val="007208F7"/>
    <w:rsid w:val="007218AF"/>
    <w:rsid w:val="0072539B"/>
    <w:rsid w:val="00730081"/>
    <w:rsid w:val="0073077F"/>
    <w:rsid w:val="007365D1"/>
    <w:rsid w:val="00740E0E"/>
    <w:rsid w:val="0074237A"/>
    <w:rsid w:val="00743362"/>
    <w:rsid w:val="00750212"/>
    <w:rsid w:val="00751EC2"/>
    <w:rsid w:val="00752701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7AD3"/>
    <w:rsid w:val="007E063C"/>
    <w:rsid w:val="007E2A4B"/>
    <w:rsid w:val="007E307D"/>
    <w:rsid w:val="007E5F99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728"/>
    <w:rsid w:val="00835E00"/>
    <w:rsid w:val="00837113"/>
    <w:rsid w:val="008414E4"/>
    <w:rsid w:val="00841CA3"/>
    <w:rsid w:val="008438BF"/>
    <w:rsid w:val="00843E21"/>
    <w:rsid w:val="0084508E"/>
    <w:rsid w:val="0085350B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567E"/>
    <w:rsid w:val="008B403C"/>
    <w:rsid w:val="008B7983"/>
    <w:rsid w:val="008C2511"/>
    <w:rsid w:val="008C2E6C"/>
    <w:rsid w:val="008C6B16"/>
    <w:rsid w:val="008C6C67"/>
    <w:rsid w:val="008D026D"/>
    <w:rsid w:val="008D23AB"/>
    <w:rsid w:val="008D4B8B"/>
    <w:rsid w:val="008D5A78"/>
    <w:rsid w:val="008E7B64"/>
    <w:rsid w:val="008F5DCD"/>
    <w:rsid w:val="008F6FD6"/>
    <w:rsid w:val="008F7EBB"/>
    <w:rsid w:val="00900951"/>
    <w:rsid w:val="009118A6"/>
    <w:rsid w:val="00916909"/>
    <w:rsid w:val="00916D94"/>
    <w:rsid w:val="00916EC0"/>
    <w:rsid w:val="00920467"/>
    <w:rsid w:val="00921DE7"/>
    <w:rsid w:val="00930297"/>
    <w:rsid w:val="0093041A"/>
    <w:rsid w:val="00930714"/>
    <w:rsid w:val="00931B03"/>
    <w:rsid w:val="009323B9"/>
    <w:rsid w:val="00932DCE"/>
    <w:rsid w:val="0093327E"/>
    <w:rsid w:val="00934028"/>
    <w:rsid w:val="00935AAE"/>
    <w:rsid w:val="0093760E"/>
    <w:rsid w:val="00945328"/>
    <w:rsid w:val="00946044"/>
    <w:rsid w:val="0094660B"/>
    <w:rsid w:val="00946A33"/>
    <w:rsid w:val="00952386"/>
    <w:rsid w:val="0095260E"/>
    <w:rsid w:val="00956CFE"/>
    <w:rsid w:val="009578DD"/>
    <w:rsid w:val="00961124"/>
    <w:rsid w:val="009621B6"/>
    <w:rsid w:val="00974F2D"/>
    <w:rsid w:val="00977524"/>
    <w:rsid w:val="00977E88"/>
    <w:rsid w:val="00984346"/>
    <w:rsid w:val="00984920"/>
    <w:rsid w:val="0099303A"/>
    <w:rsid w:val="009971C2"/>
    <w:rsid w:val="009A1254"/>
    <w:rsid w:val="009B1F5E"/>
    <w:rsid w:val="009B2FF2"/>
    <w:rsid w:val="009B380C"/>
    <w:rsid w:val="009B4843"/>
    <w:rsid w:val="009B6543"/>
    <w:rsid w:val="009B6679"/>
    <w:rsid w:val="009C199D"/>
    <w:rsid w:val="009C278F"/>
    <w:rsid w:val="009C2B94"/>
    <w:rsid w:val="009C5874"/>
    <w:rsid w:val="009D0E7F"/>
    <w:rsid w:val="009D3B5A"/>
    <w:rsid w:val="009D4360"/>
    <w:rsid w:val="009E0C05"/>
    <w:rsid w:val="009E0D1C"/>
    <w:rsid w:val="009E2214"/>
    <w:rsid w:val="009E355A"/>
    <w:rsid w:val="009E63E2"/>
    <w:rsid w:val="009F05CF"/>
    <w:rsid w:val="009F0F3A"/>
    <w:rsid w:val="00A01D0C"/>
    <w:rsid w:val="00A037C7"/>
    <w:rsid w:val="00A0643F"/>
    <w:rsid w:val="00A067EE"/>
    <w:rsid w:val="00A10FCE"/>
    <w:rsid w:val="00A141AC"/>
    <w:rsid w:val="00A16D91"/>
    <w:rsid w:val="00A174CC"/>
    <w:rsid w:val="00A2073D"/>
    <w:rsid w:val="00A20751"/>
    <w:rsid w:val="00A27E2D"/>
    <w:rsid w:val="00A31D99"/>
    <w:rsid w:val="00A32A20"/>
    <w:rsid w:val="00A357BA"/>
    <w:rsid w:val="00A35ADC"/>
    <w:rsid w:val="00A402A3"/>
    <w:rsid w:val="00A506E6"/>
    <w:rsid w:val="00A51A8F"/>
    <w:rsid w:val="00A53681"/>
    <w:rsid w:val="00A61A72"/>
    <w:rsid w:val="00A633D4"/>
    <w:rsid w:val="00A6461A"/>
    <w:rsid w:val="00A66BE9"/>
    <w:rsid w:val="00A709EF"/>
    <w:rsid w:val="00A84504"/>
    <w:rsid w:val="00A8672F"/>
    <w:rsid w:val="00A93057"/>
    <w:rsid w:val="00A93C4D"/>
    <w:rsid w:val="00A968B0"/>
    <w:rsid w:val="00AA035F"/>
    <w:rsid w:val="00AB0397"/>
    <w:rsid w:val="00AB15A2"/>
    <w:rsid w:val="00AB2672"/>
    <w:rsid w:val="00AB2817"/>
    <w:rsid w:val="00AB3694"/>
    <w:rsid w:val="00AB43C4"/>
    <w:rsid w:val="00AC32E7"/>
    <w:rsid w:val="00AC3A9F"/>
    <w:rsid w:val="00AC6D2F"/>
    <w:rsid w:val="00AD401E"/>
    <w:rsid w:val="00AE2745"/>
    <w:rsid w:val="00AE2F64"/>
    <w:rsid w:val="00AF42CB"/>
    <w:rsid w:val="00AF483F"/>
    <w:rsid w:val="00AF5E07"/>
    <w:rsid w:val="00AF5F06"/>
    <w:rsid w:val="00B00A25"/>
    <w:rsid w:val="00B05CFB"/>
    <w:rsid w:val="00B13BBC"/>
    <w:rsid w:val="00B1422A"/>
    <w:rsid w:val="00B1765C"/>
    <w:rsid w:val="00B213C4"/>
    <w:rsid w:val="00B40C60"/>
    <w:rsid w:val="00B41693"/>
    <w:rsid w:val="00B43A91"/>
    <w:rsid w:val="00B479A9"/>
    <w:rsid w:val="00B5235C"/>
    <w:rsid w:val="00B52EDF"/>
    <w:rsid w:val="00B662FD"/>
    <w:rsid w:val="00B71188"/>
    <w:rsid w:val="00B7397E"/>
    <w:rsid w:val="00B76A41"/>
    <w:rsid w:val="00B77BB8"/>
    <w:rsid w:val="00B86825"/>
    <w:rsid w:val="00B87D4C"/>
    <w:rsid w:val="00B93646"/>
    <w:rsid w:val="00B93E88"/>
    <w:rsid w:val="00BA0B38"/>
    <w:rsid w:val="00BA1DBB"/>
    <w:rsid w:val="00BA4510"/>
    <w:rsid w:val="00BA529A"/>
    <w:rsid w:val="00BA5F2F"/>
    <w:rsid w:val="00BB612A"/>
    <w:rsid w:val="00BC036D"/>
    <w:rsid w:val="00BD25C7"/>
    <w:rsid w:val="00BD499F"/>
    <w:rsid w:val="00BD56DE"/>
    <w:rsid w:val="00BF2406"/>
    <w:rsid w:val="00BF7662"/>
    <w:rsid w:val="00C06E43"/>
    <w:rsid w:val="00C16315"/>
    <w:rsid w:val="00C169D3"/>
    <w:rsid w:val="00C3091E"/>
    <w:rsid w:val="00C40FF1"/>
    <w:rsid w:val="00C419E2"/>
    <w:rsid w:val="00C42232"/>
    <w:rsid w:val="00C5020E"/>
    <w:rsid w:val="00C543B0"/>
    <w:rsid w:val="00C57452"/>
    <w:rsid w:val="00C61EDF"/>
    <w:rsid w:val="00C6239D"/>
    <w:rsid w:val="00C6594B"/>
    <w:rsid w:val="00C67FFB"/>
    <w:rsid w:val="00C703C9"/>
    <w:rsid w:val="00C7155E"/>
    <w:rsid w:val="00C71D1E"/>
    <w:rsid w:val="00C71D7D"/>
    <w:rsid w:val="00C74833"/>
    <w:rsid w:val="00C850A0"/>
    <w:rsid w:val="00C85A86"/>
    <w:rsid w:val="00C978F0"/>
    <w:rsid w:val="00CA58FE"/>
    <w:rsid w:val="00CB17B6"/>
    <w:rsid w:val="00CB1CB1"/>
    <w:rsid w:val="00CB472E"/>
    <w:rsid w:val="00CB6BC1"/>
    <w:rsid w:val="00CB6CB8"/>
    <w:rsid w:val="00CC1A68"/>
    <w:rsid w:val="00CC2123"/>
    <w:rsid w:val="00CC24E9"/>
    <w:rsid w:val="00CD2BFD"/>
    <w:rsid w:val="00CD6DA7"/>
    <w:rsid w:val="00CE5AD6"/>
    <w:rsid w:val="00CE617F"/>
    <w:rsid w:val="00CE6982"/>
    <w:rsid w:val="00CE78EF"/>
    <w:rsid w:val="00CF0247"/>
    <w:rsid w:val="00D03A8A"/>
    <w:rsid w:val="00D048F7"/>
    <w:rsid w:val="00D0517E"/>
    <w:rsid w:val="00D140FC"/>
    <w:rsid w:val="00D1668D"/>
    <w:rsid w:val="00D21D8C"/>
    <w:rsid w:val="00D25B12"/>
    <w:rsid w:val="00D31357"/>
    <w:rsid w:val="00D320AC"/>
    <w:rsid w:val="00D33220"/>
    <w:rsid w:val="00D334D1"/>
    <w:rsid w:val="00D358B3"/>
    <w:rsid w:val="00D4203F"/>
    <w:rsid w:val="00D44C89"/>
    <w:rsid w:val="00D516CD"/>
    <w:rsid w:val="00D5267D"/>
    <w:rsid w:val="00D6309C"/>
    <w:rsid w:val="00D668E6"/>
    <w:rsid w:val="00D70670"/>
    <w:rsid w:val="00D72C12"/>
    <w:rsid w:val="00D74D80"/>
    <w:rsid w:val="00D76624"/>
    <w:rsid w:val="00D87570"/>
    <w:rsid w:val="00D90F84"/>
    <w:rsid w:val="00D91CB9"/>
    <w:rsid w:val="00D95DB9"/>
    <w:rsid w:val="00D97989"/>
    <w:rsid w:val="00D97D8D"/>
    <w:rsid w:val="00DA352E"/>
    <w:rsid w:val="00DC157E"/>
    <w:rsid w:val="00DC22D0"/>
    <w:rsid w:val="00DC7694"/>
    <w:rsid w:val="00DD1BF6"/>
    <w:rsid w:val="00DD2F9B"/>
    <w:rsid w:val="00DE2513"/>
    <w:rsid w:val="00DE26E8"/>
    <w:rsid w:val="00DE4EA6"/>
    <w:rsid w:val="00DF6F36"/>
    <w:rsid w:val="00E0084C"/>
    <w:rsid w:val="00E025AB"/>
    <w:rsid w:val="00E02B23"/>
    <w:rsid w:val="00E06F40"/>
    <w:rsid w:val="00E07CE8"/>
    <w:rsid w:val="00E16135"/>
    <w:rsid w:val="00E25D7D"/>
    <w:rsid w:val="00E26A07"/>
    <w:rsid w:val="00E32595"/>
    <w:rsid w:val="00E35E1D"/>
    <w:rsid w:val="00E36B5A"/>
    <w:rsid w:val="00E37CFD"/>
    <w:rsid w:val="00E37D19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4310"/>
    <w:rsid w:val="00E92499"/>
    <w:rsid w:val="00E949AF"/>
    <w:rsid w:val="00E96077"/>
    <w:rsid w:val="00EA0A06"/>
    <w:rsid w:val="00EA29C6"/>
    <w:rsid w:val="00EA6243"/>
    <w:rsid w:val="00EA74AB"/>
    <w:rsid w:val="00EB2C78"/>
    <w:rsid w:val="00EB2F8C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3523"/>
    <w:rsid w:val="00F053FA"/>
    <w:rsid w:val="00F10C97"/>
    <w:rsid w:val="00F11C71"/>
    <w:rsid w:val="00F16019"/>
    <w:rsid w:val="00F20E68"/>
    <w:rsid w:val="00F21203"/>
    <w:rsid w:val="00F22093"/>
    <w:rsid w:val="00F236DF"/>
    <w:rsid w:val="00F26463"/>
    <w:rsid w:val="00F31A5D"/>
    <w:rsid w:val="00F353F7"/>
    <w:rsid w:val="00F370E9"/>
    <w:rsid w:val="00F43AD5"/>
    <w:rsid w:val="00F4402E"/>
    <w:rsid w:val="00F51896"/>
    <w:rsid w:val="00F559CE"/>
    <w:rsid w:val="00F56DD0"/>
    <w:rsid w:val="00F6491C"/>
    <w:rsid w:val="00F67BBB"/>
    <w:rsid w:val="00F85126"/>
    <w:rsid w:val="00F86D5E"/>
    <w:rsid w:val="00F87D92"/>
    <w:rsid w:val="00F90AA7"/>
    <w:rsid w:val="00F92498"/>
    <w:rsid w:val="00F92A77"/>
    <w:rsid w:val="00F9496B"/>
    <w:rsid w:val="00F970C9"/>
    <w:rsid w:val="00F9719C"/>
    <w:rsid w:val="00FA06A8"/>
    <w:rsid w:val="00FA3DF5"/>
    <w:rsid w:val="00FA741F"/>
    <w:rsid w:val="00FB4E07"/>
    <w:rsid w:val="00FB755A"/>
    <w:rsid w:val="00FC60A2"/>
    <w:rsid w:val="00FD1871"/>
    <w:rsid w:val="00FD3110"/>
    <w:rsid w:val="00FD75B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AF60F3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Paragraph">
    <w:name w:val="List Paragraph"/>
    <w:basedOn w:val="Normal"/>
    <w:uiPriority w:val="34"/>
    <w:qFormat/>
    <w:rsid w:val="00D320A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E52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52B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52B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52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52BC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4715ED"/>
    <w:pPr>
      <w:numPr>
        <w:numId w:val="1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8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838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D0AF77B6A3C46C386E11850BDB90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05C92-E386-4623-B6A5-680B5A573C4B}"/>
      </w:docPartPr>
      <w:docPartBody>
        <w:p w:rsidR="00107043" w:rsidRDefault="00721368" w:rsidP="00721368">
          <w:pPr>
            <w:pStyle w:val="DD0AF77B6A3C46C386E11850BDB90EBA"/>
          </w:pPr>
          <w:r w:rsidRPr="00F02F8D">
            <w:rPr>
              <w:rStyle w:val="PlaceholderText"/>
              <w:rFonts w:eastAsiaTheme="minorHAnsi"/>
              <w:color w:val="00B050"/>
            </w:rPr>
            <w:t>201</w:t>
          </w:r>
          <w:r>
            <w:rPr>
              <w:rStyle w:val="PlaceholderText"/>
              <w:rFonts w:eastAsiaTheme="minorHAnsi"/>
              <w:color w:val="00B050"/>
            </w:rPr>
            <w:t>2</w:t>
          </w:r>
        </w:p>
      </w:docPartBody>
    </w:docPart>
    <w:docPart>
      <w:docPartPr>
        <w:name w:val="DC046A3E080F452EBC6D6113B99EB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327E7-E30D-4078-B65E-2A73DBDE35AA}"/>
      </w:docPartPr>
      <w:docPartBody>
        <w:p w:rsidR="00107043" w:rsidRDefault="00721368" w:rsidP="00721368">
          <w:pPr>
            <w:pStyle w:val="DC046A3E080F452EBC6D6113B99EBCDF"/>
          </w:pPr>
          <w:r w:rsidRPr="005F7416">
            <w:rPr>
              <w:color w:val="00B050"/>
            </w:rPr>
            <w:t>Arsenic and inorganic arsenic compounds</w:t>
          </w:r>
        </w:p>
      </w:docPartBody>
    </w:docPart>
    <w:docPart>
      <w:docPartPr>
        <w:name w:val="3569DAFA4E8E49D29E8B6FBDB1F7E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7393A-325E-4B82-8AB5-9F5C49DF6E8D}"/>
      </w:docPartPr>
      <w:docPartBody>
        <w:p w:rsidR="00107043" w:rsidRDefault="00721368" w:rsidP="00721368">
          <w:pPr>
            <w:pStyle w:val="3569DAFA4E8E49D29E8B6FBDB1F7ECA8"/>
          </w:pPr>
          <w:r w:rsidRPr="005F7416">
            <w:rPr>
              <w:color w:val="00B050"/>
            </w:rPr>
            <w:t>2012/32</w:t>
          </w:r>
        </w:p>
      </w:docPartBody>
    </w:docPart>
    <w:docPart>
      <w:docPartPr>
        <w:name w:val="AA1E26A3C97241FE8A948D6282DB3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0B703-0D3F-48AC-B06A-0C6AAC98ECA1}"/>
      </w:docPartPr>
      <w:docPartBody>
        <w:p w:rsidR="00107043" w:rsidRDefault="00721368" w:rsidP="00721368">
          <w:pPr>
            <w:pStyle w:val="AA1E26A3C97241FE8A948D6282DB3117"/>
          </w:pPr>
          <w:r w:rsidRPr="00F02F8D">
            <w:rPr>
              <w:rStyle w:val="PlaceholderText"/>
              <w:rFonts w:eastAsiaTheme="minorHAnsi"/>
              <w:color w:val="00B050"/>
            </w:rPr>
            <w:t>201</w:t>
          </w:r>
          <w:r>
            <w:rPr>
              <w:rStyle w:val="PlaceholderText"/>
              <w:rFonts w:eastAsiaTheme="minorHAnsi"/>
              <w:color w:val="00B050"/>
            </w:rPr>
            <w:t>2</w:t>
          </w:r>
        </w:p>
      </w:docPartBody>
    </w:docPart>
    <w:docPart>
      <w:docPartPr>
        <w:name w:val="22CCBFF399A74FDDB0833F96214BF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27184-9D42-4BE4-9859-5678E15ECC9F}"/>
      </w:docPartPr>
      <w:docPartBody>
        <w:p w:rsidR="00107043" w:rsidRDefault="00721368" w:rsidP="00721368">
          <w:pPr>
            <w:pStyle w:val="22CCBFF399A74FDDB0833F96214BF0BC"/>
          </w:pPr>
          <w:r w:rsidRPr="0071660C">
            <w:rPr>
              <w:color w:val="00B050"/>
            </w:rPr>
            <w:t>Arsenic, Metals, Fibres and Dust</w:t>
          </w:r>
        </w:p>
      </w:docPartBody>
    </w:docPart>
    <w:docPart>
      <w:docPartPr>
        <w:name w:val="F8F4418A96EC4E80A74D8A0745DF7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E32A5-6D97-49DA-89F8-A6EC9BD6A863}"/>
      </w:docPartPr>
      <w:docPartBody>
        <w:p w:rsidR="00107043" w:rsidRDefault="00721368" w:rsidP="00721368">
          <w:pPr>
            <w:pStyle w:val="F8F4418A96EC4E80A74D8A0745DF7437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F89A4E7F54344AEB8223615AE40AE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2C40C-6EFC-4C00-86AD-D6ECC96D7DC5}"/>
      </w:docPartPr>
      <w:docPartBody>
        <w:p w:rsidR="00107043" w:rsidRDefault="00721368" w:rsidP="00721368">
          <w:pPr>
            <w:pStyle w:val="F89A4E7F54344AEB8223615AE40AE4E0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4EB44CF260304771AF4974ABD003D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659C4-C028-4641-B597-F92AAE9A4D4C}"/>
      </w:docPartPr>
      <w:docPartBody>
        <w:p w:rsidR="00E45768" w:rsidRDefault="0019017F" w:rsidP="0019017F">
          <w:pPr>
            <w:pStyle w:val="4EB44CF260304771AF4974ABD003D31C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107043"/>
    <w:rsid w:val="0019017F"/>
    <w:rsid w:val="00224E81"/>
    <w:rsid w:val="006C4C23"/>
    <w:rsid w:val="00721368"/>
    <w:rsid w:val="007473C0"/>
    <w:rsid w:val="009D0447"/>
    <w:rsid w:val="009D7274"/>
    <w:rsid w:val="00A0533C"/>
    <w:rsid w:val="00D21A9F"/>
    <w:rsid w:val="00E45768"/>
    <w:rsid w:val="00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017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C4F68B244044149B314FFEC76621A34">
    <w:name w:val="AC4F68B244044149B314FFEC76621A34"/>
    <w:rsid w:val="00721368"/>
  </w:style>
  <w:style w:type="paragraph" w:customStyle="1" w:styleId="DACCB1C30F514174A7882EE5DD9D47F9">
    <w:name w:val="DACCB1C30F514174A7882EE5DD9D47F9"/>
    <w:rsid w:val="00721368"/>
  </w:style>
  <w:style w:type="paragraph" w:customStyle="1" w:styleId="85CACAC8053344F7A552C333E2E8D0BB">
    <w:name w:val="85CACAC8053344F7A552C333E2E8D0BB"/>
    <w:rsid w:val="00721368"/>
  </w:style>
  <w:style w:type="paragraph" w:customStyle="1" w:styleId="22D0F690678844899C3946CDA1131721">
    <w:name w:val="22D0F690678844899C3946CDA1131721"/>
    <w:rsid w:val="00721368"/>
  </w:style>
  <w:style w:type="paragraph" w:customStyle="1" w:styleId="DD0AF77B6A3C46C386E11850BDB90EBA">
    <w:name w:val="DD0AF77B6A3C46C386E11850BDB90EBA"/>
    <w:rsid w:val="00721368"/>
  </w:style>
  <w:style w:type="paragraph" w:customStyle="1" w:styleId="DC046A3E080F452EBC6D6113B99EBCDF">
    <w:name w:val="DC046A3E080F452EBC6D6113B99EBCDF"/>
    <w:rsid w:val="00721368"/>
  </w:style>
  <w:style w:type="paragraph" w:customStyle="1" w:styleId="3569DAFA4E8E49D29E8B6FBDB1F7ECA8">
    <w:name w:val="3569DAFA4E8E49D29E8B6FBDB1F7ECA8"/>
    <w:rsid w:val="00721368"/>
  </w:style>
  <w:style w:type="paragraph" w:customStyle="1" w:styleId="AA1E26A3C97241FE8A948D6282DB3117">
    <w:name w:val="AA1E26A3C97241FE8A948D6282DB3117"/>
    <w:rsid w:val="00721368"/>
  </w:style>
  <w:style w:type="paragraph" w:customStyle="1" w:styleId="22CCBFF399A74FDDB0833F96214BF0BC">
    <w:name w:val="22CCBFF399A74FDDB0833F96214BF0BC"/>
    <w:rsid w:val="00721368"/>
  </w:style>
  <w:style w:type="paragraph" w:customStyle="1" w:styleId="A44325EF8D8949F39EB330168E630C35">
    <w:name w:val="A44325EF8D8949F39EB330168E630C35"/>
    <w:rsid w:val="00721368"/>
  </w:style>
  <w:style w:type="paragraph" w:customStyle="1" w:styleId="18E11514F65C49FC9EE846967415BB1B">
    <w:name w:val="18E11514F65C49FC9EE846967415BB1B"/>
    <w:rsid w:val="00721368"/>
  </w:style>
  <w:style w:type="paragraph" w:customStyle="1" w:styleId="F8F4418A96EC4E80A74D8A0745DF7437">
    <w:name w:val="F8F4418A96EC4E80A74D8A0745DF7437"/>
    <w:rsid w:val="00721368"/>
  </w:style>
  <w:style w:type="paragraph" w:customStyle="1" w:styleId="F89A4E7F54344AEB8223615AE40AE4E0">
    <w:name w:val="F89A4E7F54344AEB8223615AE40AE4E0"/>
    <w:rsid w:val="00721368"/>
  </w:style>
  <w:style w:type="paragraph" w:customStyle="1" w:styleId="0383ED675E3141E296710C01CB0761B5">
    <w:name w:val="0383ED675E3141E296710C01CB0761B5"/>
    <w:rsid w:val="00721368"/>
  </w:style>
  <w:style w:type="paragraph" w:customStyle="1" w:styleId="25438B2085E341D58C54E8C6A07B8524">
    <w:name w:val="25438B2085E341D58C54E8C6A07B8524"/>
    <w:rsid w:val="00721368"/>
  </w:style>
  <w:style w:type="paragraph" w:customStyle="1" w:styleId="76CFDEDE70024436BD191108C28FDB1A">
    <w:name w:val="76CFDEDE70024436BD191108C28FDB1A"/>
    <w:rsid w:val="006C4C23"/>
  </w:style>
  <w:style w:type="paragraph" w:customStyle="1" w:styleId="4EB44CF260304771AF4974ABD003D31C">
    <w:name w:val="4EB44CF260304771AF4974ABD003D31C"/>
    <w:rsid w:val="001901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4C75F-EEC7-41AC-94FB-8F02FEF48B12}"/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E22EE9-252C-445E-B282-1DDB1E9C4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7C5993B5.dotm</Template>
  <TotalTime>124</TotalTime>
  <Pages>7</Pages>
  <Words>1826</Words>
  <Characters>10412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HEARD,Jonathan</cp:lastModifiedBy>
  <cp:revision>6</cp:revision>
  <cp:lastPrinted>2018-10-22T22:41:00Z</cp:lastPrinted>
  <dcterms:created xsi:type="dcterms:W3CDTF">2019-07-30T01:58:00Z</dcterms:created>
  <dcterms:modified xsi:type="dcterms:W3CDTF">2019-08-16T00:03:00Z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