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616C6E33" w14:textId="77777777" w:rsidR="00BD499F" w:rsidRPr="004C23F4" w:rsidRDefault="004F06D7" w:rsidP="00B40C60">
          <w:pPr>
            <w:pStyle w:val="Heading1"/>
            <w:jc w:val="center"/>
            <w:rPr>
              <w:rFonts w:ascii="Arial" w:hAnsi="Arial" w:cs="Arial"/>
            </w:rPr>
          </w:pPr>
          <w:r>
            <w:rPr>
              <w:rFonts w:ascii="Arial" w:hAnsi="Arial" w:cs="Arial"/>
            </w:rPr>
            <w:t xml:space="preserve">Antimony trioxide </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6"/>
        <w:gridCol w:w="5040"/>
      </w:tblGrid>
      <w:tr w:rsidR="00F43AD5" w:rsidRPr="004C23F4" w14:paraId="23761BEA" w14:textId="77777777" w:rsidTr="00B76A41">
        <w:trPr>
          <w:cantSplit/>
          <w:tblHeader/>
        </w:trPr>
        <w:tc>
          <w:tcPr>
            <w:tcW w:w="4077" w:type="dxa"/>
          </w:tcPr>
          <w:p w14:paraId="17CC7711" w14:textId="77777777" w:rsidR="00F43AD5" w:rsidRPr="00921DE7" w:rsidRDefault="00CB1CB1" w:rsidP="00B76A41">
            <w:pPr>
              <w:pStyle w:val="Tablerowright"/>
            </w:pPr>
            <w:r w:rsidRPr="00921DE7">
              <w:t>CAS number:</w:t>
            </w:r>
          </w:p>
        </w:tc>
        <w:tc>
          <w:tcPr>
            <w:tcW w:w="5165" w:type="dxa"/>
          </w:tcPr>
          <w:p w14:paraId="1A00958E" w14:textId="77777777" w:rsidR="00F43AD5" w:rsidRPr="00717D45" w:rsidRDefault="004F06D7" w:rsidP="00B76A41">
            <w:pPr>
              <w:pStyle w:val="Tablefont"/>
            </w:pPr>
            <w:r w:rsidRPr="004F06D7">
              <w:t>1309-64-4</w:t>
            </w:r>
          </w:p>
        </w:tc>
      </w:tr>
      <w:tr w:rsidR="00F43AD5" w:rsidRPr="004C23F4" w14:paraId="27FFA782" w14:textId="77777777" w:rsidTr="00B76A41">
        <w:trPr>
          <w:cantSplit/>
        </w:trPr>
        <w:tc>
          <w:tcPr>
            <w:tcW w:w="4077" w:type="dxa"/>
          </w:tcPr>
          <w:p w14:paraId="0519A3BF" w14:textId="77777777" w:rsidR="00F43AD5" w:rsidRPr="00921DE7" w:rsidRDefault="00CB1CB1" w:rsidP="00B76A41">
            <w:pPr>
              <w:pStyle w:val="Tablerowright"/>
            </w:pPr>
            <w:r w:rsidRPr="00921DE7">
              <w:t>Synonyms:</w:t>
            </w:r>
          </w:p>
        </w:tc>
        <w:tc>
          <w:tcPr>
            <w:tcW w:w="5165" w:type="dxa"/>
          </w:tcPr>
          <w:p w14:paraId="43AB91A8" w14:textId="77777777" w:rsidR="00F43AD5" w:rsidRPr="00717D45" w:rsidRDefault="004F06D7" w:rsidP="00B76A41">
            <w:pPr>
              <w:pStyle w:val="Tablefont"/>
            </w:pPr>
            <w:r>
              <w:t xml:space="preserve">Antimony sesquioxide, </w:t>
            </w:r>
            <w:proofErr w:type="spellStart"/>
            <w:r>
              <w:t>antimonous</w:t>
            </w:r>
            <w:proofErr w:type="spellEnd"/>
            <w:r>
              <w:t xml:space="preserve"> oxide, </w:t>
            </w:r>
            <w:r w:rsidR="00D2668C">
              <w:br/>
            </w:r>
            <w:r>
              <w:t>flowers of antimony, antimony(III) oxide</w:t>
            </w:r>
          </w:p>
        </w:tc>
      </w:tr>
      <w:tr w:rsidR="00F43AD5" w:rsidRPr="004C23F4" w14:paraId="774F457F" w14:textId="77777777" w:rsidTr="00B76A41">
        <w:trPr>
          <w:cantSplit/>
        </w:trPr>
        <w:tc>
          <w:tcPr>
            <w:tcW w:w="4077" w:type="dxa"/>
          </w:tcPr>
          <w:p w14:paraId="15C9F906" w14:textId="77777777" w:rsidR="00F43AD5" w:rsidRPr="00921DE7" w:rsidRDefault="00CB1CB1" w:rsidP="00B76A41">
            <w:pPr>
              <w:pStyle w:val="Tablerowright"/>
            </w:pPr>
            <w:r w:rsidRPr="00921DE7">
              <w:t>Chemical formula:</w:t>
            </w:r>
          </w:p>
        </w:tc>
        <w:tc>
          <w:tcPr>
            <w:tcW w:w="5165" w:type="dxa"/>
          </w:tcPr>
          <w:p w14:paraId="00632A02" w14:textId="77777777" w:rsidR="00F43AD5" w:rsidRPr="004F06D7" w:rsidRDefault="00F77253" w:rsidP="00B76A41">
            <w:pPr>
              <w:pStyle w:val="Tablefont"/>
            </w:pPr>
            <w:r>
              <w:t>Sb</w:t>
            </w:r>
            <w:r w:rsidR="004F06D7">
              <w:rPr>
                <w:vertAlign w:val="subscript"/>
              </w:rPr>
              <w:t>2</w:t>
            </w:r>
            <w:r w:rsidR="004F06D7">
              <w:t>O</w:t>
            </w:r>
            <w:r w:rsidR="004F06D7">
              <w:rPr>
                <w:vertAlign w:val="subscript"/>
              </w:rPr>
              <w:t>3</w:t>
            </w:r>
          </w:p>
        </w:tc>
      </w:tr>
      <w:tr w:rsidR="00F43AD5" w:rsidRPr="004C23F4" w14:paraId="2A93D6B5" w14:textId="77777777" w:rsidTr="00B76A41">
        <w:trPr>
          <w:cantSplit/>
        </w:trPr>
        <w:tc>
          <w:tcPr>
            <w:tcW w:w="4077" w:type="dxa"/>
          </w:tcPr>
          <w:p w14:paraId="372A10E0" w14:textId="77777777" w:rsidR="00F43AD5" w:rsidRPr="00921DE7" w:rsidRDefault="00CB1CB1" w:rsidP="00B76A41">
            <w:pPr>
              <w:pStyle w:val="Tablerowright"/>
            </w:pPr>
            <w:r w:rsidRPr="00921DE7">
              <w:t>Structural formula:</w:t>
            </w:r>
          </w:p>
        </w:tc>
        <w:tc>
          <w:tcPr>
            <w:tcW w:w="5165" w:type="dxa"/>
          </w:tcPr>
          <w:p w14:paraId="63D62D47" w14:textId="77777777" w:rsidR="00F43AD5" w:rsidRPr="00B40C60" w:rsidRDefault="00F43AD5" w:rsidP="00B76A41">
            <w:pPr>
              <w:pStyle w:val="Tablerowheading"/>
              <w:rPr>
                <w:b w:val="0"/>
              </w:rPr>
            </w:pPr>
          </w:p>
        </w:tc>
      </w:tr>
    </w:tbl>
    <w:p w14:paraId="04A0B666" w14:textId="7777777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4F06D7">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7"/>
        <w:gridCol w:w="5029"/>
      </w:tblGrid>
      <w:tr w:rsidR="002C7AFE" w:rsidRPr="004C23F4" w14:paraId="3A428E53" w14:textId="77777777" w:rsidTr="00610F2E">
        <w:trPr>
          <w:cantSplit/>
          <w:tblHeader/>
        </w:trPr>
        <w:tc>
          <w:tcPr>
            <w:tcW w:w="4077" w:type="dxa"/>
            <w:vAlign w:val="center"/>
          </w:tcPr>
          <w:p w14:paraId="248215F6" w14:textId="77777777" w:rsidR="002C7AFE" w:rsidRPr="002C58FF" w:rsidRDefault="00921DE7" w:rsidP="00921DE7">
            <w:pPr>
              <w:pStyle w:val="Tablerowright"/>
            </w:pPr>
            <w:r>
              <w:t>TWA:</w:t>
            </w:r>
          </w:p>
        </w:tc>
        <w:tc>
          <w:tcPr>
            <w:tcW w:w="5165" w:type="dxa"/>
          </w:tcPr>
          <w:p w14:paraId="2D914CF8" w14:textId="77777777" w:rsidR="00D2668C" w:rsidRPr="00D2668C" w:rsidRDefault="00D2668C" w:rsidP="00D2668C">
            <w:pPr>
              <w:pStyle w:val="Tablefont"/>
              <w:rPr>
                <w:rFonts w:cs="Arial"/>
                <w:b/>
              </w:rPr>
            </w:pPr>
            <w:r w:rsidRPr="00D2668C">
              <w:rPr>
                <w:rFonts w:cs="Arial"/>
                <w:lang w:val="en-US"/>
              </w:rPr>
              <w:t>—</w:t>
            </w:r>
          </w:p>
        </w:tc>
      </w:tr>
      <w:tr w:rsidR="002C7AFE" w:rsidRPr="004C23F4" w14:paraId="055C739F" w14:textId="77777777" w:rsidTr="00921DE7">
        <w:trPr>
          <w:cantSplit/>
        </w:trPr>
        <w:tc>
          <w:tcPr>
            <w:tcW w:w="4077" w:type="dxa"/>
            <w:vAlign w:val="center"/>
          </w:tcPr>
          <w:p w14:paraId="265AE3E4" w14:textId="77777777" w:rsidR="002C7AFE" w:rsidRPr="002C58FF" w:rsidRDefault="002C7AFE" w:rsidP="00921DE7">
            <w:pPr>
              <w:pStyle w:val="Tablerowright"/>
            </w:pPr>
            <w:r w:rsidRPr="002C58FF">
              <w:t>STEL</w:t>
            </w:r>
            <w:r w:rsidR="00921DE7">
              <w:t>:</w:t>
            </w:r>
          </w:p>
        </w:tc>
        <w:tc>
          <w:tcPr>
            <w:tcW w:w="5165" w:type="dxa"/>
          </w:tcPr>
          <w:p w14:paraId="07E55E39" w14:textId="77777777" w:rsidR="002C7AFE" w:rsidRPr="00D2668C" w:rsidRDefault="00D2668C" w:rsidP="00017C82">
            <w:pPr>
              <w:pStyle w:val="Tablefont"/>
              <w:rPr>
                <w:b/>
              </w:rPr>
            </w:pPr>
            <w:r w:rsidRPr="00D2668C">
              <w:rPr>
                <w:rFonts w:cs="Arial"/>
                <w:lang w:val="en-US"/>
              </w:rPr>
              <w:t>—</w:t>
            </w:r>
          </w:p>
        </w:tc>
      </w:tr>
      <w:tr w:rsidR="002C7AFE" w:rsidRPr="004C23F4" w14:paraId="0D65724B" w14:textId="77777777" w:rsidTr="00921DE7">
        <w:trPr>
          <w:cantSplit/>
        </w:trPr>
        <w:tc>
          <w:tcPr>
            <w:tcW w:w="4077" w:type="dxa"/>
            <w:vAlign w:val="center"/>
          </w:tcPr>
          <w:p w14:paraId="46CC561B" w14:textId="77777777" w:rsidR="002C7AFE" w:rsidRPr="002C58FF" w:rsidRDefault="00921DE7" w:rsidP="00921DE7">
            <w:pPr>
              <w:pStyle w:val="Tablerowright"/>
            </w:pPr>
            <w:r>
              <w:t>Peak limitation:</w:t>
            </w:r>
          </w:p>
        </w:tc>
        <w:tc>
          <w:tcPr>
            <w:tcW w:w="5165" w:type="dxa"/>
          </w:tcPr>
          <w:p w14:paraId="28101E41" w14:textId="77777777" w:rsidR="002C7AFE" w:rsidRPr="00D2668C" w:rsidRDefault="00D2668C" w:rsidP="00017C82">
            <w:pPr>
              <w:pStyle w:val="Tablefont"/>
              <w:rPr>
                <w:b/>
              </w:rPr>
            </w:pPr>
            <w:r w:rsidRPr="00D2668C">
              <w:rPr>
                <w:rFonts w:cs="Arial"/>
                <w:lang w:val="en-US"/>
              </w:rPr>
              <w:t>—</w:t>
            </w:r>
          </w:p>
        </w:tc>
      </w:tr>
      <w:tr w:rsidR="002C7AFE" w:rsidRPr="004C23F4" w14:paraId="4E5CA0A7" w14:textId="77777777" w:rsidTr="00A2073D">
        <w:trPr>
          <w:cantSplit/>
        </w:trPr>
        <w:tc>
          <w:tcPr>
            <w:tcW w:w="4077" w:type="dxa"/>
          </w:tcPr>
          <w:p w14:paraId="07DE5016"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165" w:type="dxa"/>
          </w:tcPr>
          <w:p w14:paraId="76B30F3D" w14:textId="77777777" w:rsidR="002C7AFE" w:rsidRPr="00EB3D1B" w:rsidRDefault="004F06D7" w:rsidP="008A36CF">
            <w:pPr>
              <w:pStyle w:val="Tablefont"/>
              <w:rPr>
                <w:b/>
              </w:rPr>
            </w:pPr>
            <w:proofErr w:type="spellStart"/>
            <w:r>
              <w:rPr>
                <w:b/>
              </w:rPr>
              <w:t>Carc</w:t>
            </w:r>
            <w:proofErr w:type="spellEnd"/>
            <w:r>
              <w:rPr>
                <w:b/>
              </w:rPr>
              <w:t>.</w:t>
            </w:r>
            <w:r w:rsidR="006B6CA6">
              <w:rPr>
                <w:b/>
              </w:rPr>
              <w:t xml:space="preserve"> </w:t>
            </w:r>
            <w:r>
              <w:rPr>
                <w:b/>
              </w:rPr>
              <w:t>2</w:t>
            </w:r>
          </w:p>
        </w:tc>
      </w:tr>
      <w:tr w:rsidR="002C7AFE" w:rsidRPr="004C23F4" w14:paraId="6626EE94" w14:textId="77777777" w:rsidTr="00921DE7">
        <w:trPr>
          <w:cantSplit/>
        </w:trPr>
        <w:tc>
          <w:tcPr>
            <w:tcW w:w="4077" w:type="dxa"/>
            <w:vAlign w:val="center"/>
          </w:tcPr>
          <w:p w14:paraId="61C83834" w14:textId="7C3E3595" w:rsidR="00F10C97" w:rsidRPr="002C58FF" w:rsidRDefault="00921DE7" w:rsidP="008E5A9B">
            <w:pPr>
              <w:pStyle w:val="Tablerowright"/>
            </w:pPr>
            <w:r>
              <w:t>IDLH:</w:t>
            </w:r>
          </w:p>
        </w:tc>
        <w:tc>
          <w:tcPr>
            <w:tcW w:w="5165" w:type="dxa"/>
          </w:tcPr>
          <w:p w14:paraId="59211B73" w14:textId="131926A3" w:rsidR="002C7AFE" w:rsidRPr="00E13AAE" w:rsidRDefault="006425BE" w:rsidP="00017C82">
            <w:pPr>
              <w:pStyle w:val="Tablefont"/>
              <w:rPr>
                <w:b/>
              </w:rPr>
            </w:pPr>
            <w:r>
              <w:rPr>
                <w:b/>
              </w:rPr>
              <w:t>50</w:t>
            </w:r>
            <w:r w:rsidR="0063712C">
              <w:rPr>
                <w:b/>
              </w:rPr>
              <w:t xml:space="preserve"> </w:t>
            </w:r>
            <w:r>
              <w:rPr>
                <w:b/>
              </w:rPr>
              <w:t>mg/m</w:t>
            </w:r>
            <w:r w:rsidRPr="006425BE">
              <w:rPr>
                <w:b/>
                <w:vertAlign w:val="superscript"/>
              </w:rPr>
              <w:t>3</w:t>
            </w:r>
            <w:r>
              <w:rPr>
                <w:b/>
              </w:rPr>
              <w:t xml:space="preserve"> (as Sb)</w:t>
            </w:r>
          </w:p>
        </w:tc>
      </w:tr>
      <w:tr w:rsidR="008E5A9B" w:rsidRPr="004C23F4" w14:paraId="23A379BB" w14:textId="77777777" w:rsidTr="008E5A9B">
        <w:trPr>
          <w:cantSplit/>
        </w:trPr>
        <w:tc>
          <w:tcPr>
            <w:tcW w:w="4077" w:type="dxa"/>
          </w:tcPr>
          <w:p w14:paraId="4F2CA051" w14:textId="074EEF59" w:rsidR="008E5A9B" w:rsidRDefault="008E5A9B" w:rsidP="008E5A9B">
            <w:pPr>
              <w:pStyle w:val="Tablerowright"/>
            </w:pPr>
            <w:bookmarkStart w:id="0" w:name="_GoBack" w:colFirst="0" w:colLast="0"/>
            <w:r>
              <w:t>Sampling and analysis:</w:t>
            </w:r>
          </w:p>
        </w:tc>
        <w:tc>
          <w:tcPr>
            <w:tcW w:w="5165" w:type="dxa"/>
          </w:tcPr>
          <w:p w14:paraId="7E0F14F2" w14:textId="5E464673" w:rsidR="008E5A9B" w:rsidRPr="008E5A9B" w:rsidRDefault="008E5A9B" w:rsidP="00017C82">
            <w:pPr>
              <w:pStyle w:val="Tablefont"/>
            </w:pPr>
            <w:r w:rsidRPr="008E5A9B">
              <w:t xml:space="preserve">The recommended value is readily quantifiable through currently available sampling and analysis techniques. </w:t>
            </w:r>
          </w:p>
        </w:tc>
      </w:tr>
    </w:tbl>
    <w:bookmarkEnd w:id="0"/>
    <w:p w14:paraId="7E9BA1DE" w14:textId="77777777" w:rsidR="00CB1CB1" w:rsidRDefault="00F10C97" w:rsidP="003365A5">
      <w:pPr>
        <w:pStyle w:val="Heading2"/>
      </w:pPr>
      <w:r>
        <w:t>Recommendation and basis for workplace exposure standard</w:t>
      </w:r>
    </w:p>
    <w:p w14:paraId="339DB663" w14:textId="77777777" w:rsidR="00D2668C" w:rsidRDefault="0057448A" w:rsidP="00106D61">
      <w:pPr>
        <w:rPr>
          <w:rFonts w:cs="Arial"/>
        </w:rPr>
      </w:pPr>
      <w:r>
        <w:rPr>
          <w:rFonts w:cs="Arial"/>
        </w:rPr>
        <w:t>A</w:t>
      </w:r>
      <w:r w:rsidR="00106D61">
        <w:rPr>
          <w:rFonts w:cs="Arial"/>
        </w:rPr>
        <w:t xml:space="preserve"> TWA </w:t>
      </w:r>
      <w:proofErr w:type="gramStart"/>
      <w:r w:rsidR="00381EAF">
        <w:rPr>
          <w:rFonts w:cs="Arial"/>
        </w:rPr>
        <w:t xml:space="preserve">is not </w:t>
      </w:r>
      <w:r w:rsidR="00D2668C">
        <w:rPr>
          <w:rFonts w:cs="Arial"/>
        </w:rPr>
        <w:t>recommended</w:t>
      </w:r>
      <w:proofErr w:type="gramEnd"/>
      <w:r w:rsidR="00381EAF">
        <w:rPr>
          <w:rFonts w:cs="Arial"/>
        </w:rPr>
        <w:t xml:space="preserve"> due to a lack of reliable human </w:t>
      </w:r>
      <w:r w:rsidR="006B6CA6">
        <w:rPr>
          <w:rFonts w:cs="Arial"/>
        </w:rPr>
        <w:t xml:space="preserve">inhalational </w:t>
      </w:r>
      <w:r w:rsidR="00381EAF">
        <w:rPr>
          <w:rFonts w:cs="Arial"/>
        </w:rPr>
        <w:t>carcinogenicity</w:t>
      </w:r>
      <w:r w:rsidR="004B7F5D">
        <w:rPr>
          <w:rFonts w:cs="Arial"/>
        </w:rPr>
        <w:t xml:space="preserve"> data</w:t>
      </w:r>
      <w:r w:rsidR="006B6CA6">
        <w:rPr>
          <w:rFonts w:cs="Arial"/>
        </w:rPr>
        <w:t xml:space="preserve">. Exposure should be minimised as far as possible to protect for myocardial damage and pneumoconiosis from short-term exposure and potentially </w:t>
      </w:r>
      <w:r w:rsidR="00CD0C8C">
        <w:rPr>
          <w:rFonts w:cs="Arial"/>
        </w:rPr>
        <w:t xml:space="preserve">lung cancer from chronic exposure. </w:t>
      </w:r>
    </w:p>
    <w:p w14:paraId="446ACDCE" w14:textId="0BEFB781" w:rsidR="00106D61" w:rsidRDefault="0087428F" w:rsidP="00106D61">
      <w:pPr>
        <w:rPr>
          <w:rFonts w:cs="Arial"/>
        </w:rPr>
      </w:pPr>
      <w:r>
        <w:rPr>
          <w:rFonts w:cs="Arial"/>
        </w:rPr>
        <w:t>There is i</w:t>
      </w:r>
      <w:r w:rsidR="006B6CA6">
        <w:rPr>
          <w:rFonts w:cs="Arial"/>
        </w:rPr>
        <w:t xml:space="preserve">nsufficient data available to </w:t>
      </w:r>
      <w:r>
        <w:rPr>
          <w:rFonts w:cs="Arial"/>
        </w:rPr>
        <w:t>recommend</w:t>
      </w:r>
      <w:r w:rsidR="006B6CA6">
        <w:rPr>
          <w:rFonts w:cs="Arial"/>
        </w:rPr>
        <w:t xml:space="preserve"> a STEL or peak limitation.</w:t>
      </w:r>
    </w:p>
    <w:p w14:paraId="50662982" w14:textId="77777777" w:rsidR="00D2668C" w:rsidRDefault="00D2668C" w:rsidP="00106D61">
      <w:pPr>
        <w:rPr>
          <w:rFonts w:cs="Arial"/>
        </w:rPr>
      </w:pPr>
      <w:r>
        <w:rPr>
          <w:rFonts w:cs="Arial"/>
        </w:rPr>
        <w:t xml:space="preserve">Investigation of additional data sources </w:t>
      </w:r>
      <w:proofErr w:type="gramStart"/>
      <w:r>
        <w:rPr>
          <w:rFonts w:cs="Arial"/>
        </w:rPr>
        <w:t>is recommended</w:t>
      </w:r>
      <w:proofErr w:type="gramEnd"/>
      <w:r>
        <w:rPr>
          <w:rFonts w:cs="Arial"/>
        </w:rPr>
        <w:t xml:space="preserve"> at the next scheduled review due to the incomplete dataset for antimony trioxide.</w:t>
      </w:r>
    </w:p>
    <w:p w14:paraId="7A53399D" w14:textId="77777777" w:rsidR="00C7155E" w:rsidRPr="004C23F4" w:rsidRDefault="00F10C97" w:rsidP="003365A5">
      <w:pPr>
        <w:pStyle w:val="Heading2"/>
      </w:pPr>
      <w:r>
        <w:t>Discussion and conclusions</w:t>
      </w:r>
    </w:p>
    <w:p w14:paraId="65D6309F" w14:textId="60F785D2" w:rsidR="006425BE" w:rsidRDefault="00CD0C8C" w:rsidP="00C65664">
      <w:r>
        <w:t xml:space="preserve">Antimony trioxide </w:t>
      </w:r>
      <w:r w:rsidR="00AC31A9">
        <w:t>(Sb</w:t>
      </w:r>
      <w:r w:rsidR="00AC31A9" w:rsidRPr="00AC31A9">
        <w:rPr>
          <w:vertAlign w:val="subscript"/>
        </w:rPr>
        <w:t>2</w:t>
      </w:r>
      <w:r w:rsidR="00AC31A9">
        <w:t>O</w:t>
      </w:r>
      <w:r w:rsidR="00AC31A9" w:rsidRPr="00AC31A9">
        <w:rPr>
          <w:vertAlign w:val="subscript"/>
        </w:rPr>
        <w:t>3</w:t>
      </w:r>
      <w:r w:rsidR="00AC31A9">
        <w:t xml:space="preserve">) </w:t>
      </w:r>
      <w:r>
        <w:t xml:space="preserve">is typically encountered in antimony processing, for which co-exposures to other antimony derivatives (e.g. </w:t>
      </w:r>
      <w:r w:rsidR="00AC31A9">
        <w:t>elemental</w:t>
      </w:r>
      <w:r>
        <w:t xml:space="preserve"> antimony, antimony </w:t>
      </w:r>
      <w:proofErr w:type="spellStart"/>
      <w:r>
        <w:t>trisulfide</w:t>
      </w:r>
      <w:proofErr w:type="spellEnd"/>
      <w:r>
        <w:t>) exist</w:t>
      </w:r>
      <w:r w:rsidR="00AC31A9">
        <w:t xml:space="preserve"> (DFG, 2007; ACGIH 2001)</w:t>
      </w:r>
      <w:r>
        <w:t xml:space="preserve">. </w:t>
      </w:r>
    </w:p>
    <w:p w14:paraId="651435E0" w14:textId="77777777" w:rsidR="00D2668C" w:rsidRDefault="00FB34AC" w:rsidP="00C65664">
      <w:r>
        <w:t xml:space="preserve">Antimony trioxide </w:t>
      </w:r>
      <w:proofErr w:type="gramStart"/>
      <w:r>
        <w:t>is classified</w:t>
      </w:r>
      <w:proofErr w:type="gramEnd"/>
      <w:r>
        <w:t xml:space="preserve"> as a suspected human carcinogen due to a</w:t>
      </w:r>
      <w:r w:rsidR="00D2668C">
        <w:t>n increased</w:t>
      </w:r>
      <w:r>
        <w:t xml:space="preserve"> prevalence of lung ca</w:t>
      </w:r>
      <w:r w:rsidR="00D2668C">
        <w:t>ncer in workers exposed to antimony</w:t>
      </w:r>
      <w:r>
        <w:t xml:space="preserve"> mixtures. However, t</w:t>
      </w:r>
      <w:r w:rsidR="00CD0C8C">
        <w:t xml:space="preserve">he available occupational data </w:t>
      </w:r>
      <w:r w:rsidR="00AC31A9">
        <w:t>is insufficient to</w:t>
      </w:r>
      <w:r w:rsidR="00CD0C8C">
        <w:t xml:space="preserve"> </w:t>
      </w:r>
      <w:r>
        <w:t>distinguish</w:t>
      </w:r>
      <w:r w:rsidR="00CD0C8C">
        <w:t xml:space="preserve"> the </w:t>
      </w:r>
      <w:r w:rsidR="00AC31A9">
        <w:t xml:space="preserve">potential carcinogenic </w:t>
      </w:r>
      <w:r w:rsidR="00CD0C8C">
        <w:t xml:space="preserve">effects of </w:t>
      </w:r>
      <w:r w:rsidR="00AC31A9">
        <w:t>Sb</w:t>
      </w:r>
      <w:r w:rsidR="00AC31A9">
        <w:rPr>
          <w:vertAlign w:val="subscript"/>
        </w:rPr>
        <w:t>2</w:t>
      </w:r>
      <w:r w:rsidR="00AC31A9">
        <w:t>O</w:t>
      </w:r>
      <w:r w:rsidR="00AC31A9">
        <w:rPr>
          <w:vertAlign w:val="subscript"/>
        </w:rPr>
        <w:t>3</w:t>
      </w:r>
      <w:r w:rsidR="00CD0C8C">
        <w:t xml:space="preserve"> exposure from</w:t>
      </w:r>
      <w:r>
        <w:t xml:space="preserve"> these</w:t>
      </w:r>
      <w:r w:rsidR="00CD0C8C">
        <w:t xml:space="preserve"> </w:t>
      </w:r>
      <w:r>
        <w:t>other compounds (US </w:t>
      </w:r>
      <w:r w:rsidR="00AC31A9">
        <w:t>EPA, 1995)</w:t>
      </w:r>
      <w:r w:rsidR="00CD0C8C">
        <w:t xml:space="preserve">. </w:t>
      </w:r>
      <w:r>
        <w:t xml:space="preserve">The isolated compound demonstrates mutagenicity in mouse and human cell lines </w:t>
      </w:r>
      <w:r>
        <w:rPr>
          <w:i/>
        </w:rPr>
        <w:t>in vitro</w:t>
      </w:r>
      <w:r>
        <w:t xml:space="preserve"> (DFG, 2007). </w:t>
      </w:r>
      <w:r w:rsidR="00106D61">
        <w:t xml:space="preserve">The critical </w:t>
      </w:r>
      <w:r>
        <w:t xml:space="preserve">short-term </w:t>
      </w:r>
      <w:r w:rsidR="00106D61">
        <w:t xml:space="preserve">effects </w:t>
      </w:r>
      <w:r w:rsidR="00AC31A9">
        <w:t>of</w:t>
      </w:r>
      <w:r w:rsidR="00106D61">
        <w:t xml:space="preserve"> exposure </w:t>
      </w:r>
      <w:r w:rsidR="00AC31A9">
        <w:t xml:space="preserve">are </w:t>
      </w:r>
      <w:r w:rsidR="00CD0C8C">
        <w:t>myocardial damage and pneumo</w:t>
      </w:r>
      <w:r w:rsidR="00AC31A9">
        <w:t>coniosis, for w</w:t>
      </w:r>
      <w:r w:rsidR="00D2668C">
        <w:t xml:space="preserve">hich no threshold level </w:t>
      </w:r>
      <w:proofErr w:type="gramStart"/>
      <w:r w:rsidR="00D2668C">
        <w:t>is</w:t>
      </w:r>
      <w:r w:rsidR="00AC31A9">
        <w:t xml:space="preserve"> established</w:t>
      </w:r>
      <w:proofErr w:type="gramEnd"/>
      <w:r w:rsidR="00AC31A9">
        <w:t xml:space="preserve"> in the available studies</w:t>
      </w:r>
      <w:r w:rsidR="006425BE">
        <w:t>. I</w:t>
      </w:r>
      <w:r>
        <w:t xml:space="preserve">t is noted that the TWA for other inorganic antimony compounds is based on the irritant effects of antimony pentachloride (ACGIH, 2001), which is not appropriate in this case. </w:t>
      </w:r>
    </w:p>
    <w:p w14:paraId="5363C4B7" w14:textId="01A1B5E3" w:rsidR="00360BA4" w:rsidRDefault="00FB34AC" w:rsidP="00C65664">
      <w:r>
        <w:t>An inhalational NOAEL of 0.51 mg/m</w:t>
      </w:r>
      <w:r>
        <w:rPr>
          <w:vertAlign w:val="superscript"/>
        </w:rPr>
        <w:t>3</w:t>
      </w:r>
      <w:r>
        <w:t xml:space="preserve"> measured </w:t>
      </w:r>
      <w:r w:rsidR="006425BE">
        <w:t>in mice is noted (US EPA, 1995). I</w:t>
      </w:r>
      <w:r>
        <w:t xml:space="preserve">n the absence of reliable human exposure data, including </w:t>
      </w:r>
      <w:r w:rsidR="00693124">
        <w:t>inhalational carcinogenicity</w:t>
      </w:r>
      <w:r>
        <w:t xml:space="preserve">, a TWA that minimises the risk of cancer </w:t>
      </w:r>
      <w:proofErr w:type="gramStart"/>
      <w:r>
        <w:t>cannot</w:t>
      </w:r>
      <w:r w:rsidR="00693124">
        <w:t xml:space="preserve"> currently</w:t>
      </w:r>
      <w:r>
        <w:t xml:space="preserve"> be </w:t>
      </w:r>
      <w:r w:rsidR="00D2668C">
        <w:t>recommend</w:t>
      </w:r>
      <w:r>
        <w:t>ed</w:t>
      </w:r>
      <w:proofErr w:type="gramEnd"/>
      <w:r w:rsidR="00693124">
        <w:t xml:space="preserve">. </w:t>
      </w:r>
      <w:r w:rsidR="006425BE">
        <w:t>Similarly, the available IDLH for antimony may not be suitable for antimony trioxide.</w:t>
      </w:r>
    </w:p>
    <w:p w14:paraId="357E815D" w14:textId="77777777" w:rsidR="004529F0" w:rsidRPr="004C23F4" w:rsidRDefault="004529F0" w:rsidP="004529F0">
      <w:pPr>
        <w:pStyle w:val="Heading2"/>
      </w:pPr>
      <w:r>
        <w:lastRenderedPageBreak/>
        <w:t>Recommendation for notations</w:t>
      </w:r>
    </w:p>
    <w:p w14:paraId="5135A14E" w14:textId="77777777" w:rsidR="00044FF9" w:rsidRDefault="004F06D7" w:rsidP="00044FF9">
      <w:bookmarkStart w:id="1" w:name="_Hlk11861284"/>
      <w:r>
        <w:t>C</w:t>
      </w:r>
      <w:r w:rsidR="00303D5A">
        <w:t xml:space="preserve">lassified as </w:t>
      </w:r>
      <w:r>
        <w:t>a category 2 carcinogen</w:t>
      </w:r>
      <w:r w:rsidR="00044FF9">
        <w:t xml:space="preserve"> according to the Globally Harmonized System of Classification and Labelling of Chemicals (GHS).</w:t>
      </w:r>
    </w:p>
    <w:p w14:paraId="117A02FB" w14:textId="77777777" w:rsidR="00044FF9" w:rsidRDefault="004F06D7" w:rsidP="00044FF9">
      <w:r>
        <w:t>N</w:t>
      </w:r>
      <w:r w:rsidR="00044FF9">
        <w:t xml:space="preserve">ot classified as </w:t>
      </w:r>
      <w:r w:rsidR="00D2668C">
        <w:t xml:space="preserve">a </w:t>
      </w:r>
      <w:r w:rsidR="00044FF9">
        <w:t>skin</w:t>
      </w:r>
      <w:r w:rsidR="00D2668C">
        <w:t xml:space="preserve"> sensitiser or</w:t>
      </w:r>
      <w:r w:rsidR="00044FF9">
        <w:t xml:space="preserve"> respiratory sensitiser according to the GHS.</w:t>
      </w:r>
    </w:p>
    <w:p w14:paraId="10D12244" w14:textId="77777777" w:rsidR="005E6979" w:rsidRPr="00691DCB" w:rsidRDefault="00D2668C">
      <w:pPr>
        <w:rPr>
          <w:rFonts w:cs="Arial"/>
        </w:rPr>
        <w:sectPr w:rsidR="005E6979" w:rsidRPr="00691DCB"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r>
        <w:rPr>
          <w:rFonts w:eastAsia="Calibri" w:cs="Times New Roman"/>
        </w:rPr>
        <w:t xml:space="preserve">A skin notation </w:t>
      </w:r>
      <w:proofErr w:type="gramStart"/>
      <w:r>
        <w:rPr>
          <w:rFonts w:eastAsia="Calibri" w:cs="Times New Roman"/>
        </w:rPr>
        <w:t>is not recommended</w:t>
      </w:r>
      <w:proofErr w:type="gramEnd"/>
      <w:r w:rsidR="00693124">
        <w:rPr>
          <w:rFonts w:eastAsia="Calibri" w:cs="Times New Roman"/>
        </w:rPr>
        <w:t xml:space="preserve"> due to a lack of evidence for systemic toxicity from skin absorption</w:t>
      </w:r>
      <w:r w:rsidR="003B5FDE">
        <w:rPr>
          <w:rFonts w:eastAsia="Calibri" w:cs="Times New Roman"/>
        </w:rPr>
        <w:t>.</w:t>
      </w:r>
    </w:p>
    <w:bookmarkEnd w:id="1"/>
    <w:p w14:paraId="421C3E5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508FFC20"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1FD102E8" w14:textId="77777777" w:rsidTr="00293BB0">
        <w:trPr>
          <w:gridAfter w:val="1"/>
          <w:wAfter w:w="8" w:type="pct"/>
          <w:cantSplit/>
          <w:trHeight w:val="393"/>
          <w:tblHeader/>
        </w:trPr>
        <w:tc>
          <w:tcPr>
            <w:tcW w:w="4992" w:type="pct"/>
            <w:shd w:val="clear" w:color="auto" w:fill="BFBFBF" w:themeFill="background1" w:themeFillShade="BF"/>
            <w:vAlign w:val="center"/>
          </w:tcPr>
          <w:p w14:paraId="3EC828C6"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13BD367" w14:textId="77777777" w:rsidTr="00293BB0">
        <w:trPr>
          <w:cantSplit/>
        </w:trPr>
        <w:tc>
          <w:tcPr>
            <w:tcW w:w="5000" w:type="pct"/>
            <w:gridSpan w:val="2"/>
            <w:shd w:val="clear" w:color="auto" w:fill="F2F2F2" w:themeFill="background1" w:themeFillShade="F2"/>
          </w:tcPr>
          <w:p w14:paraId="306942FE"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showingPlcHdr/>
                <w:text/>
              </w:sdtPr>
              <w:sdtEndPr/>
              <w:sdtContent>
                <w:r>
                  <w:rPr>
                    <w:rStyle w:val="PlaceholderText"/>
                    <w:i w:val="0"/>
                  </w:rPr>
                  <w:t>Y</w:t>
                </w:r>
                <w:r w:rsidRPr="003365A5">
                  <w:rPr>
                    <w:rStyle w:val="PlaceholderText"/>
                    <w:i w:val="0"/>
                  </w:rPr>
                  <w:t>ear</w:t>
                </w:r>
              </w:sdtContent>
            </w:sdt>
            <w:r w:rsidRPr="003365A5">
              <w:tab/>
            </w:r>
            <w:r>
              <w:tab/>
            </w:r>
            <w:sdt>
              <w:sdtPr>
                <w:alias w:val="SWA WES"/>
                <w:tag w:val="SWA WES"/>
                <w:id w:val="857077202"/>
                <w:placeholder>
                  <w:docPart w:val="81CFEC2FDBC5451289F394E66D92D1A0"/>
                </w:placeholder>
              </w:sdtPr>
              <w:sdtEndPr/>
              <w:sdtContent>
                <w:r w:rsidR="00F77253">
                  <w:t>TWA: 0.5 mg/m</w:t>
                </w:r>
                <w:r w:rsidR="00F77253">
                  <w:rPr>
                    <w:vertAlign w:val="superscript"/>
                  </w:rPr>
                  <w:t>3</w:t>
                </w:r>
                <w:r w:rsidR="00F3119E">
                  <w:t xml:space="preserve"> (as Sb)</w:t>
                </w:r>
              </w:sdtContent>
            </w:sdt>
          </w:p>
        </w:tc>
      </w:tr>
      <w:tr w:rsidR="00C978F0" w:rsidRPr="00DA352E" w14:paraId="0890D307" w14:textId="77777777" w:rsidTr="00293BB0">
        <w:trPr>
          <w:gridAfter w:val="1"/>
          <w:wAfter w:w="8" w:type="pct"/>
          <w:cantSplit/>
        </w:trPr>
        <w:tc>
          <w:tcPr>
            <w:tcW w:w="4992" w:type="pct"/>
          </w:tcPr>
          <w:p w14:paraId="7F29FB0B" w14:textId="77777777" w:rsidR="00C978F0" w:rsidRPr="00DA352E" w:rsidRDefault="00C978F0" w:rsidP="003365A5">
            <w:pPr>
              <w:pStyle w:val="Tabletextprimarysource"/>
            </w:pPr>
          </w:p>
        </w:tc>
      </w:tr>
      <w:tr w:rsidR="00C978F0" w:rsidRPr="00DA352E" w14:paraId="0F0B59D5" w14:textId="77777777" w:rsidTr="00293BB0">
        <w:trPr>
          <w:gridAfter w:val="1"/>
          <w:wAfter w:w="8" w:type="pct"/>
          <w:cantSplit/>
        </w:trPr>
        <w:tc>
          <w:tcPr>
            <w:tcW w:w="4992" w:type="pct"/>
            <w:shd w:val="clear" w:color="auto" w:fill="F2F2F2" w:themeFill="background1" w:themeFillShade="F2"/>
          </w:tcPr>
          <w:p w14:paraId="36FC7B1A"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F77253">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6E6515">
                  <w:t>—</w:t>
                </w:r>
              </w:sdtContent>
            </w:sdt>
          </w:p>
        </w:tc>
      </w:tr>
      <w:tr w:rsidR="00C978F0" w:rsidRPr="00DA352E" w14:paraId="2312DBCD" w14:textId="77777777" w:rsidTr="00293BB0">
        <w:trPr>
          <w:gridAfter w:val="1"/>
          <w:wAfter w:w="8" w:type="pct"/>
        </w:trPr>
        <w:tc>
          <w:tcPr>
            <w:tcW w:w="4992" w:type="pct"/>
          </w:tcPr>
          <w:p w14:paraId="5D58E3AB" w14:textId="77777777" w:rsidR="006425BE" w:rsidRDefault="006425BE" w:rsidP="00CC0499">
            <w:pPr>
              <w:pStyle w:val="Tabletextprimarysource"/>
            </w:pPr>
            <w:r>
              <w:t xml:space="preserve">TLV-TWA </w:t>
            </w:r>
            <w:proofErr w:type="gramStart"/>
            <w:r>
              <w:t xml:space="preserve">is </w:t>
            </w:r>
            <w:r w:rsidR="004F06D7">
              <w:t xml:space="preserve">not </w:t>
            </w:r>
            <w:r>
              <w:t xml:space="preserve">currently </w:t>
            </w:r>
            <w:r w:rsidR="004F06D7">
              <w:t>recommended</w:t>
            </w:r>
            <w:proofErr w:type="gramEnd"/>
            <w:r w:rsidR="004F06D7">
              <w:t xml:space="preserve"> due to </w:t>
            </w:r>
            <w:r w:rsidR="002A571E">
              <w:t>conflicting</w:t>
            </w:r>
            <w:r w:rsidR="004F06D7">
              <w:t xml:space="preserve"> human exposure data including carcinogenic activity. </w:t>
            </w:r>
          </w:p>
          <w:p w14:paraId="36230B90" w14:textId="77777777" w:rsidR="00D2668C" w:rsidRDefault="004F06D7" w:rsidP="00CC0499">
            <w:pPr>
              <w:pStyle w:val="Tabletextprimarysource"/>
            </w:pPr>
            <w:r>
              <w:t xml:space="preserve">Suspected human carcinogen notation assigned based on case studies of </w:t>
            </w:r>
            <w:r w:rsidR="002A571E">
              <w:t>antimony p</w:t>
            </w:r>
            <w:r w:rsidR="00D2668C">
              <w:t>roduction plants that associate</w:t>
            </w:r>
            <w:r w:rsidR="002A571E">
              <w:t xml:space="preserve"> antimony exposure with</w:t>
            </w:r>
            <w:r w:rsidR="00085EE7">
              <w:t xml:space="preserve"> </w:t>
            </w:r>
            <w:r w:rsidR="00D2668C">
              <w:t>an excess risk of</w:t>
            </w:r>
            <w:r w:rsidR="002A571E">
              <w:t xml:space="preserve"> lung cancer</w:t>
            </w:r>
            <w:r w:rsidR="00085EE7">
              <w:t xml:space="preserve"> in workers exposed to a mixture of antimony compounds</w:t>
            </w:r>
            <w:r w:rsidR="002A571E">
              <w:t xml:space="preserve">. </w:t>
            </w:r>
          </w:p>
          <w:p w14:paraId="797F5120" w14:textId="77777777" w:rsidR="00CE553D" w:rsidRDefault="00D2668C" w:rsidP="00CC0499">
            <w:pPr>
              <w:pStyle w:val="Tabletextprimarysource"/>
            </w:pPr>
            <w:r>
              <w:t>Recommends e</w:t>
            </w:r>
            <w:r w:rsidR="002A571E">
              <w:t>xposure by al</w:t>
            </w:r>
            <w:r w:rsidR="00EC6CC3">
              <w:t>l</w:t>
            </w:r>
            <w:r>
              <w:t xml:space="preserve"> routes</w:t>
            </w:r>
            <w:r w:rsidR="002A571E">
              <w:t xml:space="preserve"> be minimised as far as possible.</w:t>
            </w:r>
            <w:r w:rsidR="00EC6CC3">
              <w:t xml:space="preserve"> </w:t>
            </w:r>
          </w:p>
          <w:p w14:paraId="66B15863" w14:textId="7FD149A8" w:rsidR="00CE553D" w:rsidRDefault="00085EE7" w:rsidP="00CC0499">
            <w:pPr>
              <w:pStyle w:val="Tabletextprimarysource"/>
            </w:pPr>
            <w:r>
              <w:t>Critical effects of a</w:t>
            </w:r>
            <w:r w:rsidR="00CE553D">
              <w:t>cute</w:t>
            </w:r>
            <w:r>
              <w:t xml:space="preserve"> exposure are myocardial damage, which may lead to heart disease, and lung cancer.</w:t>
            </w:r>
          </w:p>
          <w:p w14:paraId="65524F53" w14:textId="77777777" w:rsidR="00293BB0" w:rsidRDefault="00293BB0" w:rsidP="00CC0499">
            <w:pPr>
              <w:pStyle w:val="Tabletextprimarysource"/>
            </w:pPr>
          </w:p>
          <w:p w14:paraId="3C98A987" w14:textId="1DE495C4" w:rsidR="00A331B4" w:rsidRDefault="00CC0499" w:rsidP="00CC0499">
            <w:pPr>
              <w:pStyle w:val="Tabletextprimarysource"/>
            </w:pPr>
            <w:r>
              <w:t>Summary of data:</w:t>
            </w:r>
            <w:r w:rsidR="00A331B4">
              <w:t xml:space="preserve"> </w:t>
            </w:r>
          </w:p>
          <w:p w14:paraId="47AC7888" w14:textId="77777777" w:rsidR="0042697F" w:rsidRPr="0042697F" w:rsidRDefault="00055B44" w:rsidP="00643D3D">
            <w:pPr>
              <w:pStyle w:val="ListBullet"/>
              <w:numPr>
                <w:ilvl w:val="0"/>
                <w:numId w:val="0"/>
              </w:numPr>
              <w:ind w:left="360" w:hanging="360"/>
            </w:pPr>
            <w:r>
              <w:t>Human studies:</w:t>
            </w:r>
          </w:p>
          <w:p w14:paraId="3E98E71A" w14:textId="77777777" w:rsidR="00CE553D" w:rsidRDefault="00CE553D" w:rsidP="00CE553D">
            <w:pPr>
              <w:pStyle w:val="ListBullet"/>
              <w:ind w:left="720"/>
              <w:rPr>
                <w:rFonts w:cs="Arial"/>
                <w:szCs w:val="20"/>
              </w:rPr>
            </w:pPr>
            <w:r w:rsidRPr="00CE553D">
              <w:rPr>
                <w:rFonts w:cs="Arial"/>
                <w:szCs w:val="20"/>
              </w:rPr>
              <w:t>Assessment based on case studies primarily of antimony ore (Sb</w:t>
            </w:r>
            <w:r w:rsidRPr="00CE553D">
              <w:rPr>
                <w:rFonts w:cs="Arial"/>
                <w:szCs w:val="20"/>
                <w:vertAlign w:val="subscript"/>
              </w:rPr>
              <w:t>2</w:t>
            </w:r>
            <w:r w:rsidRPr="00CE553D">
              <w:rPr>
                <w:rFonts w:cs="Arial"/>
                <w:szCs w:val="20"/>
              </w:rPr>
              <w:t>S</w:t>
            </w:r>
            <w:r w:rsidRPr="00CE553D">
              <w:rPr>
                <w:rFonts w:cs="Arial"/>
                <w:szCs w:val="20"/>
                <w:vertAlign w:val="subscript"/>
              </w:rPr>
              <w:t>3</w:t>
            </w:r>
            <w:r w:rsidRPr="00CE553D">
              <w:rPr>
                <w:rFonts w:cs="Arial"/>
                <w:szCs w:val="20"/>
              </w:rPr>
              <w:t>) processing plants, which represent mixed exposures</w:t>
            </w:r>
            <w:r>
              <w:rPr>
                <w:rFonts w:cs="Arial"/>
                <w:szCs w:val="20"/>
              </w:rPr>
              <w:t xml:space="preserve"> to various antimony compounds</w:t>
            </w:r>
          </w:p>
          <w:p w14:paraId="5C3B4241" w14:textId="77777777" w:rsidR="00EF6B6C" w:rsidRDefault="00AF68D5" w:rsidP="00CE553D">
            <w:pPr>
              <w:pStyle w:val="ListBullet"/>
              <w:ind w:left="720"/>
              <w:rPr>
                <w:rFonts w:cs="Arial"/>
                <w:szCs w:val="20"/>
              </w:rPr>
            </w:pPr>
            <w:r>
              <w:rPr>
                <w:rFonts w:cs="Arial"/>
                <w:szCs w:val="20"/>
              </w:rPr>
              <w:t>A s</w:t>
            </w:r>
            <w:r w:rsidRPr="00BB2ECD">
              <w:rPr>
                <w:rFonts w:cs="Arial"/>
                <w:szCs w:val="20"/>
              </w:rPr>
              <w:t xml:space="preserve">tudy of workers </w:t>
            </w:r>
            <w:r>
              <w:rPr>
                <w:rFonts w:cs="Arial"/>
                <w:szCs w:val="20"/>
              </w:rPr>
              <w:t xml:space="preserve">(n=125) </w:t>
            </w:r>
            <w:r w:rsidRPr="00BB2ECD">
              <w:rPr>
                <w:rFonts w:cs="Arial"/>
                <w:szCs w:val="20"/>
              </w:rPr>
              <w:t>in the abrasive industry</w:t>
            </w:r>
            <w:r>
              <w:rPr>
                <w:rFonts w:cs="Arial"/>
                <w:szCs w:val="20"/>
              </w:rPr>
              <w:t xml:space="preserve"> reported</w:t>
            </w:r>
            <w:r w:rsidRPr="00BB2ECD">
              <w:rPr>
                <w:rFonts w:cs="Arial"/>
                <w:szCs w:val="20"/>
              </w:rPr>
              <w:t xml:space="preserve"> </w:t>
            </w:r>
            <w:r w:rsidR="00754539" w:rsidRPr="00BB2ECD">
              <w:rPr>
                <w:rFonts w:cs="Arial"/>
                <w:szCs w:val="20"/>
              </w:rPr>
              <w:t xml:space="preserve">8 deaths from heart disease (6 acute and 2 chronic) </w:t>
            </w:r>
            <w:r>
              <w:rPr>
                <w:rFonts w:cs="Arial"/>
                <w:szCs w:val="20"/>
              </w:rPr>
              <w:t xml:space="preserve">in workers </w:t>
            </w:r>
            <w:r w:rsidR="006E6515">
              <w:rPr>
                <w:rFonts w:cs="Arial"/>
                <w:szCs w:val="20"/>
              </w:rPr>
              <w:t xml:space="preserve">exposed to </w:t>
            </w:r>
            <w:r>
              <w:rPr>
                <w:rFonts w:cs="Arial"/>
                <w:szCs w:val="20"/>
              </w:rPr>
              <w:t xml:space="preserve">an average concentration in air of </w:t>
            </w:r>
            <w:r w:rsidR="00BB2ECD" w:rsidRPr="00BB2ECD">
              <w:rPr>
                <w:rFonts w:cs="Arial"/>
                <w:szCs w:val="20"/>
              </w:rPr>
              <w:t>3.0</w:t>
            </w:r>
            <w:r>
              <w:rPr>
                <w:rFonts w:cs="Arial"/>
                <w:szCs w:val="20"/>
              </w:rPr>
              <w:noBreakHyphen/>
            </w:r>
            <w:r w:rsidR="00BB2ECD" w:rsidRPr="00BB2ECD">
              <w:rPr>
                <w:rFonts w:cs="Arial"/>
                <w:szCs w:val="20"/>
              </w:rPr>
              <w:t>mg/m</w:t>
            </w:r>
            <w:r w:rsidR="00BB2ECD" w:rsidRPr="00BB2ECD">
              <w:rPr>
                <w:rFonts w:cs="Arial"/>
                <w:szCs w:val="20"/>
                <w:vertAlign w:val="superscript"/>
              </w:rPr>
              <w:t>3</w:t>
            </w:r>
            <w:r w:rsidR="00BB2ECD" w:rsidRPr="00BB2ECD">
              <w:rPr>
                <w:rFonts w:cs="Arial"/>
                <w:szCs w:val="20"/>
              </w:rPr>
              <w:t xml:space="preserve"> </w:t>
            </w:r>
            <w:r>
              <w:rPr>
                <w:rFonts w:cs="Arial"/>
                <w:szCs w:val="20"/>
              </w:rPr>
              <w:t>Sb</w:t>
            </w:r>
            <w:r w:rsidRPr="006E6515">
              <w:rPr>
                <w:rFonts w:cs="Arial"/>
                <w:szCs w:val="20"/>
                <w:vertAlign w:val="subscript"/>
              </w:rPr>
              <w:t>2</w:t>
            </w:r>
            <w:r>
              <w:rPr>
                <w:rFonts w:cs="Arial"/>
                <w:szCs w:val="20"/>
              </w:rPr>
              <w:t>S</w:t>
            </w:r>
            <w:r>
              <w:rPr>
                <w:rFonts w:cs="Arial"/>
                <w:szCs w:val="20"/>
                <w:vertAlign w:val="subscript"/>
              </w:rPr>
              <w:t>3</w:t>
            </w:r>
            <w:r>
              <w:rPr>
                <w:rFonts w:cs="Arial"/>
                <w:szCs w:val="20"/>
              </w:rPr>
              <w:t xml:space="preserve"> (</w:t>
            </w:r>
            <w:r w:rsidR="00BB2ECD" w:rsidRPr="00BB2ECD">
              <w:rPr>
                <w:rFonts w:cs="Arial"/>
                <w:szCs w:val="20"/>
              </w:rPr>
              <w:t>range</w:t>
            </w:r>
            <w:r>
              <w:rPr>
                <w:rFonts w:cs="Arial"/>
                <w:szCs w:val="20"/>
              </w:rPr>
              <w:t xml:space="preserve"> </w:t>
            </w:r>
            <w:r w:rsidR="00CE553D">
              <w:rPr>
                <w:rFonts w:cs="Arial"/>
                <w:szCs w:val="20"/>
              </w:rPr>
              <w:t>0.58</w:t>
            </w:r>
            <w:r w:rsidR="0018205B">
              <w:rPr>
                <w:rFonts w:cs="Arial"/>
                <w:szCs w:val="20"/>
              </w:rPr>
              <w:t>–</w:t>
            </w:r>
            <w:r w:rsidR="00AF44DE" w:rsidRPr="00BB2ECD">
              <w:rPr>
                <w:rFonts w:cs="Arial"/>
                <w:szCs w:val="20"/>
              </w:rPr>
              <w:t>5.5 mg/m</w:t>
            </w:r>
            <w:r w:rsidR="00AF44DE" w:rsidRPr="00BB2ECD">
              <w:rPr>
                <w:rFonts w:cs="Arial"/>
                <w:szCs w:val="20"/>
                <w:vertAlign w:val="superscript"/>
              </w:rPr>
              <w:t>3</w:t>
            </w:r>
            <w:r>
              <w:rPr>
                <w:rFonts w:cs="Arial"/>
                <w:szCs w:val="20"/>
              </w:rPr>
              <w:t>;</w:t>
            </w:r>
            <w:r w:rsidR="00BB2ECD" w:rsidRPr="00BB2ECD">
              <w:rPr>
                <w:rFonts w:cs="Arial"/>
                <w:szCs w:val="20"/>
              </w:rPr>
              <w:t xml:space="preserve"> monitoring type unspecified)</w:t>
            </w:r>
            <w:r>
              <w:rPr>
                <w:rFonts w:cs="Arial"/>
                <w:szCs w:val="20"/>
              </w:rPr>
              <w:t xml:space="preserve"> for 8 </w:t>
            </w:r>
            <w:proofErr w:type="spellStart"/>
            <w:r>
              <w:rPr>
                <w:rFonts w:cs="Arial"/>
                <w:szCs w:val="20"/>
              </w:rPr>
              <w:t>mo</w:t>
            </w:r>
            <w:proofErr w:type="spellEnd"/>
            <w:r>
              <w:rPr>
                <w:rFonts w:cs="Arial"/>
                <w:szCs w:val="20"/>
              </w:rPr>
              <w:t xml:space="preserve"> to 2 </w:t>
            </w:r>
            <w:proofErr w:type="spellStart"/>
            <w:r>
              <w:rPr>
                <w:rFonts w:cs="Arial"/>
                <w:szCs w:val="20"/>
              </w:rPr>
              <w:t>yr</w:t>
            </w:r>
            <w:proofErr w:type="spellEnd"/>
          </w:p>
          <w:p w14:paraId="0AE6A74A" w14:textId="23020D0D" w:rsidR="00AF44DE" w:rsidRDefault="00EF6B6C" w:rsidP="00D47D52">
            <w:pPr>
              <w:pStyle w:val="ListBullet"/>
              <w:numPr>
                <w:ilvl w:val="0"/>
                <w:numId w:val="11"/>
              </w:numPr>
              <w:rPr>
                <w:rFonts w:cs="Arial"/>
                <w:szCs w:val="20"/>
              </w:rPr>
            </w:pPr>
            <w:r>
              <w:rPr>
                <w:rFonts w:cs="Arial"/>
                <w:szCs w:val="20"/>
              </w:rPr>
              <w:t>w</w:t>
            </w:r>
            <w:r w:rsidR="00AF44DE" w:rsidRPr="00EF6B6C">
              <w:t>orkers</w:t>
            </w:r>
            <w:r w:rsidR="00AF44DE" w:rsidRPr="00BB2ECD">
              <w:rPr>
                <w:rFonts w:cs="Arial"/>
                <w:szCs w:val="20"/>
              </w:rPr>
              <w:t xml:space="preserve"> exam</w:t>
            </w:r>
            <w:r w:rsidR="00CE553D">
              <w:rPr>
                <w:rFonts w:cs="Arial"/>
                <w:szCs w:val="20"/>
              </w:rPr>
              <w:t>ined</w:t>
            </w:r>
            <w:r w:rsidR="00AF68D5">
              <w:rPr>
                <w:rFonts w:cs="Arial"/>
                <w:szCs w:val="20"/>
              </w:rPr>
              <w:t xml:space="preserve"> had</w:t>
            </w:r>
            <w:r w:rsidR="00AF68D5" w:rsidRPr="00BB2ECD">
              <w:rPr>
                <w:rFonts w:cs="Arial"/>
                <w:szCs w:val="20"/>
              </w:rPr>
              <w:t xml:space="preserve"> </w:t>
            </w:r>
            <w:r w:rsidR="00CE553D">
              <w:rPr>
                <w:rFonts w:cs="Arial"/>
                <w:szCs w:val="20"/>
              </w:rPr>
              <w:t>ECG</w:t>
            </w:r>
            <w:r w:rsidR="00AF44DE" w:rsidRPr="00BB2ECD">
              <w:rPr>
                <w:rFonts w:cs="Arial"/>
                <w:szCs w:val="20"/>
              </w:rPr>
              <w:t xml:space="preserve"> changes</w:t>
            </w:r>
            <w:r w:rsidR="00AF68D5">
              <w:rPr>
                <w:rFonts w:cs="Arial"/>
                <w:szCs w:val="20"/>
              </w:rPr>
              <w:t xml:space="preserve"> (37/75)</w:t>
            </w:r>
            <w:r w:rsidR="00AF44DE" w:rsidRPr="00BB2ECD">
              <w:rPr>
                <w:rFonts w:cs="Arial"/>
                <w:szCs w:val="20"/>
              </w:rPr>
              <w:t xml:space="preserve">, </w:t>
            </w:r>
            <w:r w:rsidR="00ED3AE9">
              <w:rPr>
                <w:rFonts w:cs="Arial"/>
                <w:szCs w:val="20"/>
              </w:rPr>
              <w:t xml:space="preserve">with </w:t>
            </w:r>
            <w:r w:rsidR="00BB2ECD">
              <w:rPr>
                <w:rFonts w:cs="Arial"/>
                <w:szCs w:val="20"/>
              </w:rPr>
              <w:t xml:space="preserve">urinary </w:t>
            </w:r>
            <w:r w:rsidR="00293BB0">
              <w:rPr>
                <w:rFonts w:cs="Arial"/>
                <w:szCs w:val="20"/>
              </w:rPr>
              <w:t xml:space="preserve">Sb </w:t>
            </w:r>
            <w:r w:rsidR="00BB2ECD">
              <w:rPr>
                <w:rFonts w:cs="Arial"/>
                <w:szCs w:val="20"/>
              </w:rPr>
              <w:t>lev</w:t>
            </w:r>
            <w:r w:rsidR="006E6515">
              <w:rPr>
                <w:rFonts w:cs="Arial"/>
                <w:szCs w:val="20"/>
              </w:rPr>
              <w:t>el</w:t>
            </w:r>
            <w:r w:rsidR="00D47D52">
              <w:rPr>
                <w:rFonts w:cs="Arial"/>
                <w:szCs w:val="20"/>
                <w:vertAlign w:val="subscript"/>
              </w:rPr>
              <w:t xml:space="preserve"> </w:t>
            </w:r>
            <w:r w:rsidR="00ED3AE9">
              <w:rPr>
                <w:rFonts w:cs="Arial"/>
                <w:szCs w:val="20"/>
              </w:rPr>
              <w:t>between</w:t>
            </w:r>
            <w:r w:rsidR="00CE553D">
              <w:rPr>
                <w:rFonts w:cs="Arial"/>
                <w:szCs w:val="20"/>
              </w:rPr>
              <w:t xml:space="preserve"> 0.8</w:t>
            </w:r>
            <w:r w:rsidR="0018205B">
              <w:rPr>
                <w:rFonts w:cs="Arial"/>
                <w:szCs w:val="20"/>
              </w:rPr>
              <w:t>–</w:t>
            </w:r>
            <w:r w:rsidR="007A74B7">
              <w:rPr>
                <w:rFonts w:cs="Arial"/>
                <w:szCs w:val="20"/>
              </w:rPr>
              <w:t>9.6 mg/L</w:t>
            </w:r>
          </w:p>
          <w:p w14:paraId="035E68DA" w14:textId="77777777" w:rsidR="00293BB0" w:rsidRDefault="00BB2ECD" w:rsidP="00643D3D">
            <w:pPr>
              <w:pStyle w:val="ListBullet"/>
              <w:ind w:left="720"/>
              <w:rPr>
                <w:rFonts w:cs="Arial"/>
                <w:szCs w:val="20"/>
              </w:rPr>
            </w:pPr>
            <w:r>
              <w:rPr>
                <w:rFonts w:cs="Arial"/>
                <w:szCs w:val="20"/>
              </w:rPr>
              <w:t xml:space="preserve">Study of workers in </w:t>
            </w:r>
            <w:r w:rsidR="00F214CA">
              <w:rPr>
                <w:rFonts w:cs="Arial"/>
                <w:szCs w:val="20"/>
              </w:rPr>
              <w:t xml:space="preserve">a </w:t>
            </w:r>
            <w:r>
              <w:rPr>
                <w:rFonts w:cs="Arial"/>
                <w:szCs w:val="20"/>
              </w:rPr>
              <w:t>processing plant reported</w:t>
            </w:r>
            <w:r w:rsidR="007A74B7">
              <w:rPr>
                <w:rFonts w:cs="Arial"/>
                <w:szCs w:val="20"/>
              </w:rPr>
              <w:t xml:space="preserve"> air concentrations ranging 0.5</w:t>
            </w:r>
            <w:r w:rsidR="0018205B">
              <w:rPr>
                <w:rFonts w:cs="Arial"/>
                <w:szCs w:val="20"/>
              </w:rPr>
              <w:t>–</w:t>
            </w:r>
            <w:r w:rsidR="007A74B7">
              <w:rPr>
                <w:rFonts w:cs="Arial"/>
                <w:szCs w:val="20"/>
              </w:rPr>
              <w:t>37</w:t>
            </w:r>
            <w:r w:rsidR="006A0B15">
              <w:rPr>
                <w:rFonts w:cs="Arial"/>
                <w:szCs w:val="20"/>
              </w:rPr>
              <w:t> </w:t>
            </w:r>
            <w:r w:rsidR="007A74B7">
              <w:rPr>
                <w:rFonts w:cs="Arial"/>
                <w:szCs w:val="20"/>
              </w:rPr>
              <w:t>mg/m</w:t>
            </w:r>
            <w:r w:rsidR="007A74B7">
              <w:rPr>
                <w:rFonts w:cs="Arial"/>
                <w:szCs w:val="20"/>
                <w:vertAlign w:val="superscript"/>
              </w:rPr>
              <w:t>3</w:t>
            </w:r>
            <w:r w:rsidR="007A74B7">
              <w:rPr>
                <w:rFonts w:cs="Arial"/>
                <w:szCs w:val="20"/>
              </w:rPr>
              <w:t xml:space="preserve"> (monitoring type unspecified)</w:t>
            </w:r>
            <w:r w:rsidR="00F214CA">
              <w:rPr>
                <w:rFonts w:cs="Arial"/>
                <w:szCs w:val="20"/>
              </w:rPr>
              <w:t xml:space="preserve"> and</w:t>
            </w:r>
            <w:r w:rsidR="007A74B7">
              <w:rPr>
                <w:rFonts w:cs="Arial"/>
                <w:szCs w:val="20"/>
              </w:rPr>
              <w:t xml:space="preserve"> urin</w:t>
            </w:r>
            <w:r w:rsidR="0018205B">
              <w:rPr>
                <w:rFonts w:cs="Arial"/>
                <w:szCs w:val="20"/>
              </w:rPr>
              <w:t>ary levels in workers</w:t>
            </w:r>
            <w:r w:rsidR="00F214CA">
              <w:rPr>
                <w:rFonts w:cs="Arial"/>
                <w:szCs w:val="20"/>
              </w:rPr>
              <w:t xml:space="preserve"> of </w:t>
            </w:r>
            <w:r w:rsidR="0018205B">
              <w:rPr>
                <w:rFonts w:cs="Arial"/>
                <w:szCs w:val="20"/>
              </w:rPr>
              <w:t>0.425–</w:t>
            </w:r>
            <w:r w:rsidR="007A74B7">
              <w:rPr>
                <w:rFonts w:cs="Arial"/>
                <w:szCs w:val="20"/>
              </w:rPr>
              <w:t>0.680 mg/L</w:t>
            </w:r>
          </w:p>
          <w:p w14:paraId="4DAC895D" w14:textId="7E7C588F" w:rsidR="00085EE7" w:rsidRDefault="00F214CA" w:rsidP="00293BB0">
            <w:pPr>
              <w:pStyle w:val="ListBullet"/>
              <w:numPr>
                <w:ilvl w:val="0"/>
                <w:numId w:val="11"/>
              </w:numPr>
              <w:rPr>
                <w:rFonts w:cs="Arial"/>
                <w:szCs w:val="20"/>
              </w:rPr>
            </w:pPr>
            <w:r>
              <w:rPr>
                <w:rFonts w:cs="Arial"/>
                <w:szCs w:val="20"/>
              </w:rPr>
              <w:t xml:space="preserve">there was </w:t>
            </w:r>
            <w:r w:rsidR="00CE553D">
              <w:rPr>
                <w:rFonts w:cs="Arial"/>
                <w:szCs w:val="20"/>
              </w:rPr>
              <w:t>n</w:t>
            </w:r>
            <w:r w:rsidR="007A74B7">
              <w:rPr>
                <w:rFonts w:cs="Arial"/>
                <w:szCs w:val="20"/>
              </w:rPr>
              <w:t>o evidence of systemic toxicity despite radiographic changes in lungs</w:t>
            </w:r>
          </w:p>
          <w:p w14:paraId="6F1E9990" w14:textId="74C558B5" w:rsidR="00085EE7" w:rsidRDefault="00085EE7" w:rsidP="00643D3D">
            <w:pPr>
              <w:pStyle w:val="ListBullet"/>
              <w:ind w:left="720"/>
              <w:rPr>
                <w:rFonts w:cs="Arial"/>
                <w:szCs w:val="20"/>
              </w:rPr>
            </w:pPr>
            <w:r>
              <w:rPr>
                <w:rFonts w:cs="Arial"/>
                <w:szCs w:val="20"/>
              </w:rPr>
              <w:t xml:space="preserve">44 cases of exposure-related pneumoconiosis in study of antimony plant (n=262) </w:t>
            </w:r>
          </w:p>
          <w:p w14:paraId="03F60EEB" w14:textId="4229FF07" w:rsidR="00BB2ECD" w:rsidRDefault="00085EE7" w:rsidP="00643D3D">
            <w:pPr>
              <w:pStyle w:val="ListBullet"/>
              <w:ind w:left="720"/>
              <w:rPr>
                <w:rFonts w:cs="Arial"/>
                <w:szCs w:val="20"/>
              </w:rPr>
            </w:pPr>
            <w:r>
              <w:rPr>
                <w:rFonts w:cs="Arial"/>
                <w:szCs w:val="20"/>
              </w:rPr>
              <w:t xml:space="preserve">Lung cancer deaths in antimony factory workers greater than in local community </w:t>
            </w:r>
            <w:r w:rsidR="00F214CA">
              <w:rPr>
                <w:rFonts w:cs="Arial"/>
                <w:szCs w:val="20"/>
              </w:rPr>
              <w:t xml:space="preserve">comparative study </w:t>
            </w:r>
            <w:r w:rsidR="00F12587">
              <w:rPr>
                <w:rFonts w:cs="Arial"/>
                <w:szCs w:val="20"/>
              </w:rPr>
              <w:t xml:space="preserve">(10 </w:t>
            </w:r>
            <w:r w:rsidR="00F12587" w:rsidRPr="00F12587">
              <w:rPr>
                <w:rFonts w:cs="Arial"/>
                <w:i/>
                <w:szCs w:val="20"/>
              </w:rPr>
              <w:t>vs</w:t>
            </w:r>
            <w:r w:rsidR="00F12587">
              <w:rPr>
                <w:rFonts w:cs="Arial"/>
                <w:szCs w:val="20"/>
              </w:rPr>
              <w:t xml:space="preserve">. 8) </w:t>
            </w:r>
          </w:p>
          <w:p w14:paraId="044556BB" w14:textId="77777777" w:rsidR="00293BB0" w:rsidRDefault="00F12587" w:rsidP="00643D3D">
            <w:pPr>
              <w:pStyle w:val="ListBullet"/>
              <w:ind w:left="720"/>
              <w:rPr>
                <w:rFonts w:cs="Arial"/>
                <w:szCs w:val="20"/>
              </w:rPr>
            </w:pPr>
            <w:r w:rsidRPr="00F12587">
              <w:rPr>
                <w:rFonts w:cs="Arial"/>
                <w:szCs w:val="20"/>
              </w:rPr>
              <w:t>No acute or short-term effects from exposures &lt;10 mg/m</w:t>
            </w:r>
            <w:r w:rsidRPr="00F12587">
              <w:rPr>
                <w:rFonts w:cs="Arial"/>
                <w:szCs w:val="20"/>
                <w:vertAlign w:val="superscript"/>
              </w:rPr>
              <w:t>3</w:t>
            </w:r>
            <w:r w:rsidR="00293BB0">
              <w:rPr>
                <w:rFonts w:cs="Arial"/>
                <w:szCs w:val="20"/>
              </w:rPr>
              <w:t xml:space="preserve"> in 24 </w:t>
            </w:r>
            <w:proofErr w:type="spellStart"/>
            <w:r w:rsidR="00293BB0">
              <w:rPr>
                <w:rFonts w:cs="Arial"/>
                <w:szCs w:val="20"/>
              </w:rPr>
              <w:t>yr</w:t>
            </w:r>
            <w:proofErr w:type="spellEnd"/>
            <w:r w:rsidR="00293BB0">
              <w:rPr>
                <w:rFonts w:cs="Arial"/>
                <w:szCs w:val="20"/>
              </w:rPr>
              <w:t xml:space="preserve"> at production plant</w:t>
            </w:r>
          </w:p>
          <w:p w14:paraId="11A70C8A" w14:textId="792B1158" w:rsidR="001F1A10" w:rsidRPr="001F1A10" w:rsidRDefault="00CE553D" w:rsidP="00293BB0">
            <w:pPr>
              <w:pStyle w:val="ListBullet"/>
              <w:numPr>
                <w:ilvl w:val="0"/>
                <w:numId w:val="11"/>
              </w:numPr>
              <w:rPr>
                <w:rFonts w:cs="Arial"/>
                <w:szCs w:val="20"/>
              </w:rPr>
            </w:pPr>
            <w:r>
              <w:rPr>
                <w:rFonts w:cs="Arial"/>
                <w:szCs w:val="20"/>
              </w:rPr>
              <w:t>high turnover (31%</w:t>
            </w:r>
            <w:r w:rsidR="00F12587" w:rsidRPr="00F12587">
              <w:rPr>
                <w:rFonts w:cs="Arial"/>
                <w:szCs w:val="20"/>
              </w:rPr>
              <w:t>/</w:t>
            </w:r>
            <w:proofErr w:type="spellStart"/>
            <w:r w:rsidR="00F12587" w:rsidRPr="00F12587">
              <w:rPr>
                <w:rFonts w:cs="Arial"/>
                <w:szCs w:val="20"/>
              </w:rPr>
              <w:t>yr</w:t>
            </w:r>
            <w:proofErr w:type="spellEnd"/>
            <w:r w:rsidR="00F12587" w:rsidRPr="00F12587">
              <w:rPr>
                <w:rFonts w:cs="Arial"/>
                <w:szCs w:val="20"/>
              </w:rPr>
              <w:t>) precluded long-term epidemiological studies</w:t>
            </w:r>
            <w:r w:rsidR="001F1A10">
              <w:t xml:space="preserve"> </w:t>
            </w:r>
          </w:p>
          <w:p w14:paraId="5098C254" w14:textId="14706971" w:rsidR="00F12587" w:rsidRPr="00CE553D" w:rsidRDefault="001F1A10" w:rsidP="00643D3D">
            <w:pPr>
              <w:pStyle w:val="ListBullet"/>
              <w:ind w:left="720"/>
              <w:rPr>
                <w:rFonts w:cs="Arial"/>
                <w:szCs w:val="20"/>
              </w:rPr>
            </w:pPr>
            <w:r>
              <w:t>Higher incidence of adverse effects noted in exposure statistics fro</w:t>
            </w:r>
            <w:r w:rsidR="00CE553D">
              <w:t>m UK plants compared with USA s</w:t>
            </w:r>
            <w:r>
              <w:t xml:space="preserve">uggested reasons for discrepancy are co-exposures to caustic soda and zircon plant effluents at UK plants, younger workers in USA plants who worked for fewer years, and longer history of lung cancer in UK region where studies </w:t>
            </w:r>
            <w:proofErr w:type="gramStart"/>
            <w:r>
              <w:t>were carried out</w:t>
            </w:r>
            <w:proofErr w:type="gramEnd"/>
            <w:r w:rsidR="00CE553D">
              <w:t>.</w:t>
            </w:r>
          </w:p>
          <w:p w14:paraId="0F63F333" w14:textId="77777777" w:rsidR="00CE553D" w:rsidRPr="00F12587" w:rsidRDefault="00CE553D" w:rsidP="00CE553D">
            <w:pPr>
              <w:pStyle w:val="ListBullet"/>
              <w:numPr>
                <w:ilvl w:val="0"/>
                <w:numId w:val="0"/>
              </w:numPr>
              <w:ind w:left="360" w:hanging="360"/>
              <w:rPr>
                <w:rFonts w:cs="Arial"/>
                <w:szCs w:val="20"/>
              </w:rPr>
            </w:pPr>
          </w:p>
          <w:p w14:paraId="0875A779" w14:textId="77777777" w:rsidR="00F77253" w:rsidRDefault="00F41561" w:rsidP="00643D3D">
            <w:pPr>
              <w:pStyle w:val="ListBullet"/>
              <w:numPr>
                <w:ilvl w:val="0"/>
                <w:numId w:val="0"/>
              </w:numPr>
              <w:ind w:left="360" w:hanging="360"/>
            </w:pPr>
            <w:r>
              <w:t>Animal studies:</w:t>
            </w:r>
          </w:p>
          <w:p w14:paraId="24A68C6C" w14:textId="57ED2A8A" w:rsidR="002A571E" w:rsidRPr="00085EE7" w:rsidRDefault="00ED3AE9" w:rsidP="00643D3D">
            <w:pPr>
              <w:pStyle w:val="ListBullet"/>
              <w:ind w:left="720"/>
            </w:pPr>
            <w:r w:rsidRPr="00085EE7">
              <w:t>LD</w:t>
            </w:r>
            <w:r w:rsidRPr="00085EE7">
              <w:rPr>
                <w:vertAlign w:val="subscript"/>
              </w:rPr>
              <w:t>50</w:t>
            </w:r>
            <w:r w:rsidR="00F41561" w:rsidRPr="00085EE7">
              <w:t>: 3</w:t>
            </w:r>
            <w:r w:rsidRPr="00085EE7">
              <w:t>,25</w:t>
            </w:r>
            <w:r w:rsidR="002A571E" w:rsidRPr="00085EE7">
              <w:t xml:space="preserve">0 mg/kg (rats, </w:t>
            </w:r>
            <w:proofErr w:type="spellStart"/>
            <w:r w:rsidR="00F214CA">
              <w:t>ip</w:t>
            </w:r>
            <w:proofErr w:type="spellEnd"/>
            <w:r w:rsidR="002A571E" w:rsidRPr="00085EE7">
              <w:t>)</w:t>
            </w:r>
          </w:p>
          <w:p w14:paraId="2465DF4E" w14:textId="5DBED5BA" w:rsidR="00AA1CFA" w:rsidRPr="00085EE7" w:rsidRDefault="00AA1CFA" w:rsidP="00643D3D">
            <w:pPr>
              <w:pStyle w:val="ListBullet"/>
              <w:ind w:left="720"/>
            </w:pPr>
            <w:r w:rsidRPr="00085EE7">
              <w:t>Extensive pneumonitis and fatty degeneration of liver in guinea pigs exposed to 45 mg/m</w:t>
            </w:r>
            <w:r w:rsidRPr="00085EE7">
              <w:rPr>
                <w:vertAlign w:val="superscript"/>
              </w:rPr>
              <w:t>3</w:t>
            </w:r>
            <w:r w:rsidRPr="00085EE7">
              <w:t xml:space="preserve"> Sb</w:t>
            </w:r>
            <w:r w:rsidRPr="00085EE7">
              <w:rPr>
                <w:sz w:val="14"/>
                <w:szCs w:val="14"/>
              </w:rPr>
              <w:t>2</w:t>
            </w:r>
            <w:r w:rsidRPr="00085EE7">
              <w:t>O</w:t>
            </w:r>
            <w:r w:rsidRPr="00085EE7">
              <w:rPr>
                <w:sz w:val="14"/>
                <w:szCs w:val="14"/>
              </w:rPr>
              <w:t>3</w:t>
            </w:r>
            <w:r w:rsidRPr="00085EE7">
              <w:t xml:space="preserve"> (inhalation, daily, &gt;3 </w:t>
            </w:r>
            <w:proofErr w:type="spellStart"/>
            <w:r w:rsidRPr="00085EE7">
              <w:t>w</w:t>
            </w:r>
            <w:r w:rsidR="000A1D01" w:rsidRPr="00085EE7">
              <w:t>k</w:t>
            </w:r>
            <w:proofErr w:type="spellEnd"/>
            <w:r w:rsidRPr="00085EE7">
              <w:t>, no further information provided)</w:t>
            </w:r>
          </w:p>
          <w:p w14:paraId="40F39636" w14:textId="1FD5A20A" w:rsidR="00AA1CFA" w:rsidRPr="00085EE7" w:rsidRDefault="00293BB0" w:rsidP="00293BB0">
            <w:pPr>
              <w:pStyle w:val="ListBullet"/>
              <w:numPr>
                <w:ilvl w:val="0"/>
                <w:numId w:val="11"/>
              </w:numPr>
            </w:pPr>
            <w:r>
              <w:t>d</w:t>
            </w:r>
            <w:r w:rsidR="00AA1CFA" w:rsidRPr="00085EE7">
              <w:t>isorders and degeneration of the heart in rats, rabbits and dogs exposed to 3.07</w:t>
            </w:r>
            <w:r w:rsidR="0018205B">
              <w:t>–</w:t>
            </w:r>
            <w:r w:rsidR="00BA5996" w:rsidRPr="00085EE7">
              <w:t>5.6</w:t>
            </w:r>
            <w:r w:rsidR="00AA1CFA" w:rsidRPr="00085EE7">
              <w:t> mg/m</w:t>
            </w:r>
            <w:r w:rsidR="00AA1CFA" w:rsidRPr="00F214CA">
              <w:rPr>
                <w:vertAlign w:val="superscript"/>
              </w:rPr>
              <w:t>3</w:t>
            </w:r>
            <w:r w:rsidR="00AA1CFA" w:rsidRPr="00085EE7">
              <w:t xml:space="preserve"> industrial-grade Sb</w:t>
            </w:r>
            <w:r w:rsidR="00AA1CFA" w:rsidRPr="00F214CA">
              <w:rPr>
                <w:vertAlign w:val="subscript"/>
              </w:rPr>
              <w:t>2</w:t>
            </w:r>
            <w:r w:rsidR="00AA1CFA" w:rsidRPr="00085EE7">
              <w:t>O</w:t>
            </w:r>
            <w:r w:rsidR="00AA1CFA" w:rsidRPr="00F214CA">
              <w:rPr>
                <w:vertAlign w:val="subscript"/>
              </w:rPr>
              <w:t>3</w:t>
            </w:r>
            <w:r w:rsidR="00AA1CFA" w:rsidRPr="00085EE7">
              <w:t xml:space="preserve"> (inhalation, 7 h/d, 6 </w:t>
            </w:r>
            <w:proofErr w:type="spellStart"/>
            <w:r w:rsidR="000A1D01" w:rsidRPr="00085EE7">
              <w:t>wk</w:t>
            </w:r>
            <w:proofErr w:type="spellEnd"/>
            <w:r w:rsidR="000A1D01" w:rsidRPr="00085EE7">
              <w:t xml:space="preserve"> </w:t>
            </w:r>
            <w:r w:rsidR="00AA1CFA" w:rsidRPr="00085EE7">
              <w:t>duration)</w:t>
            </w:r>
          </w:p>
          <w:p w14:paraId="4A0BAE63" w14:textId="77777777" w:rsidR="00293BB0" w:rsidRDefault="00BA5996" w:rsidP="00643D3D">
            <w:pPr>
              <w:pStyle w:val="ListBullet"/>
              <w:ind w:left="720"/>
            </w:pPr>
            <w:r w:rsidRPr="00085EE7">
              <w:t>Lipid pneumonias in r</w:t>
            </w:r>
            <w:r w:rsidR="00CE553D">
              <w:t>ats and rabbits exposed to 100</w:t>
            </w:r>
            <w:r w:rsidR="0018205B">
              <w:t>–</w:t>
            </w:r>
            <w:r w:rsidRPr="00085EE7">
              <w:t>125 mg/m</w:t>
            </w:r>
            <w:r w:rsidRPr="00085EE7">
              <w:rPr>
                <w:vertAlign w:val="superscript"/>
              </w:rPr>
              <w:t>3</w:t>
            </w:r>
            <w:r w:rsidRPr="00085EE7">
              <w:t xml:space="preserve"> (rats) and 89 mg/m</w:t>
            </w:r>
            <w:r w:rsidRPr="00085EE7">
              <w:rPr>
                <w:vertAlign w:val="superscript"/>
              </w:rPr>
              <w:t>3</w:t>
            </w:r>
            <w:r w:rsidRPr="00085EE7">
              <w:rPr>
                <w:vertAlign w:val="superscript"/>
              </w:rPr>
              <w:softHyphen/>
            </w:r>
            <w:r w:rsidRPr="00085EE7">
              <w:t xml:space="preserve"> (rabbits) of S</w:t>
            </w:r>
            <w:r w:rsidR="00674E1C" w:rsidRPr="00085EE7">
              <w:t>b</w:t>
            </w:r>
            <w:r w:rsidRPr="00085EE7">
              <w:rPr>
                <w:vertAlign w:val="subscript"/>
              </w:rPr>
              <w:t>2</w:t>
            </w:r>
            <w:r w:rsidRPr="00085EE7">
              <w:t>O</w:t>
            </w:r>
            <w:r w:rsidRPr="00085EE7">
              <w:rPr>
                <w:vertAlign w:val="subscript"/>
              </w:rPr>
              <w:t>3</w:t>
            </w:r>
            <w:r w:rsidRPr="00085EE7">
              <w:t xml:space="preserve"> (inhalation, 100 h/d, 10 and 14.5 </w:t>
            </w:r>
            <w:proofErr w:type="spellStart"/>
            <w:r w:rsidRPr="00085EE7">
              <w:t>mo</w:t>
            </w:r>
            <w:proofErr w:type="spellEnd"/>
            <w:r w:rsidRPr="00085EE7">
              <w:t xml:space="preserve"> respectively)</w:t>
            </w:r>
          </w:p>
          <w:p w14:paraId="5BD66D5B" w14:textId="251E036D" w:rsidR="002F0CBC" w:rsidRPr="00085EE7" w:rsidRDefault="00CE553D" w:rsidP="00293BB0">
            <w:pPr>
              <w:pStyle w:val="ListBullet"/>
              <w:numPr>
                <w:ilvl w:val="0"/>
                <w:numId w:val="11"/>
              </w:numPr>
            </w:pPr>
            <w:r>
              <w:t>n</w:t>
            </w:r>
            <w:r w:rsidR="00BA5996" w:rsidRPr="00085EE7">
              <w:t>o ev</w:t>
            </w:r>
            <w:r>
              <w:t>idence of lung cancer in</w:t>
            </w:r>
            <w:r w:rsidR="00BA5996" w:rsidRPr="00085EE7">
              <w:t xml:space="preserve"> rats nor rabbits</w:t>
            </w:r>
          </w:p>
          <w:p w14:paraId="1CB70494" w14:textId="77777777" w:rsidR="00293BB0" w:rsidRDefault="00F214CA" w:rsidP="00643D3D">
            <w:pPr>
              <w:pStyle w:val="ListBullet"/>
              <w:ind w:left="720"/>
            </w:pPr>
            <w:r>
              <w:t>The</w:t>
            </w:r>
            <w:r w:rsidR="00F3119E" w:rsidRPr="00085EE7">
              <w:t xml:space="preserve"> incidence of lung tumours in female rats exposed to Sb</w:t>
            </w:r>
            <w:r w:rsidR="00F3119E" w:rsidRPr="00085EE7">
              <w:rPr>
                <w:vertAlign w:val="subscript"/>
              </w:rPr>
              <w:t>2</w:t>
            </w:r>
            <w:r w:rsidR="00F3119E" w:rsidRPr="00085EE7">
              <w:t>O</w:t>
            </w:r>
            <w:r w:rsidR="00F3119E" w:rsidRPr="00085EE7">
              <w:rPr>
                <w:vertAlign w:val="subscript"/>
              </w:rPr>
              <w:t>3</w:t>
            </w:r>
            <w:r w:rsidR="00F3119E" w:rsidRPr="00085EE7">
              <w:t xml:space="preserve"> (45 mg/m</w:t>
            </w:r>
            <w:r w:rsidR="00F3119E" w:rsidRPr="00085EE7">
              <w:rPr>
                <w:vertAlign w:val="superscript"/>
              </w:rPr>
              <w:t>3</w:t>
            </w:r>
            <w:r w:rsidR="00F3119E" w:rsidRPr="00085EE7">
              <w:t>)</w:t>
            </w:r>
            <w:r w:rsidR="00AB20F4" w:rsidRPr="00085EE7">
              <w:t xml:space="preserve"> </w:t>
            </w:r>
            <w:r w:rsidR="00F3119E" w:rsidRPr="00085EE7">
              <w:t>or antimony ore concentrate (40 mg/m</w:t>
            </w:r>
            <w:r w:rsidR="00F3119E" w:rsidRPr="00085EE7">
              <w:rPr>
                <w:vertAlign w:val="superscript"/>
              </w:rPr>
              <w:t>3</w:t>
            </w:r>
            <w:r w:rsidR="00AB20F4" w:rsidRPr="00085EE7">
              <w:t>, 46% Sb mostly as Sb</w:t>
            </w:r>
            <w:r w:rsidR="00AB20F4" w:rsidRPr="00085EE7">
              <w:rPr>
                <w:vertAlign w:val="subscript"/>
              </w:rPr>
              <w:t>2</w:t>
            </w:r>
            <w:r w:rsidR="00AB20F4" w:rsidRPr="00085EE7">
              <w:t>S</w:t>
            </w:r>
            <w:r w:rsidR="00AB20F4" w:rsidRPr="00085EE7">
              <w:rPr>
                <w:vertAlign w:val="subscript"/>
              </w:rPr>
              <w:t>3</w:t>
            </w:r>
            <w:r w:rsidR="00F3119E" w:rsidRPr="00085EE7">
              <w:t>)</w:t>
            </w:r>
            <w:r>
              <w:t xml:space="preserve"> were </w:t>
            </w:r>
            <w:r w:rsidRPr="00085EE7">
              <w:t>27% and 25%</w:t>
            </w:r>
            <w:r w:rsidR="00F3119E" w:rsidRPr="00085EE7">
              <w:t>, re</w:t>
            </w:r>
            <w:r w:rsidR="00E751D4" w:rsidRPr="00085EE7">
              <w:t>spectively (7 h/d, 5</w:t>
            </w:r>
            <w:r>
              <w:t> </w:t>
            </w:r>
            <w:r w:rsidR="00E751D4" w:rsidRPr="00085EE7">
              <w:t>d/</w:t>
            </w:r>
            <w:proofErr w:type="spellStart"/>
            <w:r w:rsidR="00E751D4" w:rsidRPr="00085EE7">
              <w:t>wk</w:t>
            </w:r>
            <w:proofErr w:type="spellEnd"/>
            <w:r w:rsidR="00E751D4" w:rsidRPr="00085EE7">
              <w:t xml:space="preserve">, 1 </w:t>
            </w:r>
            <w:proofErr w:type="spellStart"/>
            <w:r w:rsidR="00E751D4" w:rsidRPr="00085EE7">
              <w:t>y</w:t>
            </w:r>
            <w:r w:rsidR="00CE553D">
              <w:t>r</w:t>
            </w:r>
            <w:proofErr w:type="spellEnd"/>
            <w:r w:rsidR="00CE553D">
              <w:t>)</w:t>
            </w:r>
          </w:p>
          <w:p w14:paraId="4C2E30CC" w14:textId="0B762B51" w:rsidR="00BA5996" w:rsidRPr="00F77253" w:rsidRDefault="00CE553D" w:rsidP="00293BB0">
            <w:pPr>
              <w:pStyle w:val="ListBullet"/>
              <w:numPr>
                <w:ilvl w:val="0"/>
                <w:numId w:val="11"/>
              </w:numPr>
            </w:pPr>
            <w:proofErr w:type="gramStart"/>
            <w:r>
              <w:t>n</w:t>
            </w:r>
            <w:r w:rsidR="00F3119E" w:rsidRPr="00085EE7">
              <w:t>o</w:t>
            </w:r>
            <w:proofErr w:type="gramEnd"/>
            <w:r w:rsidR="00F3119E" w:rsidRPr="00085EE7">
              <w:t xml:space="preserve"> incidences noted in male groups.</w:t>
            </w:r>
            <w:r w:rsidR="00F3119E">
              <w:t xml:space="preserve"> </w:t>
            </w:r>
          </w:p>
        </w:tc>
      </w:tr>
      <w:tr w:rsidR="00C978F0" w:rsidRPr="00DA352E" w14:paraId="48C5D1E3" w14:textId="77777777" w:rsidTr="00293BB0">
        <w:trPr>
          <w:gridAfter w:val="1"/>
          <w:wAfter w:w="8" w:type="pct"/>
          <w:cantSplit/>
        </w:trPr>
        <w:tc>
          <w:tcPr>
            <w:tcW w:w="4992" w:type="pct"/>
            <w:shd w:val="clear" w:color="auto" w:fill="F2F2F2" w:themeFill="background1" w:themeFillShade="F2"/>
          </w:tcPr>
          <w:p w14:paraId="25870B36"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4114A2">
                  <w:t>2007</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463B8E">
                  <w:t>—</w:t>
                </w:r>
              </w:sdtContent>
            </w:sdt>
          </w:p>
        </w:tc>
      </w:tr>
      <w:tr w:rsidR="00C978F0" w:rsidRPr="00DA352E" w14:paraId="6475C5C3" w14:textId="77777777" w:rsidTr="00293BB0">
        <w:trPr>
          <w:gridAfter w:val="1"/>
          <w:wAfter w:w="8" w:type="pct"/>
          <w:cantSplit/>
        </w:trPr>
        <w:tc>
          <w:tcPr>
            <w:tcW w:w="4992" w:type="pct"/>
          </w:tcPr>
          <w:p w14:paraId="6811BEF0" w14:textId="77777777" w:rsidR="00C978F0" w:rsidRPr="00CA6CB0" w:rsidRDefault="00D60107" w:rsidP="003365A5">
            <w:pPr>
              <w:pStyle w:val="Tabletextprimarysource"/>
            </w:pPr>
            <w:r w:rsidRPr="00CA6CB0">
              <w:t>Summary of additional data:</w:t>
            </w:r>
          </w:p>
          <w:p w14:paraId="0BD6F65A" w14:textId="2B9291E7" w:rsidR="00122A46" w:rsidRPr="00CA6CB0" w:rsidRDefault="00D60107" w:rsidP="00CE553D">
            <w:pPr>
              <w:pStyle w:val="ListBullet"/>
              <w:numPr>
                <w:ilvl w:val="0"/>
                <w:numId w:val="0"/>
              </w:numPr>
              <w:ind w:left="22" w:hanging="22"/>
            </w:pPr>
            <w:r w:rsidRPr="00CA6CB0">
              <w:t>Sb</w:t>
            </w:r>
            <w:r w:rsidRPr="00CA6CB0">
              <w:rPr>
                <w:vertAlign w:val="subscript"/>
              </w:rPr>
              <w:t>2</w:t>
            </w:r>
            <w:r w:rsidRPr="00CA6CB0">
              <w:t>O</w:t>
            </w:r>
            <w:r w:rsidRPr="00CA6CB0">
              <w:rPr>
                <w:vertAlign w:val="subscript"/>
              </w:rPr>
              <w:t>3</w:t>
            </w:r>
            <w:r w:rsidRPr="00CA6CB0">
              <w:t xml:space="preserve"> classified </w:t>
            </w:r>
            <w:proofErr w:type="gramStart"/>
            <w:r w:rsidRPr="00CA6CB0">
              <w:t>as a category 2 carcinogen due to tumorigenic effects in female rats</w:t>
            </w:r>
            <w:r w:rsidR="00AB20F4" w:rsidRPr="00CA6CB0">
              <w:t xml:space="preserve"> (same study as ACGIH, 2001)</w:t>
            </w:r>
            <w:proofErr w:type="gramEnd"/>
            <w:r w:rsidRPr="00CA6CB0">
              <w:t xml:space="preserve">. Mechanism of carcinogenicity </w:t>
            </w:r>
            <w:proofErr w:type="gramStart"/>
            <w:r w:rsidRPr="00CA6CB0">
              <w:t>is not understood</w:t>
            </w:r>
            <w:proofErr w:type="gramEnd"/>
            <w:r w:rsidRPr="00CA6CB0">
              <w:t xml:space="preserve">. </w:t>
            </w:r>
            <w:r w:rsidR="00293BB0">
              <w:t>Sb</w:t>
            </w:r>
            <w:r w:rsidRPr="00CA6CB0">
              <w:t xml:space="preserve"> and its inorganic compounds </w:t>
            </w:r>
            <w:proofErr w:type="gramStart"/>
            <w:r w:rsidRPr="00CA6CB0">
              <w:t>are classified</w:t>
            </w:r>
            <w:proofErr w:type="gramEnd"/>
            <w:r w:rsidRPr="00CA6CB0">
              <w:t xml:space="preserve"> as germ cell mutagens due to evidence from </w:t>
            </w:r>
            <w:r w:rsidRPr="00122A46">
              <w:rPr>
                <w:i/>
              </w:rPr>
              <w:t>in vivo</w:t>
            </w:r>
            <w:r w:rsidRPr="00CA6CB0">
              <w:t xml:space="preserve"> studies. Compounds in which </w:t>
            </w:r>
            <w:r w:rsidR="00293BB0">
              <w:t>Sb</w:t>
            </w:r>
            <w:r w:rsidRPr="00CA6CB0">
              <w:t xml:space="preserve"> is not </w:t>
            </w:r>
            <w:r w:rsidR="00AB20F4" w:rsidRPr="00CA6CB0">
              <w:t xml:space="preserve">freely bioavailable </w:t>
            </w:r>
            <w:proofErr w:type="gramStart"/>
            <w:r w:rsidR="00AB20F4" w:rsidRPr="00CA6CB0">
              <w:t>are excluded</w:t>
            </w:r>
            <w:proofErr w:type="gramEnd"/>
            <w:r w:rsidR="00AB20F4" w:rsidRPr="00CA6CB0">
              <w:t xml:space="preserve"> from the classification.</w:t>
            </w:r>
            <w:r w:rsidR="006F525F" w:rsidRPr="00CA6CB0">
              <w:t xml:space="preserve"> </w:t>
            </w:r>
            <w:r w:rsidR="00403FBE" w:rsidRPr="00CA6CB0">
              <w:t>Absorbed p</w:t>
            </w:r>
            <w:r w:rsidR="00331D64" w:rsidRPr="00CA6CB0">
              <w:t xml:space="preserve">entavalent antimony </w:t>
            </w:r>
            <w:proofErr w:type="gramStart"/>
            <w:r w:rsidR="00403FBE" w:rsidRPr="00CA6CB0">
              <w:t xml:space="preserve">is </w:t>
            </w:r>
            <w:r w:rsidR="00331D64" w:rsidRPr="00CA6CB0">
              <w:t>primarily converted</w:t>
            </w:r>
            <w:proofErr w:type="gramEnd"/>
            <w:r w:rsidR="00331D64" w:rsidRPr="00CA6CB0">
              <w:t xml:space="preserve"> to trivalent</w:t>
            </w:r>
            <w:r w:rsidR="00403FBE" w:rsidRPr="00CA6CB0">
              <w:t xml:space="preserve"> metabolites.</w:t>
            </w:r>
          </w:p>
          <w:p w14:paraId="50B58328" w14:textId="77777777" w:rsidR="00CE553D" w:rsidRDefault="00CE553D" w:rsidP="00643D3D">
            <w:pPr>
              <w:pStyle w:val="ListBullet"/>
              <w:numPr>
                <w:ilvl w:val="0"/>
                <w:numId w:val="0"/>
              </w:numPr>
            </w:pPr>
          </w:p>
          <w:p w14:paraId="5E7572AA" w14:textId="77777777" w:rsidR="00122A46" w:rsidRPr="0042697F" w:rsidRDefault="00122A46" w:rsidP="00643D3D">
            <w:pPr>
              <w:pStyle w:val="ListBullet"/>
              <w:numPr>
                <w:ilvl w:val="0"/>
                <w:numId w:val="0"/>
              </w:numPr>
            </w:pPr>
            <w:r>
              <w:t>Human studies:</w:t>
            </w:r>
          </w:p>
          <w:p w14:paraId="24967A35" w14:textId="77777777" w:rsidR="009A4376" w:rsidRDefault="009A4376" w:rsidP="009A4376">
            <w:pPr>
              <w:pStyle w:val="ListBullet"/>
              <w:spacing w:after="0"/>
              <w:ind w:left="720" w:hanging="357"/>
              <w:contextualSpacing w:val="0"/>
            </w:pPr>
            <w:r>
              <w:t xml:space="preserve">Increase of </w:t>
            </w:r>
            <w:r>
              <w:rPr>
                <w:rFonts w:cs="Arial"/>
              </w:rPr>
              <w:t>≈</w:t>
            </w:r>
            <w:r>
              <w:t xml:space="preserve">2-fold in lung cancer mortality observed among smelter workers 45–64 </w:t>
            </w:r>
            <w:proofErr w:type="spellStart"/>
            <w:r>
              <w:t>y.o</w:t>
            </w:r>
            <w:proofErr w:type="spellEnd"/>
            <w:r>
              <w:t>. (no further information provided)</w:t>
            </w:r>
          </w:p>
          <w:p w14:paraId="554651BB" w14:textId="77777777" w:rsidR="009A4376" w:rsidRDefault="009A4376" w:rsidP="009A4376">
            <w:pPr>
              <w:pStyle w:val="ListBullet"/>
              <w:spacing w:after="0"/>
              <w:ind w:left="720" w:hanging="357"/>
              <w:contextualSpacing w:val="0"/>
            </w:pPr>
            <w:r>
              <w:t>No clear association between incidences of lung cancer in British cohort study of processing plant workers exposed to combination of Sb ore, metallic Sb, Sb</w:t>
            </w:r>
            <w:r w:rsidRPr="00941189">
              <w:rPr>
                <w:vertAlign w:val="subscript"/>
              </w:rPr>
              <w:t>2</w:t>
            </w:r>
            <w:r>
              <w:t>O</w:t>
            </w:r>
            <w:r w:rsidRPr="00941189">
              <w:rPr>
                <w:vertAlign w:val="subscript"/>
              </w:rPr>
              <w:t>3</w:t>
            </w:r>
            <w:r>
              <w:t>, As, As</w:t>
            </w:r>
            <w:r w:rsidRPr="0044708C">
              <w:rPr>
                <w:vertAlign w:val="subscript"/>
              </w:rPr>
              <w:t>2</w:t>
            </w:r>
            <w:r>
              <w:t>O</w:t>
            </w:r>
            <w:r w:rsidRPr="0044708C">
              <w:rPr>
                <w:vertAlign w:val="subscript"/>
              </w:rPr>
              <w:t>3</w:t>
            </w:r>
            <w:r>
              <w:t xml:space="preserve">, </w:t>
            </w:r>
            <w:proofErr w:type="spellStart"/>
            <w:r>
              <w:t>Pb</w:t>
            </w:r>
            <w:proofErr w:type="spellEnd"/>
            <w:r>
              <w:t xml:space="preserve"> and PAHs (concentrations not specified).</w:t>
            </w:r>
          </w:p>
          <w:p w14:paraId="05BA4BBA" w14:textId="77777777" w:rsidR="009A4376" w:rsidRDefault="009A4376" w:rsidP="009A4376">
            <w:pPr>
              <w:pStyle w:val="ListBullet"/>
              <w:numPr>
                <w:ilvl w:val="0"/>
                <w:numId w:val="12"/>
              </w:numPr>
            </w:pPr>
            <w:r>
              <w:t>significant increase (32 compared to expected 14.7 cases) in the mortality rate due to lung cancer observed in workers who had started work prior to 1961</w:t>
            </w:r>
          </w:p>
          <w:p w14:paraId="56F7DB69" w14:textId="77777777" w:rsidR="009A4376" w:rsidRDefault="009A4376" w:rsidP="009A4376">
            <w:pPr>
              <w:pStyle w:val="ListBullet"/>
              <w:numPr>
                <w:ilvl w:val="0"/>
                <w:numId w:val="12"/>
              </w:numPr>
            </w:pPr>
            <w:r>
              <w:t xml:space="preserve">lung cancer mortalities occurred in 5 out of 9.2 expected cases in workers who started after 1960 </w:t>
            </w:r>
          </w:p>
          <w:p w14:paraId="2E02EAF6" w14:textId="77777777" w:rsidR="009A4376" w:rsidRDefault="009A4376" w:rsidP="009A4376">
            <w:pPr>
              <w:pStyle w:val="ListBullet"/>
              <w:numPr>
                <w:ilvl w:val="0"/>
                <w:numId w:val="24"/>
              </w:numPr>
              <w:spacing w:after="0"/>
              <w:ind w:hanging="357"/>
              <w:contextualSpacing w:val="0"/>
            </w:pPr>
            <w:r>
              <w:t xml:space="preserve">after a period of &gt;20 </w:t>
            </w:r>
            <w:proofErr w:type="spellStart"/>
            <w:r>
              <w:t>yr</w:t>
            </w:r>
            <w:proofErr w:type="spellEnd"/>
            <w:r>
              <w:t xml:space="preserve"> since initial exposure, 27 lung cancer cases observed compared with 12.6 expected cases</w:t>
            </w:r>
          </w:p>
          <w:p w14:paraId="29E43B83" w14:textId="77777777" w:rsidR="009A4376" w:rsidRDefault="009A4376" w:rsidP="009A4376">
            <w:pPr>
              <w:pStyle w:val="ListBullet"/>
              <w:spacing w:after="0"/>
              <w:ind w:left="720" w:hanging="357"/>
              <w:contextualSpacing w:val="0"/>
            </w:pPr>
            <w:r>
              <w:t>Repeat insult patch test with 52 subjects (45 females and 7 males) found no skin reactions during the induction or the provocation phases (study flagged as viewed with reservations)</w:t>
            </w:r>
          </w:p>
          <w:p w14:paraId="242259D1" w14:textId="52AC73DF" w:rsidR="00B20468" w:rsidRPr="00CA6CB0" w:rsidRDefault="008B523C" w:rsidP="00122A46">
            <w:pPr>
              <w:pStyle w:val="ListBullet"/>
              <w:numPr>
                <w:ilvl w:val="0"/>
                <w:numId w:val="12"/>
              </w:numPr>
            </w:pPr>
            <w:r>
              <w:t>i</w:t>
            </w:r>
            <w:r w:rsidR="00087A68" w:rsidRPr="00CA6CB0">
              <w:t xml:space="preserve">nduction </w:t>
            </w:r>
            <w:r w:rsidR="00A9305A">
              <w:t xml:space="preserve">treatment carried out </w:t>
            </w:r>
            <w:r w:rsidR="00C149F4">
              <w:t>using 24 h application</w:t>
            </w:r>
            <w:r w:rsidR="00C149F4" w:rsidRPr="00CA6CB0">
              <w:t xml:space="preserve"> </w:t>
            </w:r>
            <w:r w:rsidR="00C149F4">
              <w:t xml:space="preserve">of </w:t>
            </w:r>
            <w:r w:rsidR="00C149F4" w:rsidRPr="00CA6CB0">
              <w:t>antimony trioxide (85.3%)</w:t>
            </w:r>
            <w:r w:rsidR="00C149F4">
              <w:t xml:space="preserve"> </w:t>
            </w:r>
            <w:r w:rsidR="00B246E3" w:rsidRPr="00CA6CB0">
              <w:t xml:space="preserve">every second day </w:t>
            </w:r>
            <w:r w:rsidR="00087A68" w:rsidRPr="00CA6CB0">
              <w:t>for 18 d</w:t>
            </w:r>
          </w:p>
          <w:p w14:paraId="54DC7646" w14:textId="3CE61CA3" w:rsidR="00B20468" w:rsidRDefault="008B523C" w:rsidP="00122A46">
            <w:pPr>
              <w:pStyle w:val="ListBullet"/>
              <w:numPr>
                <w:ilvl w:val="0"/>
                <w:numId w:val="12"/>
              </w:numPr>
            </w:pPr>
            <w:proofErr w:type="gramStart"/>
            <w:r>
              <w:t>p</w:t>
            </w:r>
            <w:r w:rsidR="00B20468" w:rsidRPr="00CA6CB0">
              <w:t>rovocation</w:t>
            </w:r>
            <w:proofErr w:type="gramEnd"/>
            <w:r w:rsidR="00B20468" w:rsidRPr="00CA6CB0">
              <w:t xml:space="preserve"> carried out 2 </w:t>
            </w:r>
            <w:proofErr w:type="spellStart"/>
            <w:r w:rsidR="000A1D01" w:rsidRPr="00CA6CB0">
              <w:t>wk</w:t>
            </w:r>
            <w:proofErr w:type="spellEnd"/>
            <w:r w:rsidR="000A1D01" w:rsidRPr="00CA6CB0">
              <w:t xml:space="preserve"> </w:t>
            </w:r>
            <w:r w:rsidR="00B246E3" w:rsidRPr="00CA6CB0">
              <w:t>after induction</w:t>
            </w:r>
            <w:r w:rsidR="00B20468" w:rsidRPr="00CA6CB0">
              <w:t xml:space="preserve"> and lasted 24 </w:t>
            </w:r>
            <w:r w:rsidR="000A1D01" w:rsidRPr="00CA6CB0">
              <w:t>h</w:t>
            </w:r>
            <w:r w:rsidR="006E0A40">
              <w:t>.</w:t>
            </w:r>
            <w:r w:rsidR="00C149F4">
              <w:t xml:space="preserve"> </w:t>
            </w:r>
          </w:p>
          <w:p w14:paraId="28B242FB" w14:textId="77777777" w:rsidR="006E0A40" w:rsidRPr="00CA6CB0" w:rsidRDefault="006E0A40" w:rsidP="006E0A40">
            <w:pPr>
              <w:pStyle w:val="ListBullet"/>
              <w:numPr>
                <w:ilvl w:val="0"/>
                <w:numId w:val="0"/>
              </w:numPr>
              <w:ind w:left="360" w:hanging="360"/>
            </w:pPr>
          </w:p>
          <w:p w14:paraId="59C07212" w14:textId="77777777" w:rsidR="00AB20F4" w:rsidRPr="00CA6CB0" w:rsidRDefault="00AB20F4" w:rsidP="00643D3D">
            <w:pPr>
              <w:pStyle w:val="ListBullet"/>
              <w:numPr>
                <w:ilvl w:val="0"/>
                <w:numId w:val="0"/>
              </w:numPr>
              <w:ind w:left="360" w:hanging="360"/>
            </w:pPr>
            <w:r w:rsidRPr="00CA6CB0">
              <w:t>Animal studies:</w:t>
            </w:r>
          </w:p>
          <w:p w14:paraId="46E5030A" w14:textId="77777777" w:rsidR="00E83AA6" w:rsidRDefault="0083441C" w:rsidP="00643D3D">
            <w:pPr>
              <w:pStyle w:val="ListBullet"/>
              <w:ind w:left="720"/>
            </w:pPr>
            <w:r w:rsidRPr="00CA6CB0">
              <w:t>LD</w:t>
            </w:r>
            <w:r w:rsidRPr="00CA6CB0">
              <w:rPr>
                <w:vertAlign w:val="subscript"/>
              </w:rPr>
              <w:t>50</w:t>
            </w:r>
            <w:r w:rsidR="00122A46">
              <w:t>:</w:t>
            </w:r>
            <w:r w:rsidR="00122A46">
              <w:rPr>
                <w:vertAlign w:val="subscript"/>
              </w:rPr>
              <w:t xml:space="preserve"> </w:t>
            </w:r>
            <w:r w:rsidR="00C32137" w:rsidRPr="00CA6CB0">
              <w:t>&gt;</w:t>
            </w:r>
            <w:r w:rsidR="00B119D3">
              <w:t xml:space="preserve"> </w:t>
            </w:r>
            <w:r w:rsidR="00C32137" w:rsidRPr="00CA6CB0">
              <w:t>2000 mg/kg (</w:t>
            </w:r>
            <w:r w:rsidR="00122A46" w:rsidRPr="00CA6CB0">
              <w:t>rats</w:t>
            </w:r>
            <w:r w:rsidR="00122A46">
              <w:t>,</w:t>
            </w:r>
            <w:r w:rsidR="00122A46" w:rsidRPr="00CA6CB0">
              <w:t xml:space="preserve"> </w:t>
            </w:r>
            <w:r w:rsidR="00122A46">
              <w:t>dermal,</w:t>
            </w:r>
            <w:r w:rsidR="004960A4" w:rsidRPr="00CA6CB0">
              <w:t xml:space="preserve"> Sb</w:t>
            </w:r>
            <w:r w:rsidR="004960A4" w:rsidRPr="00CA6CB0">
              <w:rPr>
                <w:vertAlign w:val="subscript"/>
              </w:rPr>
              <w:t>2</w:t>
            </w:r>
            <w:r w:rsidR="004960A4" w:rsidRPr="00CA6CB0">
              <w:t>O</w:t>
            </w:r>
            <w:r w:rsidR="004960A4" w:rsidRPr="00CA6CB0">
              <w:rPr>
                <w:vertAlign w:val="subscript"/>
              </w:rPr>
              <w:t xml:space="preserve">3 </w:t>
            </w:r>
            <w:r w:rsidR="004960A4" w:rsidRPr="00CA6CB0">
              <w:t>and Sb</w:t>
            </w:r>
            <w:r w:rsidR="004960A4" w:rsidRPr="00CA6CB0">
              <w:rPr>
                <w:vertAlign w:val="subscript"/>
              </w:rPr>
              <w:t>2</w:t>
            </w:r>
            <w:r w:rsidR="004960A4" w:rsidRPr="00CA6CB0">
              <w:t>S</w:t>
            </w:r>
            <w:r w:rsidR="004960A4" w:rsidRPr="00CA6CB0">
              <w:rPr>
                <w:vertAlign w:val="subscript"/>
              </w:rPr>
              <w:t>3</w:t>
            </w:r>
            <w:r w:rsidR="00C32137" w:rsidRPr="00CA6CB0">
              <w:t>)</w:t>
            </w:r>
          </w:p>
          <w:p w14:paraId="5AB2830E" w14:textId="77777777" w:rsidR="00381EAF" w:rsidRDefault="00643D3D" w:rsidP="00643D3D">
            <w:pPr>
              <w:pStyle w:val="ListBullet"/>
              <w:ind w:left="720"/>
            </w:pPr>
            <w:r>
              <w:t>Mutagenic in bacterial cells and human and mouse lymphocytes</w:t>
            </w:r>
            <w:r w:rsidR="006E0A40">
              <w:t>.</w:t>
            </w:r>
          </w:p>
          <w:p w14:paraId="0D5A838F" w14:textId="77777777" w:rsidR="006E0A40" w:rsidRPr="00CA6CB0" w:rsidRDefault="006E0A40" w:rsidP="006E0A40">
            <w:pPr>
              <w:pStyle w:val="ListBullet"/>
              <w:numPr>
                <w:ilvl w:val="0"/>
                <w:numId w:val="0"/>
              </w:numPr>
              <w:ind w:left="360" w:hanging="360"/>
            </w:pPr>
          </w:p>
        </w:tc>
      </w:tr>
      <w:tr w:rsidR="00C978F0" w:rsidRPr="00DA352E" w14:paraId="06B373FF" w14:textId="77777777" w:rsidTr="00293BB0">
        <w:trPr>
          <w:gridAfter w:val="1"/>
          <w:wAfter w:w="8" w:type="pct"/>
          <w:cantSplit/>
        </w:trPr>
        <w:tc>
          <w:tcPr>
            <w:tcW w:w="4992" w:type="pct"/>
            <w:shd w:val="clear" w:color="auto" w:fill="F2F2F2" w:themeFill="background1" w:themeFillShade="F2"/>
          </w:tcPr>
          <w:p w14:paraId="1530A841" w14:textId="77777777"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54676A">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54676A">
                  <w:t>NA</w:t>
                </w:r>
                <w:proofErr w:type="spellEnd"/>
              </w:sdtContent>
            </w:sdt>
          </w:p>
        </w:tc>
      </w:tr>
      <w:tr w:rsidR="00C978F0" w:rsidRPr="00DA352E" w14:paraId="19997A5F" w14:textId="77777777" w:rsidTr="00293BB0">
        <w:trPr>
          <w:gridAfter w:val="1"/>
          <w:wAfter w:w="8" w:type="pct"/>
          <w:cantSplit/>
        </w:trPr>
        <w:tc>
          <w:tcPr>
            <w:tcW w:w="4992" w:type="pct"/>
          </w:tcPr>
          <w:p w14:paraId="2D75C1D3" w14:textId="53FADD03" w:rsidR="00C978F0" w:rsidRPr="00DA352E" w:rsidRDefault="00036F1D" w:rsidP="003365A5">
            <w:pPr>
              <w:pStyle w:val="Tabletextprimarysource"/>
            </w:pPr>
            <w:r>
              <w:t>No report</w:t>
            </w:r>
            <w:r w:rsidR="00293BB0">
              <w:t>.</w:t>
            </w:r>
          </w:p>
        </w:tc>
      </w:tr>
      <w:tr w:rsidR="00DA352E" w:rsidRPr="00DA352E" w14:paraId="62393662" w14:textId="77777777" w:rsidTr="00293BB0">
        <w:trPr>
          <w:gridAfter w:val="1"/>
          <w:wAfter w:w="8" w:type="pct"/>
          <w:cantSplit/>
        </w:trPr>
        <w:tc>
          <w:tcPr>
            <w:tcW w:w="4992" w:type="pct"/>
            <w:shd w:val="clear" w:color="auto" w:fill="F2F2F2" w:themeFill="background1" w:themeFillShade="F2"/>
          </w:tcPr>
          <w:p w14:paraId="2FF84343"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463B8E">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463B8E">
                  <w:t>NA</w:t>
                </w:r>
                <w:proofErr w:type="spellEnd"/>
              </w:sdtContent>
            </w:sdt>
          </w:p>
        </w:tc>
      </w:tr>
      <w:tr w:rsidR="00DA352E" w:rsidRPr="00DA352E" w14:paraId="312C80FD" w14:textId="77777777" w:rsidTr="00293BB0">
        <w:trPr>
          <w:gridAfter w:val="1"/>
          <w:wAfter w:w="8" w:type="pct"/>
          <w:cantSplit/>
        </w:trPr>
        <w:tc>
          <w:tcPr>
            <w:tcW w:w="4992" w:type="pct"/>
          </w:tcPr>
          <w:p w14:paraId="47E82DA9" w14:textId="2A44935F" w:rsidR="00DA352E" w:rsidRPr="00DA352E" w:rsidRDefault="00463B8E" w:rsidP="003365A5">
            <w:pPr>
              <w:pStyle w:val="Tabletextprimarysource"/>
            </w:pPr>
            <w:r>
              <w:t>No report</w:t>
            </w:r>
            <w:r w:rsidR="00293BB0">
              <w:t>.</w:t>
            </w:r>
          </w:p>
        </w:tc>
      </w:tr>
      <w:tr w:rsidR="00DA352E" w:rsidRPr="00DA352E" w14:paraId="7C6749A2" w14:textId="77777777" w:rsidTr="00293BB0">
        <w:trPr>
          <w:gridAfter w:val="1"/>
          <w:wAfter w:w="8" w:type="pct"/>
          <w:cantSplit/>
        </w:trPr>
        <w:tc>
          <w:tcPr>
            <w:tcW w:w="4992" w:type="pct"/>
            <w:shd w:val="clear" w:color="auto" w:fill="F2F2F2" w:themeFill="background1" w:themeFillShade="F2"/>
          </w:tcPr>
          <w:p w14:paraId="135D4686" w14:textId="77777777"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463B8E">
                  <w:t>2011</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463B8E">
                  <w:t>—</w:t>
                </w:r>
              </w:sdtContent>
            </w:sdt>
          </w:p>
        </w:tc>
      </w:tr>
      <w:tr w:rsidR="00DA352E" w:rsidRPr="00DA352E" w14:paraId="30D61C82" w14:textId="77777777" w:rsidTr="00293BB0">
        <w:trPr>
          <w:gridAfter w:val="1"/>
          <w:wAfter w:w="8" w:type="pct"/>
          <w:cantSplit/>
        </w:trPr>
        <w:tc>
          <w:tcPr>
            <w:tcW w:w="4992" w:type="pct"/>
          </w:tcPr>
          <w:p w14:paraId="2180CC95" w14:textId="77777777" w:rsidR="001F7648" w:rsidRDefault="001F7648" w:rsidP="00B40947">
            <w:pPr>
              <w:pStyle w:val="Tabletextprimarysource"/>
            </w:pPr>
            <w:r>
              <w:t>Summary of additional data:</w:t>
            </w:r>
          </w:p>
          <w:p w14:paraId="42FFBED8" w14:textId="660A1DAE" w:rsidR="006E0A40" w:rsidRDefault="001F1A10" w:rsidP="00EF6B6C">
            <w:pPr>
              <w:pStyle w:val="Tabletextprimarysource"/>
            </w:pPr>
            <w:r>
              <w:t xml:space="preserve">Assessment grouped with other </w:t>
            </w:r>
            <w:r w:rsidR="00293BB0">
              <w:t>Sb</w:t>
            </w:r>
            <w:r>
              <w:t xml:space="preserve"> compounds. </w:t>
            </w:r>
            <w:r w:rsidR="00863757">
              <w:t>Carcinogenicity classification prioritised for review pending evaluation of NTP inhalational study.</w:t>
            </w:r>
            <w:r w:rsidR="001F7648">
              <w:t xml:space="preserve"> Animal data on antimony and other antimony compounds are insufficient to evaluate the carcinogenic potential.</w:t>
            </w:r>
          </w:p>
          <w:p w14:paraId="68492D12" w14:textId="77777777" w:rsidR="001F7648" w:rsidRDefault="001F7648" w:rsidP="00643D3D">
            <w:pPr>
              <w:pStyle w:val="ListBullet"/>
              <w:numPr>
                <w:ilvl w:val="0"/>
                <w:numId w:val="0"/>
              </w:numPr>
              <w:ind w:left="360" w:hanging="360"/>
            </w:pPr>
            <w:r>
              <w:t>Human data:</w:t>
            </w:r>
          </w:p>
          <w:p w14:paraId="5A530C1D" w14:textId="77777777" w:rsidR="00863757" w:rsidRDefault="005C7688" w:rsidP="00643D3D">
            <w:pPr>
              <w:pStyle w:val="ListBullet"/>
              <w:ind w:left="720"/>
            </w:pPr>
            <w:r>
              <w:t>C</w:t>
            </w:r>
            <w:r w:rsidR="001E4C36">
              <w:t xml:space="preserve">orrelation between incidences of colon cancer and high co-exposure to both lead and antimony (concentrations not specified) </w:t>
            </w:r>
            <w:r w:rsidR="00714C68">
              <w:t>in s</w:t>
            </w:r>
            <w:r w:rsidR="00863757">
              <w:t xml:space="preserve">tudy of occupational cancer incidences in </w:t>
            </w:r>
            <w:r w:rsidR="00714C68">
              <w:t>art-glass industry workers (n=</w:t>
            </w:r>
            <w:r w:rsidR="00863757">
              <w:t>888 male</w:t>
            </w:r>
            <w:r w:rsidR="00714C68">
              <w:t>s)</w:t>
            </w:r>
            <w:r w:rsidR="00863757">
              <w:t xml:space="preserve"> </w:t>
            </w:r>
          </w:p>
          <w:p w14:paraId="3F04A90D" w14:textId="77777777" w:rsidR="00863757" w:rsidRPr="00DA352E" w:rsidRDefault="00DD0FAD" w:rsidP="00643D3D">
            <w:pPr>
              <w:pStyle w:val="ListBullet"/>
              <w:ind w:left="720"/>
            </w:pPr>
            <w:r>
              <w:t xml:space="preserve">Pentavalent antimony compounds are not mutagenic </w:t>
            </w:r>
            <w:r w:rsidRPr="00122A46">
              <w:rPr>
                <w:i/>
              </w:rPr>
              <w:t>in vitro</w:t>
            </w:r>
            <w:r>
              <w:t>; however, the trivalent (physiologically relevant) compounds are</w:t>
            </w:r>
            <w:r w:rsidR="00381EAF">
              <w:t>.</w:t>
            </w:r>
          </w:p>
        </w:tc>
      </w:tr>
    </w:tbl>
    <w:p w14:paraId="21107754" w14:textId="77777777" w:rsidR="00A20751" w:rsidRPr="004C23F4" w:rsidRDefault="00A20751" w:rsidP="003365A5">
      <w:pPr>
        <w:pStyle w:val="Heading3"/>
      </w:pPr>
      <w:bookmarkStart w:id="2" w:name="SecondSource"/>
      <w:r w:rsidRPr="004C23F4">
        <w:lastRenderedPageBreak/>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83"/>
        <w:gridCol w:w="421"/>
        <w:gridCol w:w="717"/>
        <w:gridCol w:w="6405"/>
      </w:tblGrid>
      <w:tr w:rsidR="00226FA7" w:rsidRPr="00263255" w14:paraId="5F0BF3E7" w14:textId="77777777" w:rsidTr="000B401E">
        <w:trPr>
          <w:cantSplit/>
          <w:trHeight w:val="393"/>
          <w:tblHeader/>
        </w:trPr>
        <w:tc>
          <w:tcPr>
            <w:tcW w:w="1483" w:type="dxa"/>
            <w:shd w:val="clear" w:color="auto" w:fill="BFBFBF" w:themeFill="background1" w:themeFillShade="BF"/>
            <w:vAlign w:val="center"/>
          </w:tcPr>
          <w:p w14:paraId="0FBE8BAA" w14:textId="77777777" w:rsidR="004966BF" w:rsidRPr="00263255" w:rsidRDefault="004966BF" w:rsidP="00263255">
            <w:pPr>
              <w:pStyle w:val="Tableheader"/>
            </w:pPr>
            <w:r w:rsidRPr="00263255">
              <w:t>Source</w:t>
            </w:r>
          </w:p>
        </w:tc>
        <w:tc>
          <w:tcPr>
            <w:tcW w:w="421" w:type="dxa"/>
            <w:shd w:val="clear" w:color="auto" w:fill="BFBFBF" w:themeFill="background1" w:themeFillShade="BF"/>
            <w:vAlign w:val="center"/>
          </w:tcPr>
          <w:p w14:paraId="1C00AA70" w14:textId="77777777" w:rsidR="004966BF" w:rsidRPr="00263255" w:rsidRDefault="004966BF" w:rsidP="00263255">
            <w:pPr>
              <w:pStyle w:val="Tableheader"/>
            </w:pPr>
          </w:p>
        </w:tc>
        <w:tc>
          <w:tcPr>
            <w:tcW w:w="717" w:type="dxa"/>
            <w:shd w:val="clear" w:color="auto" w:fill="BFBFBF" w:themeFill="background1" w:themeFillShade="BF"/>
            <w:vAlign w:val="center"/>
          </w:tcPr>
          <w:p w14:paraId="60974E92" w14:textId="77777777" w:rsidR="004966BF" w:rsidRPr="00263255" w:rsidRDefault="004966BF" w:rsidP="00263255">
            <w:pPr>
              <w:pStyle w:val="Tableheader"/>
            </w:pPr>
            <w:r>
              <w:t>Year</w:t>
            </w:r>
          </w:p>
        </w:tc>
        <w:tc>
          <w:tcPr>
            <w:tcW w:w="6405" w:type="dxa"/>
            <w:shd w:val="clear" w:color="auto" w:fill="BFBFBF" w:themeFill="background1" w:themeFillShade="BF"/>
            <w:vAlign w:val="center"/>
          </w:tcPr>
          <w:p w14:paraId="27AE269C" w14:textId="77777777" w:rsidR="004966BF" w:rsidRPr="00263255" w:rsidRDefault="004966BF" w:rsidP="00263255">
            <w:pPr>
              <w:pStyle w:val="Tableheader"/>
            </w:pPr>
            <w:r>
              <w:t>Additional information</w:t>
            </w:r>
          </w:p>
        </w:tc>
      </w:tr>
      <w:tr w:rsidR="00226FA7" w:rsidRPr="004C23F4" w14:paraId="77368B72" w14:textId="77777777" w:rsidTr="000B401E">
        <w:trPr>
          <w:cantSplit/>
        </w:trPr>
        <w:tc>
          <w:tcPr>
            <w:tcW w:w="1483" w:type="dxa"/>
          </w:tcPr>
          <w:p w14:paraId="6898DED3" w14:textId="77777777" w:rsidR="004966BF" w:rsidRPr="004C23F4" w:rsidRDefault="004966BF" w:rsidP="00224EE2">
            <w:pPr>
              <w:pStyle w:val="Tablefont"/>
            </w:pPr>
            <w:r>
              <w:t>NICNAS</w:t>
            </w:r>
          </w:p>
        </w:tc>
        <w:tc>
          <w:tcPr>
            <w:tcW w:w="421" w:type="dxa"/>
          </w:tcPr>
          <w:p w14:paraId="4BA932CC" w14:textId="77777777" w:rsidR="004966BF" w:rsidRPr="00CE617F" w:rsidRDefault="008E5A9B"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573EA0">
                  <w:rPr>
                    <w:rStyle w:val="checkbox"/>
                  </w:rPr>
                  <w:t></w:t>
                </w:r>
              </w:sdtContent>
            </w:sdt>
          </w:p>
        </w:tc>
        <w:tc>
          <w:tcPr>
            <w:tcW w:w="717" w:type="dxa"/>
          </w:tcPr>
          <w:p w14:paraId="350E9666" w14:textId="77777777" w:rsidR="004966BF" w:rsidRPr="004C23F4" w:rsidRDefault="00422996" w:rsidP="00717D45">
            <w:pPr>
              <w:pStyle w:val="Tablefont"/>
              <w:rPr>
                <w:rStyle w:val="checkbox"/>
                <w:rFonts w:ascii="Arial" w:hAnsi="Arial" w:cs="Arial"/>
              </w:rPr>
            </w:pPr>
            <w:r>
              <w:rPr>
                <w:rStyle w:val="checkbox"/>
                <w:rFonts w:ascii="Arial" w:hAnsi="Arial" w:cs="Arial"/>
              </w:rPr>
              <w:t>2015</w:t>
            </w:r>
          </w:p>
        </w:tc>
        <w:tc>
          <w:tcPr>
            <w:tcW w:w="6405" w:type="dxa"/>
          </w:tcPr>
          <w:p w14:paraId="0BAC9C2D" w14:textId="77777777" w:rsidR="006E0A40" w:rsidRDefault="006E0A40" w:rsidP="006E0A40">
            <w:pPr>
              <w:pStyle w:val="ListBullet"/>
            </w:pPr>
            <w:r>
              <w:t xml:space="preserve">International </w:t>
            </w:r>
            <w:r w:rsidR="00226FA7" w:rsidRPr="00422996">
              <w:t>TWA</w:t>
            </w:r>
            <w:r w:rsidR="001F032B" w:rsidRPr="00422996">
              <w:t xml:space="preserve"> </w:t>
            </w:r>
            <w:r w:rsidR="0018205B">
              <w:t>range 0.1–</w:t>
            </w:r>
            <w:r w:rsidR="001F032B" w:rsidRPr="00422996">
              <w:t>0.5 mg/m</w:t>
            </w:r>
            <w:r w:rsidR="001F032B" w:rsidRPr="006E0A40">
              <w:rPr>
                <w:vertAlign w:val="superscript"/>
              </w:rPr>
              <w:t>3</w:t>
            </w:r>
            <w:r w:rsidR="00122A46">
              <w:t xml:space="preserve"> </w:t>
            </w:r>
            <w:r>
              <w:t xml:space="preserve">and </w:t>
            </w:r>
            <w:r w:rsidR="00226FA7" w:rsidRPr="00422996">
              <w:t>STEL</w:t>
            </w:r>
            <w:r>
              <w:t xml:space="preserve"> ranges </w:t>
            </w:r>
            <w:r>
              <w:br/>
            </w:r>
            <w:r w:rsidR="001F032B" w:rsidRPr="00422996">
              <w:t>0.75</w:t>
            </w:r>
            <w:r w:rsidR="0018205B">
              <w:t>–</w:t>
            </w:r>
            <w:r w:rsidR="001F032B" w:rsidRPr="00422996">
              <w:t>2 mg/m</w:t>
            </w:r>
            <w:r w:rsidR="001F032B" w:rsidRPr="006E0A40">
              <w:rPr>
                <w:vertAlign w:val="superscript"/>
              </w:rPr>
              <w:t>3</w:t>
            </w:r>
            <w:r w:rsidR="001F032B" w:rsidRPr="00422996">
              <w:t> </w:t>
            </w:r>
          </w:p>
          <w:p w14:paraId="77F02B02" w14:textId="77777777" w:rsidR="006E0A40" w:rsidRDefault="00226FA7" w:rsidP="006E0A40">
            <w:pPr>
              <w:pStyle w:val="ListBullet"/>
            </w:pPr>
            <w:r w:rsidRPr="00422996">
              <w:t>L</w:t>
            </w:r>
            <w:r w:rsidR="001F032B" w:rsidRPr="00422996">
              <w:t xml:space="preserve">ow acute toxicity in animal </w:t>
            </w:r>
            <w:r w:rsidRPr="00422996">
              <w:t xml:space="preserve">inhalation </w:t>
            </w:r>
            <w:r w:rsidR="001F032B" w:rsidRPr="00422996">
              <w:t>tests</w:t>
            </w:r>
            <w:r w:rsidRPr="00422996">
              <w:t xml:space="preserve">. </w:t>
            </w:r>
          </w:p>
          <w:p w14:paraId="53AEE290" w14:textId="77777777" w:rsidR="001F032B" w:rsidRPr="00422996" w:rsidRDefault="001F032B" w:rsidP="006E0A40">
            <w:pPr>
              <w:pStyle w:val="ListBullet"/>
              <w:rPr>
                <w:rStyle w:val="checkbox"/>
                <w:rFonts w:ascii="Arial" w:hAnsi="Arial"/>
              </w:rPr>
            </w:pPr>
            <w:r w:rsidRPr="00422996">
              <w:t>LC</w:t>
            </w:r>
            <w:r w:rsidRPr="00422996">
              <w:rPr>
                <w:vertAlign w:val="subscript"/>
              </w:rPr>
              <w:t>50</w:t>
            </w:r>
            <w:r w:rsidR="000B4684">
              <w:t>:</w:t>
            </w:r>
            <w:r w:rsidR="00381EAF">
              <w:t> &gt;</w:t>
            </w:r>
            <w:r w:rsidR="000B4684">
              <w:t xml:space="preserve"> </w:t>
            </w:r>
            <w:r w:rsidRPr="00422996">
              <w:t>5</w:t>
            </w:r>
            <w:r w:rsidR="005E0BF8" w:rsidRPr="00422996">
              <w:t>,</w:t>
            </w:r>
            <w:r w:rsidRPr="00422996">
              <w:t>2</w:t>
            </w:r>
            <w:r w:rsidR="005E0BF8" w:rsidRPr="00422996">
              <w:t>00</w:t>
            </w:r>
            <w:r w:rsidR="00226FA7" w:rsidRPr="00422996">
              <w:t> </w:t>
            </w:r>
            <w:r w:rsidRPr="00422996">
              <w:t>mg/</w:t>
            </w:r>
            <w:r w:rsidR="005E0BF8" w:rsidRPr="00422996">
              <w:t>m</w:t>
            </w:r>
            <w:r w:rsidR="005E0BF8" w:rsidRPr="00422996">
              <w:rPr>
                <w:vertAlign w:val="superscript"/>
              </w:rPr>
              <w:t>3</w:t>
            </w:r>
            <w:r w:rsidR="00226FA7" w:rsidRPr="00422996">
              <w:t xml:space="preserve"> (rats, </w:t>
            </w:r>
            <w:r w:rsidRPr="00422996">
              <w:t>4</w:t>
            </w:r>
            <w:r w:rsidR="00226FA7" w:rsidRPr="00422996">
              <w:t xml:space="preserve"> </w:t>
            </w:r>
            <w:r w:rsidRPr="00422996">
              <w:t>h</w:t>
            </w:r>
            <w:r w:rsidR="00226FA7" w:rsidRPr="00422996">
              <w:t>)</w:t>
            </w:r>
            <w:r w:rsidR="006E0A40">
              <w:t>.</w:t>
            </w:r>
          </w:p>
        </w:tc>
      </w:tr>
      <w:tr w:rsidR="00226FA7" w:rsidRPr="004C23F4" w14:paraId="33F81D91" w14:textId="77777777" w:rsidTr="000B401E">
        <w:trPr>
          <w:cantSplit/>
        </w:trPr>
        <w:tc>
          <w:tcPr>
            <w:tcW w:w="1483" w:type="dxa"/>
          </w:tcPr>
          <w:p w14:paraId="02908C27" w14:textId="77777777" w:rsidR="004966BF" w:rsidRPr="00422996" w:rsidRDefault="004966BF" w:rsidP="00224EE2">
            <w:pPr>
              <w:pStyle w:val="Tablefont"/>
            </w:pPr>
            <w:r w:rsidRPr="00422996">
              <w:t>APVMA</w:t>
            </w:r>
          </w:p>
        </w:tc>
        <w:tc>
          <w:tcPr>
            <w:tcW w:w="421" w:type="dxa"/>
          </w:tcPr>
          <w:p w14:paraId="7E5D71D5" w14:textId="77777777" w:rsidR="004966BF" w:rsidRPr="00422996" w:rsidRDefault="008E5A9B" w:rsidP="00AB43C4">
            <w:pPr>
              <w:spacing w:before="40"/>
              <w:jc w:val="center"/>
              <w:rPr>
                <w:rStyle w:val="checkbox"/>
              </w:rPr>
            </w:pPr>
            <w:sdt>
              <w:sdtPr>
                <w:rPr>
                  <w:rStyle w:val="checkbox"/>
                </w:rPr>
                <w:id w:val="1864932884"/>
                <w:placeholder>
                  <w:docPart w:val="CC96E8CFB35445F7B98574D62F848316"/>
                </w:placeholder>
                <w:dropDownList>
                  <w:listItem w:displayText="" w:value=""/>
                  <w:listItem w:displayText="" w:value=""/>
                  <w:listItem w:displayText="" w:value=""/>
                </w:dropDownList>
              </w:sdtPr>
              <w:sdtEndPr>
                <w:rPr>
                  <w:rStyle w:val="checkbox"/>
                </w:rPr>
              </w:sdtEndPr>
              <w:sdtContent>
                <w:r w:rsidR="00832383" w:rsidRPr="00422996">
                  <w:rPr>
                    <w:rStyle w:val="checkbox"/>
                  </w:rPr>
                  <w:t></w:t>
                </w:r>
              </w:sdtContent>
            </w:sdt>
          </w:p>
        </w:tc>
        <w:tc>
          <w:tcPr>
            <w:tcW w:w="717" w:type="dxa"/>
          </w:tcPr>
          <w:p w14:paraId="61E4E507" w14:textId="77777777" w:rsidR="004966BF" w:rsidRPr="00422996" w:rsidRDefault="00D5454A" w:rsidP="00717D45">
            <w:pPr>
              <w:pStyle w:val="Tablefont"/>
              <w:rPr>
                <w:rStyle w:val="checkbox"/>
                <w:rFonts w:ascii="Arial" w:hAnsi="Arial" w:cs="Arial"/>
              </w:rPr>
            </w:pPr>
            <w:r w:rsidRPr="00422996">
              <w:rPr>
                <w:rStyle w:val="checkbox"/>
                <w:rFonts w:ascii="Arial" w:hAnsi="Arial" w:cs="Arial"/>
              </w:rPr>
              <w:t>2018</w:t>
            </w:r>
          </w:p>
        </w:tc>
        <w:tc>
          <w:tcPr>
            <w:tcW w:w="6405" w:type="dxa"/>
          </w:tcPr>
          <w:p w14:paraId="253316A2" w14:textId="77777777" w:rsidR="004966BF" w:rsidRPr="00422996" w:rsidRDefault="003E2FE1" w:rsidP="00122A46">
            <w:pPr>
              <w:pStyle w:val="ListBullet"/>
              <w:rPr>
                <w:rStyle w:val="checkbox"/>
                <w:rFonts w:ascii="Arial" w:hAnsi="Arial" w:cs="Arial"/>
              </w:rPr>
            </w:pPr>
            <w:r w:rsidRPr="00422996">
              <w:rPr>
                <w:rStyle w:val="checkbox"/>
                <w:rFonts w:ascii="Arial" w:hAnsi="Arial" w:cs="Arial"/>
              </w:rPr>
              <w:t>Antimony trioxide used as termite insecticide</w:t>
            </w:r>
            <w:r w:rsidR="006E0A40">
              <w:rPr>
                <w:rStyle w:val="checkbox"/>
                <w:rFonts w:ascii="Arial" w:hAnsi="Arial" w:cs="Arial"/>
              </w:rPr>
              <w:t>.</w:t>
            </w:r>
          </w:p>
        </w:tc>
      </w:tr>
      <w:tr w:rsidR="00226FA7" w:rsidRPr="004C23F4" w14:paraId="3FEA6F46" w14:textId="77777777" w:rsidTr="000B401E">
        <w:trPr>
          <w:cantSplit/>
        </w:trPr>
        <w:tc>
          <w:tcPr>
            <w:tcW w:w="1483" w:type="dxa"/>
          </w:tcPr>
          <w:p w14:paraId="50931FE9" w14:textId="77777777" w:rsidR="004966BF" w:rsidRPr="004C23F4" w:rsidRDefault="004966BF" w:rsidP="00224EE2">
            <w:pPr>
              <w:pStyle w:val="Tablefont"/>
            </w:pPr>
            <w:r>
              <w:t>IARC</w:t>
            </w:r>
          </w:p>
        </w:tc>
        <w:tc>
          <w:tcPr>
            <w:tcW w:w="421" w:type="dxa"/>
          </w:tcPr>
          <w:p w14:paraId="373C1E7D" w14:textId="77777777" w:rsidR="004966BF" w:rsidRPr="00CE617F" w:rsidRDefault="008E5A9B"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573EA0">
                  <w:rPr>
                    <w:rStyle w:val="checkbox"/>
                  </w:rPr>
                  <w:t></w:t>
                </w:r>
              </w:sdtContent>
            </w:sdt>
          </w:p>
        </w:tc>
        <w:tc>
          <w:tcPr>
            <w:tcW w:w="717" w:type="dxa"/>
          </w:tcPr>
          <w:p w14:paraId="186A6A05" w14:textId="77777777" w:rsidR="004966BF" w:rsidRPr="00D5454A" w:rsidRDefault="00D5454A" w:rsidP="00717D45">
            <w:pPr>
              <w:pStyle w:val="Tablefont"/>
              <w:rPr>
                <w:rStyle w:val="checkbox"/>
                <w:rFonts w:ascii="Arial" w:hAnsi="Arial" w:cs="Arial"/>
              </w:rPr>
            </w:pPr>
            <w:r w:rsidRPr="00D5454A">
              <w:rPr>
                <w:rStyle w:val="checkbox"/>
                <w:rFonts w:ascii="Arial" w:hAnsi="Arial" w:cs="Arial"/>
              </w:rPr>
              <w:t>1989</w:t>
            </w:r>
          </w:p>
        </w:tc>
        <w:tc>
          <w:tcPr>
            <w:tcW w:w="6405" w:type="dxa"/>
          </w:tcPr>
          <w:p w14:paraId="4571F5AB" w14:textId="77777777" w:rsidR="00573EA0" w:rsidRPr="00422996" w:rsidRDefault="00573EA0" w:rsidP="00122A46">
            <w:pPr>
              <w:pStyle w:val="ListBullet"/>
              <w:rPr>
                <w:rStyle w:val="checkbox"/>
                <w:rFonts w:ascii="Arial" w:hAnsi="Arial" w:cs="Arial"/>
              </w:rPr>
            </w:pPr>
            <w:r w:rsidRPr="00422996">
              <w:t xml:space="preserve">Sufficient evidence for the carcinogenicity of </w:t>
            </w:r>
            <w:r w:rsidRPr="00422996">
              <w:rPr>
                <w:rStyle w:val="checkbox"/>
                <w:rFonts w:ascii="Arial" w:hAnsi="Arial" w:cs="Arial"/>
              </w:rPr>
              <w:t>Sb</w:t>
            </w:r>
            <w:r w:rsidRPr="00422996">
              <w:rPr>
                <w:rStyle w:val="checkbox"/>
                <w:rFonts w:ascii="Arial" w:hAnsi="Arial" w:cs="Arial"/>
                <w:vertAlign w:val="subscript"/>
              </w:rPr>
              <w:t>2</w:t>
            </w:r>
            <w:r w:rsidRPr="00422996">
              <w:rPr>
                <w:rStyle w:val="checkbox"/>
                <w:rFonts w:ascii="Arial" w:hAnsi="Arial" w:cs="Arial"/>
              </w:rPr>
              <w:t>O</w:t>
            </w:r>
            <w:r w:rsidRPr="00422996">
              <w:rPr>
                <w:rStyle w:val="checkbox"/>
                <w:rFonts w:ascii="Arial" w:hAnsi="Arial" w:cs="Arial"/>
                <w:vertAlign w:val="subscript"/>
              </w:rPr>
              <w:t>3</w:t>
            </w:r>
            <w:r w:rsidRPr="00422996">
              <w:t xml:space="preserve"> in experimental animals</w:t>
            </w:r>
            <w:r w:rsidR="006E0A40">
              <w:t>.</w:t>
            </w:r>
          </w:p>
        </w:tc>
      </w:tr>
      <w:tr w:rsidR="00226FA7" w:rsidRPr="004C23F4" w14:paraId="269FAD58" w14:textId="77777777" w:rsidTr="000B401E">
        <w:trPr>
          <w:cantSplit/>
        </w:trPr>
        <w:tc>
          <w:tcPr>
            <w:tcW w:w="1483" w:type="dxa"/>
          </w:tcPr>
          <w:p w14:paraId="1FBB9537" w14:textId="77777777" w:rsidR="004966BF" w:rsidRPr="00F27CFC" w:rsidRDefault="004966BF" w:rsidP="00224EE2">
            <w:pPr>
              <w:pStyle w:val="Tablefont"/>
            </w:pPr>
            <w:r w:rsidRPr="00F27CFC">
              <w:t>NTP</w:t>
            </w:r>
          </w:p>
        </w:tc>
        <w:tc>
          <w:tcPr>
            <w:tcW w:w="421" w:type="dxa"/>
          </w:tcPr>
          <w:p w14:paraId="7A582F13" w14:textId="77777777" w:rsidR="004966BF" w:rsidRPr="00F27CFC" w:rsidRDefault="008E5A9B" w:rsidP="00AB43C4">
            <w:pPr>
              <w:spacing w:before="40"/>
              <w:jc w:val="center"/>
              <w:rPr>
                <w:rStyle w:val="checkbox"/>
              </w:rPr>
            </w:pPr>
            <w:sdt>
              <w:sdtPr>
                <w:rPr>
                  <w:rStyle w:val="checkbox"/>
                </w:rPr>
                <w:id w:val="1954586092"/>
                <w:placeholder>
                  <w:docPart w:val="0599BE4318CD4CC0836196E577CC2921"/>
                </w:placeholder>
                <w:dropDownList>
                  <w:listItem w:displayText="" w:value=""/>
                  <w:listItem w:displayText="" w:value=""/>
                  <w:listItem w:displayText="" w:value=""/>
                </w:dropDownList>
              </w:sdtPr>
              <w:sdtEndPr>
                <w:rPr>
                  <w:rStyle w:val="checkbox"/>
                </w:rPr>
              </w:sdtEndPr>
              <w:sdtContent>
                <w:r w:rsidR="00D525DB" w:rsidRPr="00F27CFC">
                  <w:rPr>
                    <w:rStyle w:val="checkbox"/>
                  </w:rPr>
                  <w:t></w:t>
                </w:r>
              </w:sdtContent>
            </w:sdt>
          </w:p>
        </w:tc>
        <w:tc>
          <w:tcPr>
            <w:tcW w:w="717" w:type="dxa"/>
          </w:tcPr>
          <w:p w14:paraId="2412F2C6" w14:textId="77777777" w:rsidR="004966BF" w:rsidRPr="00F27CFC" w:rsidRDefault="00D5454A" w:rsidP="00717D45">
            <w:pPr>
              <w:pStyle w:val="Tablefont"/>
              <w:rPr>
                <w:rStyle w:val="checkbox"/>
                <w:rFonts w:ascii="Arial" w:hAnsi="Arial" w:cs="Arial"/>
              </w:rPr>
            </w:pPr>
            <w:r w:rsidRPr="00F27CFC">
              <w:rPr>
                <w:rStyle w:val="checkbox"/>
                <w:rFonts w:ascii="Arial" w:hAnsi="Arial" w:cs="Arial"/>
              </w:rPr>
              <w:t>2018</w:t>
            </w:r>
          </w:p>
        </w:tc>
        <w:tc>
          <w:tcPr>
            <w:tcW w:w="6405" w:type="dxa"/>
          </w:tcPr>
          <w:p w14:paraId="05F86DF9" w14:textId="77777777" w:rsidR="004966BF" w:rsidRPr="00F27CFC" w:rsidRDefault="00D525DB" w:rsidP="00122A46">
            <w:pPr>
              <w:pStyle w:val="ListBullet"/>
              <w:rPr>
                <w:rStyle w:val="checkbox"/>
                <w:rFonts w:ascii="Arial" w:hAnsi="Arial" w:cs="Arial"/>
              </w:rPr>
            </w:pPr>
            <w:r w:rsidRPr="00F27CFC">
              <w:t xml:space="preserve">Available human studies </w:t>
            </w:r>
            <w:r w:rsidR="001234D2" w:rsidRPr="00F27CFC">
              <w:t xml:space="preserve">frequently </w:t>
            </w:r>
            <w:r w:rsidRPr="00F27CFC">
              <w:t xml:space="preserve">do not provide information on the antimony species to which </w:t>
            </w:r>
            <w:r w:rsidR="00A4667B" w:rsidRPr="00F27CFC">
              <w:t>subjects</w:t>
            </w:r>
            <w:r w:rsidRPr="00F27CFC">
              <w:t xml:space="preserve"> were exposed</w:t>
            </w:r>
            <w:r w:rsidR="001234D2" w:rsidRPr="00F27CFC">
              <w:t>.</w:t>
            </w:r>
          </w:p>
        </w:tc>
      </w:tr>
      <w:tr w:rsidR="00226FA7" w:rsidRPr="004C23F4" w14:paraId="67D6ED69" w14:textId="77777777" w:rsidTr="000B401E">
        <w:trPr>
          <w:cantSplit/>
        </w:trPr>
        <w:tc>
          <w:tcPr>
            <w:tcW w:w="1483" w:type="dxa"/>
          </w:tcPr>
          <w:p w14:paraId="56C9D22C" w14:textId="77777777" w:rsidR="004966BF" w:rsidRPr="004C23F4" w:rsidRDefault="004966BF" w:rsidP="00224EE2">
            <w:pPr>
              <w:pStyle w:val="Tablefont"/>
            </w:pPr>
            <w:r>
              <w:t>US EPA</w:t>
            </w:r>
          </w:p>
        </w:tc>
        <w:tc>
          <w:tcPr>
            <w:tcW w:w="421" w:type="dxa"/>
          </w:tcPr>
          <w:p w14:paraId="1790CD96" w14:textId="77777777" w:rsidR="004966BF" w:rsidRPr="00CE617F" w:rsidRDefault="008E5A9B"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EndPr>
                <w:rPr>
                  <w:rStyle w:val="checkbox"/>
                </w:rPr>
              </w:sdtEndPr>
              <w:sdtContent>
                <w:r w:rsidR="00AD7F71">
                  <w:rPr>
                    <w:rStyle w:val="checkbox"/>
                  </w:rPr>
                  <w:t></w:t>
                </w:r>
              </w:sdtContent>
            </w:sdt>
          </w:p>
        </w:tc>
        <w:tc>
          <w:tcPr>
            <w:tcW w:w="717" w:type="dxa"/>
          </w:tcPr>
          <w:p w14:paraId="292BA0AD" w14:textId="77777777" w:rsidR="004966BF" w:rsidRPr="00F27CFC" w:rsidRDefault="00170607" w:rsidP="00717D45">
            <w:pPr>
              <w:pStyle w:val="Tablefont"/>
              <w:rPr>
                <w:rStyle w:val="checkbox"/>
                <w:rFonts w:ascii="Arial" w:hAnsi="Arial" w:cs="Arial"/>
              </w:rPr>
            </w:pPr>
            <w:r w:rsidRPr="00F27CFC">
              <w:rPr>
                <w:rStyle w:val="checkbox"/>
                <w:rFonts w:ascii="Arial" w:hAnsi="Arial" w:cs="Arial"/>
              </w:rPr>
              <w:t>1987</w:t>
            </w:r>
          </w:p>
        </w:tc>
        <w:tc>
          <w:tcPr>
            <w:tcW w:w="6405" w:type="dxa"/>
          </w:tcPr>
          <w:p w14:paraId="09BFD4A2" w14:textId="542CB0C3" w:rsidR="004966BF" w:rsidRPr="00F27CFC" w:rsidRDefault="00E26567" w:rsidP="00122A46">
            <w:pPr>
              <w:pStyle w:val="ListBullet"/>
              <w:rPr>
                <w:rStyle w:val="checkbox"/>
                <w:rFonts w:ascii="Arial" w:hAnsi="Arial" w:cs="Arial"/>
              </w:rPr>
            </w:pPr>
            <w:r w:rsidRPr="00F27CFC">
              <w:rPr>
                <w:rStyle w:val="checkbox"/>
                <w:rFonts w:ascii="Arial" w:hAnsi="Arial" w:cs="Arial"/>
              </w:rPr>
              <w:t>NOAEL of 0.51 mg/m</w:t>
            </w:r>
            <w:r w:rsidRPr="00F27CFC">
              <w:rPr>
                <w:rStyle w:val="checkbox"/>
                <w:rFonts w:ascii="Arial" w:hAnsi="Arial" w:cs="Arial"/>
                <w:vertAlign w:val="superscript"/>
              </w:rPr>
              <w:t>3</w:t>
            </w:r>
            <w:r w:rsidRPr="00F27CFC">
              <w:rPr>
                <w:rStyle w:val="checkbox"/>
                <w:rFonts w:ascii="Arial" w:hAnsi="Arial" w:cs="Arial"/>
              </w:rPr>
              <w:t xml:space="preserve"> measured by rate of lung clearance and </w:t>
            </w:r>
            <w:r w:rsidR="00F27CFC" w:rsidRPr="00F27CFC">
              <w:rPr>
                <w:rStyle w:val="checkbox"/>
                <w:rFonts w:ascii="Arial" w:hAnsi="Arial" w:cs="Arial"/>
              </w:rPr>
              <w:t>interstitial lesions</w:t>
            </w:r>
            <w:r w:rsidRPr="00F27CFC">
              <w:rPr>
                <w:rStyle w:val="checkbox"/>
                <w:rFonts w:ascii="Arial" w:hAnsi="Arial" w:cs="Arial"/>
              </w:rPr>
              <w:t xml:space="preserve"> </w:t>
            </w:r>
            <w:r w:rsidR="00F27CFC" w:rsidRPr="00F27CFC">
              <w:rPr>
                <w:rStyle w:val="checkbox"/>
                <w:rFonts w:ascii="Arial" w:hAnsi="Arial" w:cs="Arial"/>
              </w:rPr>
              <w:t>in chamber</w:t>
            </w:r>
            <w:r w:rsidRPr="00F27CFC">
              <w:rPr>
                <w:rStyle w:val="checkbox"/>
                <w:rFonts w:ascii="Arial" w:hAnsi="Arial" w:cs="Arial"/>
              </w:rPr>
              <w:t xml:space="preserve"> study (rats, </w:t>
            </w:r>
            <w:r w:rsidR="00F27CFC" w:rsidRPr="00F27CFC">
              <w:rPr>
                <w:rStyle w:val="checkbox"/>
                <w:rFonts w:ascii="Arial" w:hAnsi="Arial" w:cs="Arial"/>
              </w:rPr>
              <w:t>6 h/d, 5d/</w:t>
            </w:r>
            <w:proofErr w:type="spellStart"/>
            <w:r w:rsidR="00F27CFC" w:rsidRPr="00F27CFC">
              <w:rPr>
                <w:rStyle w:val="checkbox"/>
                <w:rFonts w:ascii="Arial" w:hAnsi="Arial" w:cs="Arial"/>
              </w:rPr>
              <w:t>wk</w:t>
            </w:r>
            <w:proofErr w:type="spellEnd"/>
            <w:r w:rsidR="00F27CFC" w:rsidRPr="00F27CFC">
              <w:rPr>
                <w:rStyle w:val="checkbox"/>
                <w:rFonts w:ascii="Arial" w:hAnsi="Arial" w:cs="Arial"/>
              </w:rPr>
              <w:t xml:space="preserve">, 1 </w:t>
            </w:r>
            <w:proofErr w:type="spellStart"/>
            <w:r w:rsidR="00F27CFC" w:rsidRPr="00F27CFC">
              <w:rPr>
                <w:rStyle w:val="checkbox"/>
                <w:rFonts w:ascii="Arial" w:hAnsi="Arial" w:cs="Arial"/>
              </w:rPr>
              <w:t>yr</w:t>
            </w:r>
            <w:proofErr w:type="spellEnd"/>
            <w:r w:rsidR="00F27CFC" w:rsidRPr="00F27CFC">
              <w:rPr>
                <w:rStyle w:val="checkbox"/>
                <w:rFonts w:ascii="Arial" w:hAnsi="Arial" w:cs="Arial"/>
              </w:rPr>
              <w:t>)</w:t>
            </w:r>
            <w:r w:rsidR="006E0A40">
              <w:rPr>
                <w:rStyle w:val="checkbox"/>
                <w:rFonts w:ascii="Arial" w:hAnsi="Arial" w:cs="Arial"/>
              </w:rPr>
              <w:t>;</w:t>
            </w:r>
            <w:r w:rsidR="00F27CFC" w:rsidRPr="00F27CFC">
              <w:rPr>
                <w:rStyle w:val="checkbox"/>
                <w:rFonts w:ascii="Arial" w:hAnsi="Arial" w:cs="Arial"/>
              </w:rPr>
              <w:t xml:space="preserve"> </w:t>
            </w:r>
            <w:r w:rsidR="0087428F">
              <w:rPr>
                <w:rStyle w:val="checkbox"/>
                <w:rFonts w:ascii="Arial" w:hAnsi="Arial" w:cs="Arial"/>
              </w:rPr>
              <w:t>h</w:t>
            </w:r>
            <w:r w:rsidR="00F27CFC" w:rsidRPr="00F27CFC">
              <w:rPr>
                <w:rStyle w:val="checkbox"/>
                <w:rFonts w:ascii="Arial" w:hAnsi="Arial" w:cs="Arial"/>
              </w:rPr>
              <w:t>uman equivalent concentration of 0.051 mg/m</w:t>
            </w:r>
            <w:r w:rsidR="00F27CFC" w:rsidRPr="00F27CFC">
              <w:rPr>
                <w:rStyle w:val="checkbox"/>
                <w:rFonts w:ascii="Arial" w:hAnsi="Arial" w:cs="Arial"/>
                <w:vertAlign w:val="superscript"/>
              </w:rPr>
              <w:t>3</w:t>
            </w:r>
          </w:p>
          <w:p w14:paraId="1F4CFEC7" w14:textId="77777777" w:rsidR="00F27CFC" w:rsidRPr="00F27CFC" w:rsidRDefault="00F27CFC" w:rsidP="00122A46">
            <w:pPr>
              <w:pStyle w:val="ListBullet"/>
              <w:rPr>
                <w:rStyle w:val="checkbox"/>
                <w:rFonts w:ascii="Arial" w:hAnsi="Arial" w:cs="Arial"/>
              </w:rPr>
            </w:pPr>
            <w:r w:rsidRPr="00F27CFC">
              <w:rPr>
                <w:rStyle w:val="checkbox"/>
                <w:rFonts w:ascii="Arial" w:hAnsi="Arial" w:cs="Arial"/>
              </w:rPr>
              <w:t>Antimony accumulates in the lung but not in other tissues; no difference in antimony levels in liver or kidney in deceased smelter workers compared with non-exposed group.</w:t>
            </w:r>
          </w:p>
        </w:tc>
      </w:tr>
      <w:tr w:rsidR="00226FA7" w:rsidRPr="004C23F4" w14:paraId="3D1C9F60" w14:textId="77777777" w:rsidTr="000B401E">
        <w:trPr>
          <w:cantSplit/>
        </w:trPr>
        <w:tc>
          <w:tcPr>
            <w:tcW w:w="1483" w:type="dxa"/>
          </w:tcPr>
          <w:p w14:paraId="3B5EBC2C" w14:textId="77777777" w:rsidR="004966BF" w:rsidRPr="004C23F4" w:rsidRDefault="004966BF" w:rsidP="00224EE2">
            <w:pPr>
              <w:pStyle w:val="Tablefont"/>
            </w:pPr>
            <w:r>
              <w:t>ECHA</w:t>
            </w:r>
          </w:p>
        </w:tc>
        <w:tc>
          <w:tcPr>
            <w:tcW w:w="421" w:type="dxa"/>
          </w:tcPr>
          <w:p w14:paraId="3C65B475" w14:textId="77777777" w:rsidR="004966BF" w:rsidRPr="00CE617F" w:rsidRDefault="008E5A9B" w:rsidP="00AB43C4">
            <w:pPr>
              <w:spacing w:before="40"/>
              <w:jc w:val="center"/>
              <w:rPr>
                <w:rStyle w:val="checkbox"/>
              </w:rPr>
            </w:pPr>
            <w:sdt>
              <w:sdtPr>
                <w:rPr>
                  <w:rStyle w:val="checkbox"/>
                </w:rPr>
                <w:id w:val="-2066787458"/>
                <w:placeholder>
                  <w:docPart w:val="EA32968BF93744FAABC5FC124DBE04BD"/>
                </w:placeholder>
                <w:dropDownList>
                  <w:listItem w:displayText="" w:value=""/>
                  <w:listItem w:displayText="" w:value=""/>
                  <w:listItem w:displayText="" w:value=""/>
                </w:dropDownList>
              </w:sdtPr>
              <w:sdtEndPr>
                <w:rPr>
                  <w:rStyle w:val="checkbox"/>
                </w:rPr>
              </w:sdtEndPr>
              <w:sdtContent>
                <w:r w:rsidR="00170607">
                  <w:rPr>
                    <w:rStyle w:val="checkbox"/>
                  </w:rPr>
                  <w:t></w:t>
                </w:r>
              </w:sdtContent>
            </w:sdt>
          </w:p>
        </w:tc>
        <w:tc>
          <w:tcPr>
            <w:tcW w:w="717" w:type="dxa"/>
          </w:tcPr>
          <w:p w14:paraId="24C8C97E" w14:textId="77777777" w:rsidR="004966BF" w:rsidRPr="00F27CFC" w:rsidRDefault="00170607" w:rsidP="00717D45">
            <w:pPr>
              <w:pStyle w:val="Tablefont"/>
              <w:rPr>
                <w:rStyle w:val="checkbox"/>
                <w:rFonts w:ascii="Arial" w:hAnsi="Arial" w:cs="Arial"/>
              </w:rPr>
            </w:pPr>
            <w:r w:rsidRPr="00F27CFC">
              <w:rPr>
                <w:rStyle w:val="checkbox"/>
                <w:rFonts w:ascii="Arial" w:hAnsi="Arial" w:cs="Arial"/>
              </w:rPr>
              <w:t>2009</w:t>
            </w:r>
          </w:p>
        </w:tc>
        <w:tc>
          <w:tcPr>
            <w:tcW w:w="6405" w:type="dxa"/>
          </w:tcPr>
          <w:p w14:paraId="45E6AA35" w14:textId="77777777" w:rsidR="004966BF" w:rsidRPr="00F27CFC" w:rsidRDefault="00226FA7" w:rsidP="00122A46">
            <w:pPr>
              <w:pStyle w:val="ListBullet"/>
              <w:rPr>
                <w:rStyle w:val="checkbox"/>
                <w:rFonts w:ascii="Arial" w:hAnsi="Arial"/>
              </w:rPr>
            </w:pPr>
            <w:r w:rsidRPr="00F27CFC">
              <w:t>A</w:t>
            </w:r>
            <w:r w:rsidR="00170607" w:rsidRPr="00F27CFC">
              <w:t xml:space="preserve">ntimony related dermatosis </w:t>
            </w:r>
            <w:proofErr w:type="gramStart"/>
            <w:r w:rsidR="00170607" w:rsidRPr="00F27CFC">
              <w:t>may</w:t>
            </w:r>
            <w:proofErr w:type="gramEnd"/>
            <w:r w:rsidR="00170607" w:rsidRPr="00F27CFC">
              <w:t xml:space="preserve"> occur in humans exposed to</w:t>
            </w:r>
            <w:r w:rsidRPr="00F27CFC">
              <w:t xml:space="preserve"> </w:t>
            </w:r>
            <w:r w:rsidR="00170607" w:rsidRPr="00F27CFC">
              <w:t>antimony trioxide at high temperatures.</w:t>
            </w:r>
          </w:p>
        </w:tc>
      </w:tr>
      <w:tr w:rsidR="00226FA7" w:rsidRPr="004C23F4" w14:paraId="682FF965" w14:textId="77777777" w:rsidTr="000B401E">
        <w:trPr>
          <w:cantSplit/>
        </w:trPr>
        <w:tc>
          <w:tcPr>
            <w:tcW w:w="1483" w:type="dxa"/>
          </w:tcPr>
          <w:p w14:paraId="0E1B03D7" w14:textId="77777777" w:rsidR="004966BF" w:rsidRDefault="004966BF" w:rsidP="00224EE2">
            <w:pPr>
              <w:pStyle w:val="Tablefont"/>
            </w:pPr>
            <w:r>
              <w:t>US NIOSH</w:t>
            </w:r>
          </w:p>
        </w:tc>
        <w:tc>
          <w:tcPr>
            <w:tcW w:w="421" w:type="dxa"/>
          </w:tcPr>
          <w:p w14:paraId="3D6EFA0A" w14:textId="77777777" w:rsidR="004966BF" w:rsidRDefault="008E5A9B"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F27CFC">
                  <w:rPr>
                    <w:rStyle w:val="checkbox"/>
                  </w:rPr>
                  <w:t></w:t>
                </w:r>
              </w:sdtContent>
            </w:sdt>
          </w:p>
        </w:tc>
        <w:tc>
          <w:tcPr>
            <w:tcW w:w="717" w:type="dxa"/>
          </w:tcPr>
          <w:p w14:paraId="657B2E8B" w14:textId="77777777" w:rsidR="004966BF" w:rsidRPr="004C23F4" w:rsidRDefault="00F27CFC" w:rsidP="00717D45">
            <w:pPr>
              <w:pStyle w:val="Tablefont"/>
              <w:rPr>
                <w:rStyle w:val="checkbox"/>
                <w:rFonts w:ascii="Arial" w:hAnsi="Arial" w:cs="Arial"/>
              </w:rPr>
            </w:pPr>
            <w:r>
              <w:rPr>
                <w:rStyle w:val="checkbox"/>
                <w:rFonts w:ascii="Arial" w:hAnsi="Arial" w:cs="Arial"/>
              </w:rPr>
              <w:t>1994</w:t>
            </w:r>
          </w:p>
        </w:tc>
        <w:tc>
          <w:tcPr>
            <w:tcW w:w="6405" w:type="dxa"/>
          </w:tcPr>
          <w:p w14:paraId="41B56D54" w14:textId="77777777" w:rsidR="004966BF" w:rsidRPr="00F27CFC" w:rsidRDefault="00F27CFC" w:rsidP="00122A46">
            <w:pPr>
              <w:pStyle w:val="ListBullet"/>
              <w:rPr>
                <w:rStyle w:val="checkbox"/>
                <w:rFonts w:ascii="Arial" w:hAnsi="Arial" w:cs="Arial"/>
              </w:rPr>
            </w:pPr>
            <w:r>
              <w:rPr>
                <w:rStyle w:val="checkbox"/>
                <w:rFonts w:ascii="Arial" w:hAnsi="Arial" w:cs="Arial"/>
              </w:rPr>
              <w:t>IDLH value based on the critical effects of SbCl</w:t>
            </w:r>
            <w:r>
              <w:rPr>
                <w:rStyle w:val="checkbox"/>
                <w:rFonts w:ascii="Arial" w:hAnsi="Arial" w:cs="Arial"/>
                <w:vertAlign w:val="subscript"/>
              </w:rPr>
              <w:t>5</w:t>
            </w:r>
            <w:r>
              <w:rPr>
                <w:rStyle w:val="checkbox"/>
                <w:rFonts w:ascii="Arial" w:hAnsi="Arial" w:cs="Arial"/>
              </w:rPr>
              <w:t>, no recommendation given for Sb</w:t>
            </w:r>
            <w:r>
              <w:rPr>
                <w:rStyle w:val="checkbox"/>
                <w:rFonts w:ascii="Arial" w:hAnsi="Arial" w:cs="Arial"/>
                <w:vertAlign w:val="subscript"/>
              </w:rPr>
              <w:t>2</w:t>
            </w:r>
            <w:r>
              <w:rPr>
                <w:rStyle w:val="checkbox"/>
                <w:rFonts w:ascii="Arial" w:hAnsi="Arial" w:cs="Arial"/>
              </w:rPr>
              <w:t>O</w:t>
            </w:r>
            <w:r>
              <w:rPr>
                <w:rStyle w:val="checkbox"/>
                <w:rFonts w:ascii="Arial" w:hAnsi="Arial" w:cs="Arial"/>
                <w:vertAlign w:val="subscript"/>
              </w:rPr>
              <w:t>3</w:t>
            </w:r>
            <w:r>
              <w:rPr>
                <w:rStyle w:val="checkbox"/>
                <w:rFonts w:ascii="Arial" w:hAnsi="Arial" w:cs="Arial"/>
              </w:rPr>
              <w:t>.</w:t>
            </w:r>
          </w:p>
        </w:tc>
      </w:tr>
    </w:tbl>
    <w:bookmarkEnd w:id="2"/>
    <w:p w14:paraId="137F7548"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605C5D65" w14:textId="77777777" w:rsidTr="00A33F1E">
        <w:trPr>
          <w:trHeight w:val="454"/>
          <w:tblHeader/>
        </w:trPr>
        <w:tc>
          <w:tcPr>
            <w:tcW w:w="6597" w:type="dxa"/>
            <w:vAlign w:val="center"/>
          </w:tcPr>
          <w:p w14:paraId="1BC2F99D" w14:textId="77777777" w:rsidR="002E0D61" w:rsidRDefault="00B1422A" w:rsidP="00C3091E">
            <w:pPr>
              <w:pStyle w:val="Tablefont"/>
              <w:keepNext/>
              <w:keepLines/>
              <w:spacing w:before="40" w:after="40"/>
            </w:pPr>
            <w:bookmarkStart w:id="3"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21EEC731" w14:textId="77777777" w:rsidR="002E0D61" w:rsidRPr="00366C38" w:rsidRDefault="00CE69C9" w:rsidP="00C3091E">
                <w:pPr>
                  <w:pStyle w:val="Tablefont"/>
                  <w:keepNext/>
                  <w:keepLines/>
                  <w:spacing w:before="40" w:after="40"/>
                </w:pPr>
                <w:r w:rsidRPr="00366C38">
                  <w:t>Yes</w:t>
                </w:r>
              </w:p>
            </w:tc>
          </w:sdtContent>
        </w:sdt>
      </w:tr>
      <w:tr w:rsidR="008A36CF" w14:paraId="05392641" w14:textId="77777777" w:rsidTr="00A33F1E">
        <w:trPr>
          <w:trHeight w:val="454"/>
        </w:trPr>
        <w:tc>
          <w:tcPr>
            <w:tcW w:w="6597" w:type="dxa"/>
            <w:vAlign w:val="center"/>
          </w:tcPr>
          <w:p w14:paraId="5277C72E"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5821013B" w14:textId="77777777" w:rsidR="008A36CF" w:rsidRPr="00366C38" w:rsidRDefault="000B401E" w:rsidP="008A36CF">
                <w:pPr>
                  <w:pStyle w:val="Tablefont"/>
                  <w:keepNext/>
                  <w:keepLines/>
                  <w:spacing w:before="40" w:after="40"/>
                </w:pPr>
                <w:r w:rsidRPr="00366C38">
                  <w:t>Insufficient data</w:t>
                </w:r>
              </w:p>
            </w:tc>
          </w:sdtContent>
        </w:sdt>
      </w:tr>
      <w:tr w:rsidR="006E0A40" w14:paraId="6B68CCD8" w14:textId="77777777" w:rsidTr="009F5324">
        <w:trPr>
          <w:trHeight w:val="454"/>
        </w:trPr>
        <w:sdt>
          <w:sdtPr>
            <w:rPr>
              <w:b/>
            </w:rPr>
            <w:id w:val="1830936485"/>
            <w:placeholder>
              <w:docPart w:val="EF57FD4EA0954385A41D1D1FAA701F5F"/>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7C7D3BB7" w14:textId="77777777" w:rsidR="006E0A40" w:rsidRDefault="006E0A40" w:rsidP="008A36CF">
                <w:pPr>
                  <w:pStyle w:val="Tablefont"/>
                  <w:keepNext/>
                  <w:keepLines/>
                  <w:spacing w:before="40" w:after="40"/>
                </w:pPr>
                <w:r>
                  <w:rPr>
                    <w:b/>
                  </w:rPr>
                  <w:t>Insufficient data are available to determine if the chemical is a non-threshold based genotoxic carcinogen.</w:t>
                </w:r>
              </w:p>
            </w:tc>
          </w:sdtContent>
        </w:sdt>
      </w:tr>
    </w:tbl>
    <w:bookmarkEnd w:id="3"/>
    <w:p w14:paraId="2E8773EE"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notations"/>
      </w:tblPr>
      <w:tblGrid>
        <w:gridCol w:w="1556"/>
        <w:gridCol w:w="1980"/>
        <w:gridCol w:w="5490"/>
      </w:tblGrid>
      <w:tr w:rsidR="000F42C4" w:rsidRPr="004C23F4" w14:paraId="198B421E" w14:textId="77777777" w:rsidTr="006E0A40">
        <w:trPr>
          <w:cantSplit/>
          <w:tblHeader/>
        </w:trPr>
        <w:tc>
          <w:tcPr>
            <w:tcW w:w="862" w:type="pct"/>
            <w:shd w:val="clear" w:color="auto" w:fill="BFBFBF" w:themeFill="background1" w:themeFillShade="BF"/>
            <w:vAlign w:val="center"/>
          </w:tcPr>
          <w:p w14:paraId="1D7735DF" w14:textId="77777777" w:rsidR="000F42C4" w:rsidRPr="004C23F4" w:rsidRDefault="000F42C4" w:rsidP="00263255">
            <w:pPr>
              <w:pStyle w:val="Tableheader"/>
            </w:pPr>
            <w:bookmarkStart w:id="4" w:name="Notations"/>
            <w:r w:rsidRPr="004C23F4">
              <w:t>Source</w:t>
            </w:r>
          </w:p>
        </w:tc>
        <w:tc>
          <w:tcPr>
            <w:tcW w:w="1097" w:type="pct"/>
            <w:shd w:val="clear" w:color="auto" w:fill="BFBFBF" w:themeFill="background1" w:themeFillShade="BF"/>
          </w:tcPr>
          <w:p w14:paraId="015A7FA3" w14:textId="77777777" w:rsidR="000F42C4" w:rsidRPr="004C23F4" w:rsidRDefault="000F42C4" w:rsidP="000B401E">
            <w:pPr>
              <w:pStyle w:val="Tableheader"/>
              <w:tabs>
                <w:tab w:val="right" w:pos="5272"/>
              </w:tabs>
            </w:pPr>
            <w:r w:rsidRPr="004C23F4">
              <w:t>Notations</w:t>
            </w:r>
          </w:p>
        </w:tc>
        <w:tc>
          <w:tcPr>
            <w:tcW w:w="3041" w:type="pct"/>
            <w:shd w:val="clear" w:color="auto" w:fill="BFBFBF" w:themeFill="background1" w:themeFillShade="BF"/>
            <w:vAlign w:val="center"/>
          </w:tcPr>
          <w:p w14:paraId="07DF389B" w14:textId="77777777" w:rsidR="000F42C4" w:rsidRPr="004C23F4" w:rsidRDefault="000F42C4" w:rsidP="00F4402E">
            <w:pPr>
              <w:pStyle w:val="Tableheader"/>
              <w:tabs>
                <w:tab w:val="right" w:pos="5272"/>
              </w:tabs>
            </w:pPr>
            <w:r>
              <w:tab/>
            </w:r>
          </w:p>
        </w:tc>
      </w:tr>
      <w:tr w:rsidR="004B7F5D" w:rsidRPr="004C23F4" w14:paraId="12B2C4CF" w14:textId="77777777" w:rsidTr="006E0A40">
        <w:trPr>
          <w:cantSplit/>
        </w:trPr>
        <w:tc>
          <w:tcPr>
            <w:tcW w:w="862" w:type="pct"/>
          </w:tcPr>
          <w:p w14:paraId="0E743388" w14:textId="77777777" w:rsidR="004B7F5D" w:rsidRPr="004C23F4" w:rsidRDefault="004B7F5D" w:rsidP="00F4402E">
            <w:pPr>
              <w:pStyle w:val="Tablefont"/>
            </w:pPr>
            <w:r w:rsidRPr="004C23F4">
              <w:t>SWA</w:t>
            </w:r>
          </w:p>
        </w:tc>
        <w:tc>
          <w:tcPr>
            <w:tcW w:w="4138" w:type="pct"/>
            <w:gridSpan w:val="2"/>
          </w:tcPr>
          <w:p w14:paraId="1AE9B433" w14:textId="77777777" w:rsidR="004B7F5D" w:rsidRPr="00CA6CB0" w:rsidRDefault="00122A46" w:rsidP="000F42C4">
            <w:proofErr w:type="spellStart"/>
            <w:r>
              <w:t>Carc</w:t>
            </w:r>
            <w:proofErr w:type="spellEnd"/>
            <w:r w:rsidR="004B7F5D" w:rsidRPr="00CA6CB0">
              <w:t xml:space="preserve">. 2 </w:t>
            </w:r>
          </w:p>
        </w:tc>
      </w:tr>
      <w:tr w:rsidR="004B7F5D" w:rsidRPr="004C23F4" w14:paraId="1AE57F8F" w14:textId="77777777" w:rsidTr="006E0A40">
        <w:trPr>
          <w:cantSplit/>
        </w:trPr>
        <w:tc>
          <w:tcPr>
            <w:tcW w:w="862" w:type="pct"/>
          </w:tcPr>
          <w:p w14:paraId="6F3504D6" w14:textId="77777777" w:rsidR="004B7F5D" w:rsidRPr="004C23F4" w:rsidRDefault="004B7F5D" w:rsidP="00F4402E">
            <w:pPr>
              <w:pStyle w:val="Tablefont"/>
            </w:pPr>
            <w:r>
              <w:t>HCIS</w:t>
            </w:r>
          </w:p>
        </w:tc>
        <w:tc>
          <w:tcPr>
            <w:tcW w:w="4138" w:type="pct"/>
            <w:gridSpan w:val="2"/>
          </w:tcPr>
          <w:p w14:paraId="600780CF" w14:textId="77777777" w:rsidR="004B7F5D" w:rsidRPr="00CA6CB0" w:rsidRDefault="006B6CA6" w:rsidP="00DD2F9B">
            <w:pPr>
              <w:pStyle w:val="Tablefont"/>
            </w:pPr>
            <w:r>
              <w:t>Carcinogenicity – category 2</w:t>
            </w:r>
          </w:p>
        </w:tc>
      </w:tr>
      <w:tr w:rsidR="004B7F5D" w:rsidRPr="004C23F4" w14:paraId="7385DEDE" w14:textId="77777777" w:rsidTr="006E0A40">
        <w:trPr>
          <w:cantSplit/>
        </w:trPr>
        <w:tc>
          <w:tcPr>
            <w:tcW w:w="862" w:type="pct"/>
          </w:tcPr>
          <w:p w14:paraId="715B5C2D" w14:textId="77777777" w:rsidR="004B7F5D" w:rsidRPr="004C23F4" w:rsidRDefault="004B7F5D" w:rsidP="00F4402E">
            <w:pPr>
              <w:pStyle w:val="Tablefont"/>
            </w:pPr>
            <w:r>
              <w:t>NICNAS</w:t>
            </w:r>
          </w:p>
        </w:tc>
        <w:tc>
          <w:tcPr>
            <w:tcW w:w="4138" w:type="pct"/>
            <w:gridSpan w:val="2"/>
          </w:tcPr>
          <w:p w14:paraId="58EC1246" w14:textId="77777777" w:rsidR="004B7F5D" w:rsidRPr="00CA6CB0" w:rsidRDefault="004B7F5D" w:rsidP="006B6CA6">
            <w:pPr>
              <w:pStyle w:val="Tablefont"/>
            </w:pPr>
            <w:proofErr w:type="spellStart"/>
            <w:r w:rsidRPr="00CA6CB0">
              <w:t>Carc</w:t>
            </w:r>
            <w:proofErr w:type="spellEnd"/>
            <w:r w:rsidRPr="00CA6CB0">
              <w:t xml:space="preserve">. Cat. 2 </w:t>
            </w:r>
          </w:p>
        </w:tc>
      </w:tr>
      <w:tr w:rsidR="004B7F5D" w:rsidRPr="004C23F4" w14:paraId="2E234347" w14:textId="77777777" w:rsidTr="006E0A40">
        <w:trPr>
          <w:cantSplit/>
        </w:trPr>
        <w:tc>
          <w:tcPr>
            <w:tcW w:w="862" w:type="pct"/>
          </w:tcPr>
          <w:p w14:paraId="71C3E9E0" w14:textId="77777777" w:rsidR="004B7F5D" w:rsidRPr="004C23F4" w:rsidRDefault="004B7F5D" w:rsidP="00980E17">
            <w:pPr>
              <w:pStyle w:val="Tablefont"/>
            </w:pPr>
            <w:r w:rsidRPr="004C23F4">
              <w:t>EU Annex</w:t>
            </w:r>
          </w:p>
        </w:tc>
        <w:tc>
          <w:tcPr>
            <w:tcW w:w="4138" w:type="pct"/>
            <w:gridSpan w:val="2"/>
          </w:tcPr>
          <w:p w14:paraId="03F020B4" w14:textId="77777777" w:rsidR="004B7F5D" w:rsidRPr="00CA6CB0" w:rsidRDefault="004B7F5D" w:rsidP="00980E17">
            <w:pPr>
              <w:pStyle w:val="Tablefont"/>
            </w:pPr>
            <w:r w:rsidRPr="00CA6CB0">
              <w:t xml:space="preserve">Carcinogenicity – category 2 </w:t>
            </w:r>
          </w:p>
        </w:tc>
      </w:tr>
      <w:tr w:rsidR="004B7F5D" w:rsidRPr="004C23F4" w14:paraId="6DBD11FB" w14:textId="77777777" w:rsidTr="006E0A40">
        <w:trPr>
          <w:cantSplit/>
        </w:trPr>
        <w:tc>
          <w:tcPr>
            <w:tcW w:w="862" w:type="pct"/>
          </w:tcPr>
          <w:p w14:paraId="19D8C2E0" w14:textId="77777777" w:rsidR="004B7F5D" w:rsidRDefault="004B7F5D" w:rsidP="00980E17">
            <w:pPr>
              <w:pStyle w:val="Tablefont"/>
            </w:pPr>
            <w:r>
              <w:t>ECHA</w:t>
            </w:r>
          </w:p>
        </w:tc>
        <w:tc>
          <w:tcPr>
            <w:tcW w:w="4138" w:type="pct"/>
            <w:gridSpan w:val="2"/>
          </w:tcPr>
          <w:p w14:paraId="2BB8DB2D" w14:textId="77777777" w:rsidR="004B7F5D" w:rsidRPr="00CA6CB0" w:rsidRDefault="004B7F5D" w:rsidP="00980E17">
            <w:r w:rsidRPr="00CA6CB0">
              <w:t xml:space="preserve">— </w:t>
            </w:r>
          </w:p>
        </w:tc>
      </w:tr>
      <w:tr w:rsidR="004B7F5D" w:rsidRPr="004C23F4" w14:paraId="28B2B607" w14:textId="77777777" w:rsidTr="006E0A40">
        <w:trPr>
          <w:cantSplit/>
        </w:trPr>
        <w:tc>
          <w:tcPr>
            <w:tcW w:w="862" w:type="pct"/>
          </w:tcPr>
          <w:p w14:paraId="0967B2B6" w14:textId="77777777" w:rsidR="004B7F5D" w:rsidRPr="004C23F4" w:rsidRDefault="004B7F5D" w:rsidP="00980E17">
            <w:pPr>
              <w:pStyle w:val="Tablefont"/>
            </w:pPr>
            <w:r>
              <w:t>ACGIH</w:t>
            </w:r>
          </w:p>
        </w:tc>
        <w:tc>
          <w:tcPr>
            <w:tcW w:w="4138" w:type="pct"/>
            <w:gridSpan w:val="2"/>
          </w:tcPr>
          <w:p w14:paraId="6A3FB294" w14:textId="77777777" w:rsidR="004B7F5D" w:rsidRPr="00CA6CB0" w:rsidRDefault="004B7F5D" w:rsidP="00980E17">
            <w:pPr>
              <w:pStyle w:val="Tablefont"/>
            </w:pPr>
            <w:r w:rsidRPr="00CA6CB0">
              <w:t>Carcinogenicity –</w:t>
            </w:r>
            <w:r w:rsidR="00122A46">
              <w:t xml:space="preserve"> A</w:t>
            </w:r>
            <w:r w:rsidRPr="00CA6CB0">
              <w:t xml:space="preserve">2 </w:t>
            </w:r>
          </w:p>
        </w:tc>
      </w:tr>
      <w:tr w:rsidR="004B7F5D" w:rsidRPr="004C23F4" w14:paraId="25C34798" w14:textId="77777777" w:rsidTr="006E0A40">
        <w:trPr>
          <w:cantSplit/>
        </w:trPr>
        <w:tc>
          <w:tcPr>
            <w:tcW w:w="862" w:type="pct"/>
          </w:tcPr>
          <w:p w14:paraId="6AFDF159" w14:textId="77777777" w:rsidR="004B7F5D" w:rsidRPr="004C23F4" w:rsidRDefault="004B7F5D" w:rsidP="00980E17">
            <w:pPr>
              <w:pStyle w:val="Tablefont"/>
            </w:pPr>
            <w:r>
              <w:t>DFG</w:t>
            </w:r>
          </w:p>
        </w:tc>
        <w:tc>
          <w:tcPr>
            <w:tcW w:w="4138" w:type="pct"/>
            <w:gridSpan w:val="2"/>
          </w:tcPr>
          <w:p w14:paraId="2B20D620" w14:textId="77777777" w:rsidR="004B7F5D" w:rsidRPr="00CA6CB0" w:rsidRDefault="004B7F5D" w:rsidP="00980E17">
            <w:pPr>
              <w:pStyle w:val="Tablefont"/>
            </w:pPr>
            <w:r w:rsidRPr="00CA6CB0">
              <w:t>Carcinogenicity –2</w:t>
            </w:r>
          </w:p>
        </w:tc>
      </w:tr>
      <w:tr w:rsidR="004B7F5D" w:rsidRPr="004C23F4" w14:paraId="7CE3997E" w14:textId="77777777" w:rsidTr="006E0A40">
        <w:trPr>
          <w:cantSplit/>
        </w:trPr>
        <w:tc>
          <w:tcPr>
            <w:tcW w:w="862" w:type="pct"/>
          </w:tcPr>
          <w:p w14:paraId="4F9E4E03" w14:textId="77777777" w:rsidR="004B7F5D" w:rsidRPr="004C23F4" w:rsidRDefault="004B7F5D" w:rsidP="00980E17">
            <w:pPr>
              <w:pStyle w:val="Tablefont"/>
            </w:pPr>
            <w:r>
              <w:t>SCOEL</w:t>
            </w:r>
          </w:p>
        </w:tc>
        <w:tc>
          <w:tcPr>
            <w:tcW w:w="4138" w:type="pct"/>
            <w:gridSpan w:val="2"/>
          </w:tcPr>
          <w:p w14:paraId="0723A0FC" w14:textId="77777777" w:rsidR="004B7F5D" w:rsidRPr="00CA6CB0" w:rsidRDefault="004B7F5D" w:rsidP="00980E17">
            <w:pPr>
              <w:pStyle w:val="Tablefont"/>
            </w:pPr>
            <w:r w:rsidRPr="00CA6CB0">
              <w:t>NA</w:t>
            </w:r>
          </w:p>
        </w:tc>
      </w:tr>
      <w:tr w:rsidR="004B7F5D" w:rsidRPr="004C23F4" w14:paraId="43671548" w14:textId="77777777" w:rsidTr="006E0A40">
        <w:trPr>
          <w:cantSplit/>
        </w:trPr>
        <w:tc>
          <w:tcPr>
            <w:tcW w:w="862" w:type="pct"/>
          </w:tcPr>
          <w:p w14:paraId="42846E95" w14:textId="77777777" w:rsidR="004B7F5D" w:rsidRDefault="004B7F5D" w:rsidP="00980E17">
            <w:pPr>
              <w:pStyle w:val="Tablefont"/>
            </w:pPr>
            <w:r>
              <w:t>HCOTN</w:t>
            </w:r>
          </w:p>
        </w:tc>
        <w:tc>
          <w:tcPr>
            <w:tcW w:w="4138" w:type="pct"/>
            <w:gridSpan w:val="2"/>
          </w:tcPr>
          <w:p w14:paraId="6D93350D" w14:textId="77777777" w:rsidR="004B7F5D" w:rsidRPr="00CA6CB0" w:rsidRDefault="004B7F5D" w:rsidP="00980E17">
            <w:pPr>
              <w:pStyle w:val="Tablefont"/>
            </w:pPr>
            <w:r w:rsidRPr="00CA6CB0">
              <w:t xml:space="preserve">Carcinogenicity – category 2 </w:t>
            </w:r>
          </w:p>
        </w:tc>
      </w:tr>
      <w:tr w:rsidR="004B7F5D" w:rsidRPr="004C23F4" w14:paraId="47BA1814" w14:textId="77777777" w:rsidTr="006E0A40">
        <w:trPr>
          <w:cantSplit/>
        </w:trPr>
        <w:tc>
          <w:tcPr>
            <w:tcW w:w="862" w:type="pct"/>
          </w:tcPr>
          <w:p w14:paraId="64A831D0" w14:textId="77777777" w:rsidR="004B7F5D" w:rsidRDefault="004B7F5D" w:rsidP="000B401E">
            <w:pPr>
              <w:pStyle w:val="Tablefont"/>
            </w:pPr>
            <w:r>
              <w:lastRenderedPageBreak/>
              <w:t>IARC</w:t>
            </w:r>
          </w:p>
        </w:tc>
        <w:tc>
          <w:tcPr>
            <w:tcW w:w="4138" w:type="pct"/>
            <w:gridSpan w:val="2"/>
          </w:tcPr>
          <w:p w14:paraId="238BDD6B" w14:textId="77777777" w:rsidR="004B7F5D" w:rsidRPr="00CA6CB0" w:rsidRDefault="004B7F5D" w:rsidP="000B401E">
            <w:pPr>
              <w:pStyle w:val="Tablefont"/>
            </w:pPr>
            <w:r w:rsidRPr="00CA6CB0">
              <w:t xml:space="preserve">Carcinogenicity – Group 2 </w:t>
            </w:r>
          </w:p>
        </w:tc>
      </w:tr>
      <w:tr w:rsidR="004B7F5D" w:rsidRPr="004C23F4" w14:paraId="5DDE3107" w14:textId="77777777" w:rsidTr="006E0A40">
        <w:trPr>
          <w:cantSplit/>
        </w:trPr>
        <w:tc>
          <w:tcPr>
            <w:tcW w:w="862" w:type="pct"/>
          </w:tcPr>
          <w:p w14:paraId="493A98AC" w14:textId="77777777" w:rsidR="004B7F5D" w:rsidRDefault="004B7F5D" w:rsidP="00980E17">
            <w:pPr>
              <w:pStyle w:val="Tablefont"/>
              <w:keepNext/>
            </w:pPr>
            <w:r>
              <w:t>US NIOSH</w:t>
            </w:r>
          </w:p>
        </w:tc>
        <w:tc>
          <w:tcPr>
            <w:tcW w:w="4138" w:type="pct"/>
            <w:gridSpan w:val="2"/>
          </w:tcPr>
          <w:p w14:paraId="67FFDD6B" w14:textId="77777777" w:rsidR="004B7F5D" w:rsidRPr="00DD2F9B" w:rsidRDefault="004B7F5D" w:rsidP="00980E17">
            <w:pPr>
              <w:pStyle w:val="Tablefont"/>
              <w:keepNext/>
            </w:pPr>
            <w:r w:rsidRPr="008412D3">
              <w:t>—</w:t>
            </w:r>
          </w:p>
        </w:tc>
      </w:tr>
    </w:tbl>
    <w:bookmarkEnd w:id="4"/>
    <w:p w14:paraId="300BCD9C"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4FDB9B02" w14:textId="77777777" w:rsidR="00A633FB" w:rsidRDefault="00A633FB" w:rsidP="00A633FB">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A633FB" w:rsidRPr="004C23F4" w14:paraId="5EA7F37B" w14:textId="77777777" w:rsidTr="00AC31A9">
        <w:trPr>
          <w:cantSplit/>
          <w:tblHeader/>
        </w:trPr>
        <w:tc>
          <w:tcPr>
            <w:tcW w:w="5000" w:type="pct"/>
            <w:shd w:val="clear" w:color="auto" w:fill="BFBFBF" w:themeFill="background1" w:themeFillShade="BF"/>
            <w:vAlign w:val="center"/>
          </w:tcPr>
          <w:p w14:paraId="36D6848D" w14:textId="77777777" w:rsidR="00A633FB" w:rsidRPr="004C23F4" w:rsidRDefault="00A633FB" w:rsidP="00AC31A9">
            <w:pPr>
              <w:pStyle w:val="Tableheader"/>
              <w:keepNext/>
              <w:tabs>
                <w:tab w:val="right" w:pos="8800"/>
              </w:tabs>
            </w:pPr>
            <w:bookmarkStart w:id="5" w:name="SkinNot"/>
            <w:r>
              <w:t>Calculation</w:t>
            </w:r>
            <w:r>
              <w:tab/>
            </w:r>
          </w:p>
        </w:tc>
      </w:tr>
      <w:tr w:rsidR="00A633FB" w:rsidRPr="004C23F4" w14:paraId="34F583A5" w14:textId="77777777" w:rsidTr="00AC31A9">
        <w:trPr>
          <w:cantSplit/>
          <w:tblHeader/>
        </w:trPr>
        <w:tc>
          <w:tcPr>
            <w:tcW w:w="5000" w:type="pct"/>
            <w:vAlign w:val="center"/>
          </w:tcPr>
          <w:tbl>
            <w:tblPr>
              <w:tblW w:w="5000" w:type="pct"/>
              <w:tblLook w:val="04A0" w:firstRow="1" w:lastRow="0" w:firstColumn="1" w:lastColumn="0" w:noHBand="0" w:noVBand="1"/>
            </w:tblPr>
            <w:tblGrid>
              <w:gridCol w:w="266"/>
              <w:gridCol w:w="3530"/>
              <w:gridCol w:w="833"/>
              <w:gridCol w:w="837"/>
              <w:gridCol w:w="837"/>
              <w:gridCol w:w="837"/>
              <w:gridCol w:w="837"/>
              <w:gridCol w:w="833"/>
            </w:tblGrid>
            <w:tr w:rsidR="006E0A40" w:rsidRPr="00CA6CB0" w14:paraId="0EA95E47" w14:textId="77777777" w:rsidTr="00293BB0">
              <w:trPr>
                <w:trHeight w:val="342"/>
              </w:trPr>
              <w:tc>
                <w:tcPr>
                  <w:tcW w:w="151" w:type="pct"/>
                  <w:tcBorders>
                    <w:top w:val="nil"/>
                    <w:left w:val="nil"/>
                    <w:bottom w:val="nil"/>
                    <w:right w:val="nil"/>
                  </w:tcBorders>
                  <w:shd w:val="clear" w:color="000000" w:fill="C5D9F1"/>
                  <w:noWrap/>
                  <w:vAlign w:val="center"/>
                  <w:hideMark/>
                </w:tcPr>
                <w:p w14:paraId="6C34A2DA"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2003" w:type="pct"/>
                  <w:tcBorders>
                    <w:top w:val="nil"/>
                    <w:left w:val="nil"/>
                    <w:bottom w:val="nil"/>
                    <w:right w:val="nil"/>
                  </w:tcBorders>
                  <w:shd w:val="clear" w:color="000000" w:fill="C5D9F1"/>
                  <w:noWrap/>
                  <w:vAlign w:val="center"/>
                  <w:hideMark/>
                </w:tcPr>
                <w:p w14:paraId="3A5877FC" w14:textId="77777777" w:rsidR="006E0A40" w:rsidRPr="00CA6CB0" w:rsidRDefault="006E0A40" w:rsidP="00CA6CB0">
                  <w:pPr>
                    <w:spacing w:after="0" w:line="240" w:lineRule="auto"/>
                    <w:jc w:val="right"/>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Adverse effects in human case study:</w:t>
                  </w:r>
                </w:p>
              </w:tc>
              <w:tc>
                <w:tcPr>
                  <w:tcW w:w="473" w:type="pct"/>
                  <w:tcBorders>
                    <w:top w:val="nil"/>
                    <w:left w:val="nil"/>
                    <w:bottom w:val="nil"/>
                    <w:right w:val="nil"/>
                  </w:tcBorders>
                  <w:shd w:val="clear" w:color="000000" w:fill="C5D9F1"/>
                  <w:noWrap/>
                  <w:vAlign w:val="center"/>
                  <w:hideMark/>
                </w:tcPr>
                <w:p w14:paraId="6EFFE2E0" w14:textId="77777777" w:rsidR="006E0A40" w:rsidRPr="00CA6CB0" w:rsidRDefault="006E0A40" w:rsidP="00CA6CB0">
                  <w:pPr>
                    <w:spacing w:after="0" w:line="240" w:lineRule="auto"/>
                    <w:jc w:val="center"/>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no</w:t>
                  </w:r>
                </w:p>
              </w:tc>
              <w:tc>
                <w:tcPr>
                  <w:tcW w:w="475" w:type="pct"/>
                  <w:tcBorders>
                    <w:top w:val="nil"/>
                    <w:left w:val="nil"/>
                    <w:bottom w:val="nil"/>
                    <w:right w:val="nil"/>
                  </w:tcBorders>
                  <w:shd w:val="clear" w:color="000000" w:fill="C5D9F1"/>
                  <w:noWrap/>
                  <w:vAlign w:val="center"/>
                  <w:hideMark/>
                </w:tcPr>
                <w:p w14:paraId="69AF8D87" w14:textId="77777777" w:rsidR="006E0A40" w:rsidRPr="00CA6CB0" w:rsidRDefault="006E0A40" w:rsidP="00CA6CB0">
                  <w:pPr>
                    <w:spacing w:after="0" w:line="240" w:lineRule="auto"/>
                    <w:rPr>
                      <w:rFonts w:ascii="Segoe UI" w:eastAsia="Times New Roman" w:hAnsi="Segoe UI" w:cs="Segoe UI"/>
                      <w:color w:val="C5D9F1"/>
                      <w:sz w:val="18"/>
                      <w:szCs w:val="18"/>
                      <w:lang w:eastAsia="en-AU"/>
                    </w:rPr>
                  </w:pPr>
                  <w:r w:rsidRPr="00CA6CB0">
                    <w:rPr>
                      <w:rFonts w:ascii="Segoe UI" w:eastAsia="Times New Roman" w:hAnsi="Segoe UI" w:cs="Segoe UI"/>
                      <w:color w:val="C5D9F1"/>
                      <w:sz w:val="18"/>
                      <w:szCs w:val="18"/>
                      <w:lang w:eastAsia="en-AU"/>
                    </w:rPr>
                    <w:t> </w:t>
                  </w:r>
                </w:p>
              </w:tc>
              <w:tc>
                <w:tcPr>
                  <w:tcW w:w="475" w:type="pct"/>
                  <w:tcBorders>
                    <w:top w:val="nil"/>
                    <w:left w:val="nil"/>
                    <w:bottom w:val="nil"/>
                    <w:right w:val="nil"/>
                  </w:tcBorders>
                  <w:shd w:val="clear" w:color="000000" w:fill="C5D9F1"/>
                  <w:noWrap/>
                  <w:vAlign w:val="center"/>
                  <w:hideMark/>
                </w:tcPr>
                <w:p w14:paraId="0ED57273"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2D9469AA"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31A667F7"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3" w:type="pct"/>
                  <w:tcBorders>
                    <w:top w:val="nil"/>
                    <w:left w:val="nil"/>
                    <w:bottom w:val="nil"/>
                    <w:right w:val="nil"/>
                  </w:tcBorders>
                  <w:shd w:val="clear" w:color="000000" w:fill="C5D9F1"/>
                  <w:noWrap/>
                  <w:vAlign w:val="center"/>
                  <w:hideMark/>
                </w:tcPr>
                <w:p w14:paraId="57EF33F7"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r>
            <w:tr w:rsidR="006E0A40" w:rsidRPr="00CA6CB0" w14:paraId="6BA76032" w14:textId="77777777" w:rsidTr="00293BB0">
              <w:trPr>
                <w:trHeight w:val="342"/>
              </w:trPr>
              <w:tc>
                <w:tcPr>
                  <w:tcW w:w="151" w:type="pct"/>
                  <w:tcBorders>
                    <w:top w:val="nil"/>
                    <w:left w:val="nil"/>
                    <w:bottom w:val="nil"/>
                    <w:right w:val="nil"/>
                  </w:tcBorders>
                  <w:shd w:val="clear" w:color="000000" w:fill="C5D9F1"/>
                  <w:noWrap/>
                  <w:vAlign w:val="center"/>
                  <w:hideMark/>
                </w:tcPr>
                <w:p w14:paraId="12929194"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2003" w:type="pct"/>
                  <w:tcBorders>
                    <w:top w:val="nil"/>
                    <w:left w:val="nil"/>
                    <w:bottom w:val="nil"/>
                    <w:right w:val="nil"/>
                  </w:tcBorders>
                  <w:shd w:val="clear" w:color="000000" w:fill="C5D9F1"/>
                  <w:noWrap/>
                  <w:vAlign w:val="center"/>
                  <w:hideMark/>
                </w:tcPr>
                <w:p w14:paraId="1BE78EB2" w14:textId="77777777" w:rsidR="006E0A40" w:rsidRPr="00CA6CB0" w:rsidRDefault="006E0A40" w:rsidP="00CA6CB0">
                  <w:pPr>
                    <w:spacing w:after="0" w:line="240" w:lineRule="auto"/>
                    <w:jc w:val="right"/>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Dermal LD</w:t>
                  </w:r>
                  <w:r w:rsidRPr="00CA6CB0">
                    <w:rPr>
                      <w:rFonts w:ascii="Segoe UI" w:eastAsia="Times New Roman" w:hAnsi="Segoe UI" w:cs="Segoe UI"/>
                      <w:color w:val="000000"/>
                      <w:sz w:val="18"/>
                      <w:szCs w:val="18"/>
                      <w:vertAlign w:val="subscript"/>
                      <w:lang w:eastAsia="en-AU"/>
                    </w:rPr>
                    <w:t>50</w:t>
                  </w:r>
                  <w:r w:rsidRPr="00CA6CB0">
                    <w:rPr>
                      <w:rFonts w:ascii="Segoe UI" w:eastAsia="Times New Roman" w:hAnsi="Segoe UI" w:cs="Segoe UI"/>
                      <w:color w:val="000000"/>
                      <w:sz w:val="18"/>
                      <w:szCs w:val="18"/>
                      <w:lang w:eastAsia="en-AU"/>
                    </w:rPr>
                    <w:t xml:space="preserve"> ≤1000 mg/kg:</w:t>
                  </w:r>
                </w:p>
              </w:tc>
              <w:tc>
                <w:tcPr>
                  <w:tcW w:w="473" w:type="pct"/>
                  <w:tcBorders>
                    <w:top w:val="nil"/>
                    <w:left w:val="nil"/>
                    <w:bottom w:val="nil"/>
                    <w:right w:val="nil"/>
                  </w:tcBorders>
                  <w:shd w:val="clear" w:color="000000" w:fill="C5D9F1"/>
                  <w:noWrap/>
                  <w:vAlign w:val="center"/>
                  <w:hideMark/>
                </w:tcPr>
                <w:p w14:paraId="1D59F16C" w14:textId="77777777" w:rsidR="006E0A40" w:rsidRPr="00CA6CB0" w:rsidRDefault="006E0A40" w:rsidP="00CA6CB0">
                  <w:pPr>
                    <w:spacing w:after="0" w:line="240" w:lineRule="auto"/>
                    <w:jc w:val="center"/>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no</w:t>
                  </w:r>
                </w:p>
              </w:tc>
              <w:tc>
                <w:tcPr>
                  <w:tcW w:w="475" w:type="pct"/>
                  <w:tcBorders>
                    <w:top w:val="nil"/>
                    <w:left w:val="nil"/>
                    <w:bottom w:val="nil"/>
                    <w:right w:val="nil"/>
                  </w:tcBorders>
                  <w:shd w:val="clear" w:color="000000" w:fill="C5D9F1"/>
                  <w:noWrap/>
                  <w:vAlign w:val="center"/>
                  <w:hideMark/>
                </w:tcPr>
                <w:p w14:paraId="1E8F7CE6" w14:textId="77777777" w:rsidR="006E0A40" w:rsidRPr="00CA6CB0" w:rsidRDefault="006E0A40" w:rsidP="00CA6CB0">
                  <w:pPr>
                    <w:spacing w:after="0" w:line="240" w:lineRule="auto"/>
                    <w:rPr>
                      <w:rFonts w:ascii="Segoe UI" w:eastAsia="Times New Roman" w:hAnsi="Segoe UI" w:cs="Segoe UI"/>
                      <w:color w:val="C5D9F1"/>
                      <w:sz w:val="18"/>
                      <w:szCs w:val="18"/>
                      <w:lang w:eastAsia="en-AU"/>
                    </w:rPr>
                  </w:pPr>
                  <w:r w:rsidRPr="00CA6CB0">
                    <w:rPr>
                      <w:rFonts w:ascii="Segoe UI" w:eastAsia="Times New Roman" w:hAnsi="Segoe UI" w:cs="Segoe UI"/>
                      <w:color w:val="C5D9F1"/>
                      <w:sz w:val="18"/>
                      <w:szCs w:val="18"/>
                      <w:lang w:eastAsia="en-AU"/>
                    </w:rPr>
                    <w:t> </w:t>
                  </w:r>
                </w:p>
              </w:tc>
              <w:tc>
                <w:tcPr>
                  <w:tcW w:w="475" w:type="pct"/>
                  <w:tcBorders>
                    <w:top w:val="nil"/>
                    <w:left w:val="nil"/>
                    <w:bottom w:val="nil"/>
                    <w:right w:val="nil"/>
                  </w:tcBorders>
                  <w:shd w:val="clear" w:color="000000" w:fill="C5D9F1"/>
                  <w:noWrap/>
                  <w:vAlign w:val="center"/>
                  <w:hideMark/>
                </w:tcPr>
                <w:p w14:paraId="01B75408"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711F6D87"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5DB9BDD8"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3" w:type="pct"/>
                  <w:tcBorders>
                    <w:top w:val="nil"/>
                    <w:left w:val="nil"/>
                    <w:bottom w:val="nil"/>
                    <w:right w:val="nil"/>
                  </w:tcBorders>
                  <w:shd w:val="clear" w:color="000000" w:fill="C5D9F1"/>
                  <w:noWrap/>
                  <w:vAlign w:val="center"/>
                  <w:hideMark/>
                </w:tcPr>
                <w:p w14:paraId="39B4E44E"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r>
            <w:tr w:rsidR="006E0A40" w:rsidRPr="00CA6CB0" w14:paraId="64AF4668" w14:textId="77777777" w:rsidTr="00293BB0">
              <w:trPr>
                <w:trHeight w:val="342"/>
              </w:trPr>
              <w:tc>
                <w:tcPr>
                  <w:tcW w:w="151" w:type="pct"/>
                  <w:tcBorders>
                    <w:top w:val="nil"/>
                    <w:left w:val="nil"/>
                    <w:bottom w:val="nil"/>
                    <w:right w:val="nil"/>
                  </w:tcBorders>
                  <w:shd w:val="clear" w:color="000000" w:fill="C5D9F1"/>
                  <w:noWrap/>
                  <w:vAlign w:val="center"/>
                  <w:hideMark/>
                </w:tcPr>
                <w:p w14:paraId="0F225288"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2003" w:type="pct"/>
                  <w:tcBorders>
                    <w:top w:val="nil"/>
                    <w:left w:val="nil"/>
                    <w:bottom w:val="nil"/>
                    <w:right w:val="nil"/>
                  </w:tcBorders>
                  <w:shd w:val="clear" w:color="000000" w:fill="C5D9F1"/>
                  <w:noWrap/>
                  <w:vAlign w:val="center"/>
                  <w:hideMark/>
                </w:tcPr>
                <w:p w14:paraId="32C4E254" w14:textId="77777777" w:rsidR="006E0A40" w:rsidRPr="00CA6CB0" w:rsidRDefault="006E0A40" w:rsidP="00CA6CB0">
                  <w:pPr>
                    <w:spacing w:after="0" w:line="240" w:lineRule="auto"/>
                    <w:jc w:val="right"/>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Dermal repeat-dose NOAEL ≤200 mg/kg:</w:t>
                  </w:r>
                </w:p>
              </w:tc>
              <w:tc>
                <w:tcPr>
                  <w:tcW w:w="473" w:type="pct"/>
                  <w:tcBorders>
                    <w:top w:val="nil"/>
                    <w:left w:val="nil"/>
                    <w:bottom w:val="nil"/>
                    <w:right w:val="nil"/>
                  </w:tcBorders>
                  <w:shd w:val="clear" w:color="000000" w:fill="C5D9F1"/>
                  <w:noWrap/>
                  <w:vAlign w:val="center"/>
                  <w:hideMark/>
                </w:tcPr>
                <w:p w14:paraId="462B8FD3" w14:textId="77777777" w:rsidR="006E0A40" w:rsidRPr="00CA6CB0" w:rsidRDefault="006E0A40" w:rsidP="00CA6CB0">
                  <w:pPr>
                    <w:spacing w:after="0" w:line="240" w:lineRule="auto"/>
                    <w:jc w:val="center"/>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10396D4B" w14:textId="77777777" w:rsidR="006E0A40" w:rsidRPr="00CA6CB0" w:rsidRDefault="006E0A40" w:rsidP="00CA6CB0">
                  <w:pPr>
                    <w:spacing w:after="0" w:line="240" w:lineRule="auto"/>
                    <w:rPr>
                      <w:rFonts w:ascii="Segoe UI" w:eastAsia="Times New Roman" w:hAnsi="Segoe UI" w:cs="Segoe UI"/>
                      <w:color w:val="C5D9F1"/>
                      <w:sz w:val="18"/>
                      <w:szCs w:val="18"/>
                      <w:lang w:eastAsia="en-AU"/>
                    </w:rPr>
                  </w:pPr>
                  <w:r w:rsidRPr="00CA6CB0">
                    <w:rPr>
                      <w:rFonts w:ascii="Segoe UI" w:eastAsia="Times New Roman" w:hAnsi="Segoe UI" w:cs="Segoe UI"/>
                      <w:color w:val="C5D9F1"/>
                      <w:sz w:val="18"/>
                      <w:szCs w:val="18"/>
                      <w:lang w:eastAsia="en-AU"/>
                    </w:rPr>
                    <w:t> </w:t>
                  </w:r>
                </w:p>
              </w:tc>
              <w:tc>
                <w:tcPr>
                  <w:tcW w:w="475" w:type="pct"/>
                  <w:tcBorders>
                    <w:top w:val="nil"/>
                    <w:left w:val="nil"/>
                    <w:bottom w:val="nil"/>
                    <w:right w:val="nil"/>
                  </w:tcBorders>
                  <w:shd w:val="clear" w:color="000000" w:fill="C5D9F1"/>
                  <w:noWrap/>
                  <w:vAlign w:val="center"/>
                  <w:hideMark/>
                </w:tcPr>
                <w:p w14:paraId="06228F58"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76E1E62D"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534849ED"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3" w:type="pct"/>
                  <w:tcBorders>
                    <w:top w:val="nil"/>
                    <w:left w:val="nil"/>
                    <w:bottom w:val="nil"/>
                    <w:right w:val="nil"/>
                  </w:tcBorders>
                  <w:shd w:val="clear" w:color="000000" w:fill="C5D9F1"/>
                  <w:noWrap/>
                  <w:vAlign w:val="center"/>
                  <w:hideMark/>
                </w:tcPr>
                <w:p w14:paraId="1748F36C"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r>
            <w:tr w:rsidR="006E0A40" w:rsidRPr="00CA6CB0" w14:paraId="24D45B5D" w14:textId="77777777" w:rsidTr="00293BB0">
              <w:trPr>
                <w:trHeight w:val="342"/>
              </w:trPr>
              <w:tc>
                <w:tcPr>
                  <w:tcW w:w="151" w:type="pct"/>
                  <w:tcBorders>
                    <w:top w:val="nil"/>
                    <w:left w:val="nil"/>
                    <w:bottom w:val="nil"/>
                    <w:right w:val="nil"/>
                  </w:tcBorders>
                  <w:shd w:val="clear" w:color="000000" w:fill="C5D9F1"/>
                  <w:noWrap/>
                  <w:vAlign w:val="center"/>
                  <w:hideMark/>
                </w:tcPr>
                <w:p w14:paraId="332CEB42"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2003" w:type="pct"/>
                  <w:tcBorders>
                    <w:top w:val="nil"/>
                    <w:left w:val="nil"/>
                    <w:bottom w:val="nil"/>
                    <w:right w:val="nil"/>
                  </w:tcBorders>
                  <w:shd w:val="clear" w:color="000000" w:fill="C5D9F1"/>
                  <w:noWrap/>
                  <w:vAlign w:val="center"/>
                  <w:hideMark/>
                </w:tcPr>
                <w:p w14:paraId="5D4A16E5" w14:textId="77777777" w:rsidR="006E0A40" w:rsidRPr="00CA6CB0" w:rsidRDefault="006E0A40" w:rsidP="00CA6CB0">
                  <w:pPr>
                    <w:spacing w:after="0" w:line="240" w:lineRule="auto"/>
                    <w:jc w:val="right"/>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Dermal LD</w:t>
                  </w:r>
                  <w:r w:rsidRPr="00CA6CB0">
                    <w:rPr>
                      <w:rFonts w:ascii="Segoe UI" w:eastAsia="Times New Roman" w:hAnsi="Segoe UI" w:cs="Segoe UI"/>
                      <w:color w:val="000000"/>
                      <w:sz w:val="18"/>
                      <w:szCs w:val="18"/>
                      <w:vertAlign w:val="subscript"/>
                      <w:lang w:eastAsia="en-AU"/>
                    </w:rPr>
                    <w:t>50</w:t>
                  </w:r>
                  <w:r w:rsidRPr="00CA6CB0">
                    <w:rPr>
                      <w:rFonts w:ascii="Segoe UI" w:eastAsia="Times New Roman" w:hAnsi="Segoe UI" w:cs="Segoe UI"/>
                      <w:color w:val="000000"/>
                      <w:sz w:val="18"/>
                      <w:szCs w:val="18"/>
                      <w:lang w:eastAsia="en-AU"/>
                    </w:rPr>
                    <w:t>/Inhalation LD</w:t>
                  </w:r>
                  <w:r w:rsidRPr="00CA6CB0">
                    <w:rPr>
                      <w:rFonts w:ascii="Segoe UI" w:eastAsia="Times New Roman" w:hAnsi="Segoe UI" w:cs="Segoe UI"/>
                      <w:color w:val="000000"/>
                      <w:sz w:val="18"/>
                      <w:szCs w:val="18"/>
                      <w:vertAlign w:val="subscript"/>
                      <w:lang w:eastAsia="en-AU"/>
                    </w:rPr>
                    <w:t>50</w:t>
                  </w:r>
                  <w:r w:rsidRPr="00CA6CB0">
                    <w:rPr>
                      <w:rFonts w:ascii="Segoe UI" w:eastAsia="Times New Roman" w:hAnsi="Segoe UI" w:cs="Segoe UI"/>
                      <w:color w:val="000000"/>
                      <w:sz w:val="18"/>
                      <w:szCs w:val="18"/>
                      <w:lang w:eastAsia="en-AU"/>
                    </w:rPr>
                    <w:t xml:space="preserve"> &lt;10:</w:t>
                  </w:r>
                </w:p>
              </w:tc>
              <w:tc>
                <w:tcPr>
                  <w:tcW w:w="473" w:type="pct"/>
                  <w:tcBorders>
                    <w:top w:val="nil"/>
                    <w:left w:val="nil"/>
                    <w:bottom w:val="nil"/>
                    <w:right w:val="nil"/>
                  </w:tcBorders>
                  <w:shd w:val="clear" w:color="000000" w:fill="C5D9F1"/>
                  <w:noWrap/>
                  <w:vAlign w:val="center"/>
                  <w:hideMark/>
                </w:tcPr>
                <w:p w14:paraId="7E5D39D0" w14:textId="77777777" w:rsidR="006E0A40" w:rsidRPr="00CA6CB0" w:rsidRDefault="006E0A40" w:rsidP="00CA6CB0">
                  <w:pPr>
                    <w:spacing w:after="0" w:line="240" w:lineRule="auto"/>
                    <w:jc w:val="center"/>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597FCC9C" w14:textId="77777777" w:rsidR="006E0A40" w:rsidRPr="00CA6CB0" w:rsidRDefault="006E0A40" w:rsidP="00CA6CB0">
                  <w:pPr>
                    <w:spacing w:after="0" w:line="240" w:lineRule="auto"/>
                    <w:rPr>
                      <w:rFonts w:ascii="Segoe UI" w:eastAsia="Times New Roman" w:hAnsi="Segoe UI" w:cs="Segoe UI"/>
                      <w:color w:val="C5D9F1"/>
                      <w:sz w:val="18"/>
                      <w:szCs w:val="18"/>
                      <w:lang w:eastAsia="en-AU"/>
                    </w:rPr>
                  </w:pPr>
                  <w:r w:rsidRPr="00CA6CB0">
                    <w:rPr>
                      <w:rFonts w:ascii="Segoe UI" w:eastAsia="Times New Roman" w:hAnsi="Segoe UI" w:cs="Segoe UI"/>
                      <w:color w:val="C5D9F1"/>
                      <w:sz w:val="18"/>
                      <w:szCs w:val="18"/>
                      <w:lang w:eastAsia="en-AU"/>
                    </w:rPr>
                    <w:t> </w:t>
                  </w:r>
                </w:p>
              </w:tc>
              <w:tc>
                <w:tcPr>
                  <w:tcW w:w="475" w:type="pct"/>
                  <w:tcBorders>
                    <w:top w:val="nil"/>
                    <w:left w:val="nil"/>
                    <w:bottom w:val="nil"/>
                    <w:right w:val="nil"/>
                  </w:tcBorders>
                  <w:shd w:val="clear" w:color="000000" w:fill="C5D9F1"/>
                  <w:noWrap/>
                  <w:vAlign w:val="center"/>
                  <w:hideMark/>
                </w:tcPr>
                <w:p w14:paraId="16D953D1"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2A7135EB"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542E4CAA"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3" w:type="pct"/>
                  <w:tcBorders>
                    <w:top w:val="nil"/>
                    <w:left w:val="nil"/>
                    <w:bottom w:val="nil"/>
                    <w:right w:val="nil"/>
                  </w:tcBorders>
                  <w:shd w:val="clear" w:color="000000" w:fill="C5D9F1"/>
                  <w:noWrap/>
                  <w:vAlign w:val="center"/>
                  <w:hideMark/>
                </w:tcPr>
                <w:p w14:paraId="0F3FFCDD"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r>
            <w:tr w:rsidR="006E0A40" w:rsidRPr="00CA6CB0" w14:paraId="1EFE2792" w14:textId="77777777" w:rsidTr="00293BB0">
              <w:trPr>
                <w:trHeight w:val="342"/>
              </w:trPr>
              <w:tc>
                <w:tcPr>
                  <w:tcW w:w="151" w:type="pct"/>
                  <w:tcBorders>
                    <w:top w:val="nil"/>
                    <w:left w:val="nil"/>
                    <w:bottom w:val="nil"/>
                    <w:right w:val="nil"/>
                  </w:tcBorders>
                  <w:shd w:val="clear" w:color="000000" w:fill="C5D9F1"/>
                  <w:noWrap/>
                  <w:vAlign w:val="center"/>
                  <w:hideMark/>
                </w:tcPr>
                <w:p w14:paraId="01C1D7A7"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2003" w:type="pct"/>
                  <w:tcBorders>
                    <w:top w:val="nil"/>
                    <w:left w:val="nil"/>
                    <w:bottom w:val="nil"/>
                    <w:right w:val="nil"/>
                  </w:tcBorders>
                  <w:shd w:val="clear" w:color="000000" w:fill="C5D9F1"/>
                  <w:noWrap/>
                  <w:vAlign w:val="center"/>
                  <w:hideMark/>
                </w:tcPr>
                <w:p w14:paraId="047AE57B" w14:textId="77777777" w:rsidR="006E0A40" w:rsidRPr="00CA6CB0" w:rsidRDefault="006E0A40" w:rsidP="00CA6CB0">
                  <w:pPr>
                    <w:spacing w:after="0" w:line="240" w:lineRule="auto"/>
                    <w:jc w:val="right"/>
                    <w:rPr>
                      <w:rFonts w:ascii="Segoe UI" w:eastAsia="Times New Roman" w:hAnsi="Segoe UI" w:cs="Segoe UI"/>
                      <w:i/>
                      <w:iCs/>
                      <w:color w:val="000000"/>
                      <w:sz w:val="18"/>
                      <w:szCs w:val="18"/>
                      <w:lang w:eastAsia="en-AU"/>
                    </w:rPr>
                  </w:pPr>
                  <w:r w:rsidRPr="00CA6CB0">
                    <w:rPr>
                      <w:rFonts w:ascii="Segoe UI" w:eastAsia="Times New Roman" w:hAnsi="Segoe UI" w:cs="Segoe UI"/>
                      <w:i/>
                      <w:iCs/>
                      <w:color w:val="000000"/>
                      <w:sz w:val="18"/>
                      <w:szCs w:val="18"/>
                      <w:lang w:eastAsia="en-AU"/>
                    </w:rPr>
                    <w:t>In vivo</w:t>
                  </w:r>
                  <w:r w:rsidRPr="00CA6CB0">
                    <w:rPr>
                      <w:rFonts w:ascii="Segoe UI" w:eastAsia="Times New Roman" w:hAnsi="Segoe UI" w:cs="Segoe UI"/>
                      <w:color w:val="000000"/>
                      <w:sz w:val="18"/>
                      <w:szCs w:val="18"/>
                      <w:lang w:eastAsia="en-AU"/>
                    </w:rPr>
                    <w:t xml:space="preserve"> dermal absorption rate &gt;10%:</w:t>
                  </w:r>
                </w:p>
              </w:tc>
              <w:tc>
                <w:tcPr>
                  <w:tcW w:w="473" w:type="pct"/>
                  <w:tcBorders>
                    <w:top w:val="nil"/>
                    <w:left w:val="nil"/>
                    <w:bottom w:val="nil"/>
                    <w:right w:val="nil"/>
                  </w:tcBorders>
                  <w:shd w:val="clear" w:color="000000" w:fill="C5D9F1"/>
                  <w:noWrap/>
                  <w:vAlign w:val="center"/>
                  <w:hideMark/>
                </w:tcPr>
                <w:p w14:paraId="79C261EB" w14:textId="77777777" w:rsidR="006E0A40" w:rsidRPr="00CA6CB0" w:rsidRDefault="006E0A40" w:rsidP="00CA6CB0">
                  <w:pPr>
                    <w:spacing w:after="0" w:line="240" w:lineRule="auto"/>
                    <w:jc w:val="center"/>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31337B16" w14:textId="77777777" w:rsidR="006E0A40" w:rsidRPr="00CA6CB0" w:rsidRDefault="006E0A40" w:rsidP="00CA6CB0">
                  <w:pPr>
                    <w:spacing w:after="0" w:line="240" w:lineRule="auto"/>
                    <w:rPr>
                      <w:rFonts w:ascii="Segoe UI" w:eastAsia="Times New Roman" w:hAnsi="Segoe UI" w:cs="Segoe UI"/>
                      <w:color w:val="C5D9F1"/>
                      <w:sz w:val="18"/>
                      <w:szCs w:val="18"/>
                      <w:lang w:eastAsia="en-AU"/>
                    </w:rPr>
                  </w:pPr>
                  <w:r w:rsidRPr="00CA6CB0">
                    <w:rPr>
                      <w:rFonts w:ascii="Segoe UI" w:eastAsia="Times New Roman" w:hAnsi="Segoe UI" w:cs="Segoe UI"/>
                      <w:color w:val="C5D9F1"/>
                      <w:sz w:val="18"/>
                      <w:szCs w:val="18"/>
                      <w:lang w:eastAsia="en-AU"/>
                    </w:rPr>
                    <w:t> </w:t>
                  </w:r>
                </w:p>
              </w:tc>
              <w:tc>
                <w:tcPr>
                  <w:tcW w:w="475" w:type="pct"/>
                  <w:tcBorders>
                    <w:top w:val="nil"/>
                    <w:left w:val="nil"/>
                    <w:bottom w:val="nil"/>
                    <w:right w:val="nil"/>
                  </w:tcBorders>
                  <w:shd w:val="clear" w:color="000000" w:fill="C5D9F1"/>
                  <w:noWrap/>
                  <w:vAlign w:val="center"/>
                  <w:hideMark/>
                </w:tcPr>
                <w:p w14:paraId="1F05B5F7"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39227655"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7A227E28"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3" w:type="pct"/>
                  <w:tcBorders>
                    <w:top w:val="nil"/>
                    <w:left w:val="nil"/>
                    <w:bottom w:val="nil"/>
                    <w:right w:val="nil"/>
                  </w:tcBorders>
                  <w:shd w:val="clear" w:color="000000" w:fill="C5D9F1"/>
                  <w:noWrap/>
                  <w:vAlign w:val="center"/>
                  <w:hideMark/>
                </w:tcPr>
                <w:p w14:paraId="184EB839"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r>
            <w:tr w:rsidR="006E0A40" w:rsidRPr="00CA6CB0" w14:paraId="44BE877E" w14:textId="77777777" w:rsidTr="00293BB0">
              <w:trPr>
                <w:trHeight w:val="342"/>
              </w:trPr>
              <w:tc>
                <w:tcPr>
                  <w:tcW w:w="151" w:type="pct"/>
                  <w:tcBorders>
                    <w:top w:val="nil"/>
                    <w:left w:val="nil"/>
                    <w:bottom w:val="nil"/>
                    <w:right w:val="nil"/>
                  </w:tcBorders>
                  <w:shd w:val="clear" w:color="000000" w:fill="C5D9F1"/>
                  <w:noWrap/>
                  <w:vAlign w:val="center"/>
                  <w:hideMark/>
                </w:tcPr>
                <w:p w14:paraId="1740BCBF"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2003" w:type="pct"/>
                  <w:tcBorders>
                    <w:top w:val="nil"/>
                    <w:left w:val="nil"/>
                    <w:bottom w:val="nil"/>
                    <w:right w:val="nil"/>
                  </w:tcBorders>
                  <w:shd w:val="clear" w:color="000000" w:fill="C5D9F1"/>
                  <w:noWrap/>
                  <w:vAlign w:val="center"/>
                  <w:hideMark/>
                </w:tcPr>
                <w:p w14:paraId="2995A169" w14:textId="77777777" w:rsidR="006E0A40" w:rsidRPr="00CA6CB0" w:rsidRDefault="006E0A40" w:rsidP="00CA6CB0">
                  <w:pPr>
                    <w:spacing w:after="0" w:line="240" w:lineRule="auto"/>
                    <w:jc w:val="right"/>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Estimated dermal exposure at WES &gt;10%:</w:t>
                  </w:r>
                </w:p>
              </w:tc>
              <w:tc>
                <w:tcPr>
                  <w:tcW w:w="473" w:type="pct"/>
                  <w:tcBorders>
                    <w:top w:val="nil"/>
                    <w:left w:val="nil"/>
                    <w:bottom w:val="nil"/>
                    <w:right w:val="nil"/>
                  </w:tcBorders>
                  <w:shd w:val="clear" w:color="000000" w:fill="C5D9F1"/>
                  <w:noWrap/>
                  <w:vAlign w:val="center"/>
                  <w:hideMark/>
                </w:tcPr>
                <w:p w14:paraId="6C5E118F" w14:textId="77777777" w:rsidR="006E0A40" w:rsidRPr="00CA6CB0" w:rsidRDefault="006E0A40" w:rsidP="00CA6CB0">
                  <w:pPr>
                    <w:spacing w:after="0" w:line="240" w:lineRule="auto"/>
                    <w:jc w:val="center"/>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6FD481AC" w14:textId="77777777" w:rsidR="006E0A40" w:rsidRPr="00CA6CB0" w:rsidRDefault="006E0A40" w:rsidP="00CA6CB0">
                  <w:pPr>
                    <w:spacing w:after="0" w:line="240" w:lineRule="auto"/>
                    <w:rPr>
                      <w:rFonts w:ascii="Segoe UI" w:eastAsia="Times New Roman" w:hAnsi="Segoe UI" w:cs="Segoe UI"/>
                      <w:color w:val="C5D9F1"/>
                      <w:sz w:val="18"/>
                      <w:szCs w:val="18"/>
                      <w:lang w:eastAsia="en-AU"/>
                    </w:rPr>
                  </w:pPr>
                  <w:r w:rsidRPr="00CA6CB0">
                    <w:rPr>
                      <w:rFonts w:ascii="Segoe UI" w:eastAsia="Times New Roman" w:hAnsi="Segoe UI" w:cs="Segoe UI"/>
                      <w:color w:val="C5D9F1"/>
                      <w:sz w:val="18"/>
                      <w:szCs w:val="18"/>
                      <w:lang w:eastAsia="en-AU"/>
                    </w:rPr>
                    <w:t> </w:t>
                  </w:r>
                </w:p>
              </w:tc>
              <w:tc>
                <w:tcPr>
                  <w:tcW w:w="475" w:type="pct"/>
                  <w:tcBorders>
                    <w:top w:val="nil"/>
                    <w:left w:val="nil"/>
                    <w:bottom w:val="nil"/>
                    <w:right w:val="nil"/>
                  </w:tcBorders>
                  <w:shd w:val="clear" w:color="000000" w:fill="C5D9F1"/>
                  <w:noWrap/>
                  <w:vAlign w:val="center"/>
                  <w:hideMark/>
                </w:tcPr>
                <w:p w14:paraId="467FA4E3"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29E5669E"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609E802E"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3" w:type="pct"/>
                  <w:tcBorders>
                    <w:top w:val="nil"/>
                    <w:left w:val="nil"/>
                    <w:bottom w:val="nil"/>
                    <w:right w:val="nil"/>
                  </w:tcBorders>
                  <w:shd w:val="clear" w:color="000000" w:fill="C5D9F1"/>
                  <w:noWrap/>
                  <w:vAlign w:val="center"/>
                  <w:hideMark/>
                </w:tcPr>
                <w:p w14:paraId="3BA85B2C"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r>
            <w:tr w:rsidR="006E0A40" w:rsidRPr="00CA6CB0" w14:paraId="06EEDAAD" w14:textId="77777777" w:rsidTr="00293BB0">
              <w:trPr>
                <w:trHeight w:val="342"/>
              </w:trPr>
              <w:tc>
                <w:tcPr>
                  <w:tcW w:w="151" w:type="pct"/>
                  <w:tcBorders>
                    <w:top w:val="nil"/>
                    <w:left w:val="nil"/>
                    <w:bottom w:val="nil"/>
                    <w:right w:val="nil"/>
                  </w:tcBorders>
                  <w:shd w:val="clear" w:color="000000" w:fill="C5D9F1"/>
                  <w:noWrap/>
                  <w:vAlign w:val="center"/>
                  <w:hideMark/>
                </w:tcPr>
                <w:p w14:paraId="5C60C4D0" w14:textId="77777777" w:rsidR="006E0A40" w:rsidRPr="00CA6CB0" w:rsidRDefault="006E0A40" w:rsidP="00CA6CB0">
                  <w:pPr>
                    <w:spacing w:after="0" w:line="240" w:lineRule="auto"/>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2003" w:type="pct"/>
                  <w:tcBorders>
                    <w:top w:val="nil"/>
                    <w:left w:val="nil"/>
                    <w:bottom w:val="nil"/>
                    <w:right w:val="nil"/>
                  </w:tcBorders>
                  <w:shd w:val="clear" w:color="000000" w:fill="C5D9F1"/>
                  <w:noWrap/>
                  <w:vAlign w:val="center"/>
                  <w:hideMark/>
                </w:tcPr>
                <w:p w14:paraId="076B49D1" w14:textId="77777777" w:rsidR="006E0A40" w:rsidRPr="00CA6CB0" w:rsidRDefault="006E0A40" w:rsidP="00CA6CB0">
                  <w:pPr>
                    <w:spacing w:after="0" w:line="240" w:lineRule="auto"/>
                    <w:jc w:val="right"/>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3" w:type="pct"/>
                  <w:tcBorders>
                    <w:top w:val="nil"/>
                    <w:left w:val="nil"/>
                    <w:bottom w:val="nil"/>
                    <w:right w:val="nil"/>
                  </w:tcBorders>
                  <w:shd w:val="clear" w:color="000000" w:fill="C5D9F1"/>
                  <w:noWrap/>
                  <w:vAlign w:val="center"/>
                  <w:hideMark/>
                </w:tcPr>
                <w:p w14:paraId="39FB79C5" w14:textId="77777777" w:rsidR="006E0A40" w:rsidRPr="00CA6CB0" w:rsidRDefault="006E0A40" w:rsidP="00CA6CB0">
                  <w:pPr>
                    <w:spacing w:after="0" w:line="240" w:lineRule="auto"/>
                    <w:jc w:val="center"/>
                    <w:rPr>
                      <w:rFonts w:ascii="Segoe UI" w:eastAsia="Times New Roman" w:hAnsi="Segoe UI" w:cs="Segoe UI"/>
                      <w:color w:val="000000"/>
                      <w:sz w:val="18"/>
                      <w:szCs w:val="18"/>
                      <w:lang w:eastAsia="en-AU"/>
                    </w:rPr>
                  </w:pPr>
                  <w:r w:rsidRPr="00CA6CB0">
                    <w:rPr>
                      <w:rFonts w:ascii="Segoe UI" w:eastAsia="Times New Roman" w:hAnsi="Segoe UI" w:cs="Segoe UI"/>
                      <w:color w:val="000000"/>
                      <w:sz w:val="18"/>
                      <w:szCs w:val="18"/>
                      <w:lang w:eastAsia="en-AU"/>
                    </w:rPr>
                    <w:t> </w:t>
                  </w:r>
                </w:p>
              </w:tc>
              <w:tc>
                <w:tcPr>
                  <w:tcW w:w="475" w:type="pct"/>
                  <w:tcBorders>
                    <w:top w:val="nil"/>
                    <w:left w:val="nil"/>
                    <w:bottom w:val="nil"/>
                    <w:right w:val="nil"/>
                  </w:tcBorders>
                  <w:shd w:val="clear" w:color="000000" w:fill="C5D9F1"/>
                  <w:noWrap/>
                  <w:vAlign w:val="center"/>
                  <w:hideMark/>
                </w:tcPr>
                <w:p w14:paraId="7F7B3FCC" w14:textId="77777777" w:rsidR="006E0A40" w:rsidRPr="00CA6CB0" w:rsidRDefault="006E0A40" w:rsidP="00CA6CB0">
                  <w:pPr>
                    <w:spacing w:after="0" w:line="240" w:lineRule="auto"/>
                    <w:rPr>
                      <w:rFonts w:ascii="Segoe UI" w:eastAsia="Times New Roman" w:hAnsi="Segoe UI" w:cs="Segoe UI"/>
                      <w:color w:val="C5D9F1"/>
                      <w:sz w:val="18"/>
                      <w:szCs w:val="18"/>
                      <w:lang w:eastAsia="en-AU"/>
                    </w:rPr>
                  </w:pPr>
                  <w:r w:rsidRPr="00CA6CB0">
                    <w:rPr>
                      <w:rFonts w:ascii="Segoe UI" w:eastAsia="Times New Roman" w:hAnsi="Segoe UI" w:cs="Segoe UI"/>
                      <w:color w:val="C5D9F1"/>
                      <w:sz w:val="18"/>
                      <w:szCs w:val="18"/>
                      <w:lang w:eastAsia="en-AU"/>
                    </w:rPr>
                    <w:t> </w:t>
                  </w:r>
                </w:p>
              </w:tc>
              <w:tc>
                <w:tcPr>
                  <w:tcW w:w="1898" w:type="pct"/>
                  <w:gridSpan w:val="4"/>
                  <w:tcBorders>
                    <w:top w:val="nil"/>
                    <w:left w:val="nil"/>
                    <w:bottom w:val="nil"/>
                    <w:right w:val="nil"/>
                  </w:tcBorders>
                  <w:shd w:val="clear" w:color="000000" w:fill="C5D9F1"/>
                  <w:noWrap/>
                  <w:vAlign w:val="center"/>
                  <w:hideMark/>
                </w:tcPr>
                <w:p w14:paraId="364B6F05" w14:textId="77777777" w:rsidR="006E0A40" w:rsidRPr="00643D3D" w:rsidRDefault="006E0A40" w:rsidP="00CA6CB0">
                  <w:pPr>
                    <w:spacing w:after="0" w:line="240" w:lineRule="auto"/>
                    <w:rPr>
                      <w:rFonts w:ascii="Segoe UI" w:eastAsia="Times New Roman" w:hAnsi="Segoe UI" w:cs="Segoe UI"/>
                      <w:b/>
                      <w:bCs/>
                      <w:color w:val="000000"/>
                      <w:sz w:val="18"/>
                      <w:szCs w:val="18"/>
                      <w:lang w:eastAsia="en-AU"/>
                    </w:rPr>
                  </w:pPr>
                  <w:r w:rsidRPr="00CA6CB0">
                    <w:rPr>
                      <w:rFonts w:ascii="Segoe UI" w:eastAsia="Times New Roman" w:hAnsi="Segoe UI" w:cs="Segoe UI"/>
                      <w:b/>
                      <w:bCs/>
                      <w:color w:val="000000"/>
                      <w:sz w:val="18"/>
                      <w:szCs w:val="18"/>
                      <w:lang w:eastAsia="en-AU"/>
                    </w:rPr>
                    <w:t>a skin notation is not warranted</w:t>
                  </w:r>
                </w:p>
              </w:tc>
            </w:tr>
          </w:tbl>
          <w:p w14:paraId="2348A52D" w14:textId="77777777" w:rsidR="00A633FB" w:rsidRPr="004C23F4" w:rsidRDefault="00A633FB" w:rsidP="00AC31A9">
            <w:pPr>
              <w:pStyle w:val="Tablefont"/>
            </w:pPr>
          </w:p>
        </w:tc>
      </w:tr>
    </w:tbl>
    <w:bookmarkEnd w:id="5"/>
    <w:p w14:paraId="49C811AE"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7A7D5D94" w14:textId="77777777" w:rsidTr="00610F2E">
        <w:trPr>
          <w:trHeight w:val="454"/>
          <w:tblHeader/>
        </w:trPr>
        <w:tc>
          <w:tcPr>
            <w:tcW w:w="4361" w:type="dxa"/>
            <w:vAlign w:val="center"/>
          </w:tcPr>
          <w:p w14:paraId="1B5B17A8"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10A73A89" w14:textId="77777777" w:rsidR="00EB3D1B" w:rsidRDefault="006425BE" w:rsidP="00EB3D1B">
                <w:pPr>
                  <w:pStyle w:val="Tablefont"/>
                </w:pPr>
                <w:r>
                  <w:t>Yes</w:t>
                </w:r>
              </w:p>
            </w:tc>
          </w:sdtContent>
        </w:sdt>
      </w:tr>
    </w:tbl>
    <w:p w14:paraId="367BDF5E"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5F0C1E92" w14:textId="77777777" w:rsidTr="00EA6243">
        <w:trPr>
          <w:cantSplit/>
          <w:tblHeader/>
        </w:trPr>
        <w:tc>
          <w:tcPr>
            <w:tcW w:w="4077" w:type="dxa"/>
            <w:vAlign w:val="center"/>
          </w:tcPr>
          <w:p w14:paraId="4934E281"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0CE2420A" w14:textId="77777777" w:rsidR="001B79E5" w:rsidRDefault="00360BA4" w:rsidP="001B79E5">
                <w:pPr>
                  <w:pStyle w:val="Tablefont"/>
                </w:pPr>
                <w:r>
                  <w:rPr>
                    <w:rFonts w:cs="Arial"/>
                    <w:color w:val="222222"/>
                    <w:shd w:val="clear" w:color="auto" w:fill="FFFFFF"/>
                  </w:rPr>
                  <w:t>291.52</w:t>
                </w:r>
              </w:p>
            </w:tc>
          </w:sdtContent>
        </w:sdt>
      </w:tr>
      <w:tr w:rsidR="00A31D99" w:rsidRPr="004C23F4" w14:paraId="32E735E3" w14:textId="77777777" w:rsidTr="00EA6243">
        <w:trPr>
          <w:cantSplit/>
          <w:tblHeader/>
        </w:trPr>
        <w:tc>
          <w:tcPr>
            <w:tcW w:w="4077" w:type="dxa"/>
            <w:vAlign w:val="center"/>
          </w:tcPr>
          <w:p w14:paraId="6EFDB5EE" w14:textId="77777777" w:rsidR="00A31D99" w:rsidRPr="00263255" w:rsidRDefault="00A31D99" w:rsidP="00A31D99">
            <w:pPr>
              <w:pStyle w:val="Tablefont"/>
            </w:pPr>
            <w:r>
              <w:t>Conversion factors at 25</w:t>
            </w:r>
            <w:r>
              <w:rPr>
                <w:rFonts w:cs="Arial"/>
              </w:rPr>
              <w:t>°</w:t>
            </w:r>
            <w:r>
              <w:t xml:space="preserve">C and 101.3 </w:t>
            </w:r>
            <w:proofErr w:type="spellStart"/>
            <w:r>
              <w:t>kPa</w:t>
            </w:r>
            <w:proofErr w:type="spellEnd"/>
            <w:r>
              <w:t xml:space="preserve">: </w:t>
            </w:r>
          </w:p>
        </w:tc>
        <w:tc>
          <w:tcPr>
            <w:tcW w:w="5165" w:type="dxa"/>
            <w:vAlign w:val="center"/>
          </w:tcPr>
          <w:p w14:paraId="16396513"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55C8E24B" w14:textId="77777777" w:rsidTr="00EA6243">
        <w:trPr>
          <w:cantSplit/>
          <w:tblHeader/>
        </w:trPr>
        <w:tc>
          <w:tcPr>
            <w:tcW w:w="4077" w:type="dxa"/>
            <w:vAlign w:val="center"/>
          </w:tcPr>
          <w:p w14:paraId="6B0B10D7" w14:textId="77777777" w:rsidR="00687890" w:rsidRPr="00CA6CB0" w:rsidRDefault="00687890" w:rsidP="00263255">
            <w:pPr>
              <w:pStyle w:val="Tablefont"/>
            </w:pPr>
            <w:r w:rsidRPr="00CA6CB0">
              <w:t>This chemical is used as a pesticide:</w:t>
            </w:r>
          </w:p>
        </w:tc>
        <w:sdt>
          <w:sdtPr>
            <w:id w:val="1704441067"/>
            <w14:checkbox>
              <w14:checked w14:val="1"/>
              <w14:checkedState w14:val="00FC" w14:font="Wingdings"/>
              <w14:uncheckedState w14:val="2610" w14:font="MS Gothic"/>
            </w14:checkbox>
          </w:sdtPr>
          <w:sdtEndPr/>
          <w:sdtContent>
            <w:tc>
              <w:tcPr>
                <w:tcW w:w="5165" w:type="dxa"/>
                <w:vAlign w:val="center"/>
              </w:tcPr>
              <w:p w14:paraId="2291FDF8" w14:textId="77777777" w:rsidR="00687890" w:rsidRPr="00CA6CB0" w:rsidRDefault="005A6DD4" w:rsidP="00717D45">
                <w:pPr>
                  <w:pStyle w:val="Tablefont"/>
                </w:pPr>
                <w:r w:rsidRPr="00CA6CB0">
                  <w:sym w:font="Wingdings" w:char="F0FC"/>
                </w:r>
              </w:p>
            </w:tc>
          </w:sdtContent>
        </w:sdt>
      </w:tr>
      <w:tr w:rsidR="00687890" w:rsidRPr="004C23F4" w14:paraId="24DD177A" w14:textId="77777777" w:rsidTr="00EA6243">
        <w:trPr>
          <w:cantSplit/>
        </w:trPr>
        <w:tc>
          <w:tcPr>
            <w:tcW w:w="4077" w:type="dxa"/>
            <w:vAlign w:val="center"/>
          </w:tcPr>
          <w:p w14:paraId="169E30DD"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DC54B0D"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139CC5A8" w14:textId="77777777" w:rsidTr="00EA6243">
        <w:trPr>
          <w:cantSplit/>
        </w:trPr>
        <w:tc>
          <w:tcPr>
            <w:tcW w:w="4077" w:type="dxa"/>
            <w:vAlign w:val="center"/>
          </w:tcPr>
          <w:p w14:paraId="50DA706C" w14:textId="77777777" w:rsidR="00687890" w:rsidRPr="00263255" w:rsidRDefault="00687890" w:rsidP="00263255">
            <w:pPr>
              <w:pStyle w:val="Tablefont"/>
            </w:pPr>
            <w:r w:rsidRPr="00263255">
              <w:t>This chemical is a by-product of a process:</w:t>
            </w:r>
          </w:p>
        </w:tc>
        <w:sdt>
          <w:sdtPr>
            <w:id w:val="-863134491"/>
            <w14:checkbox>
              <w14:checked w14:val="1"/>
              <w14:checkedState w14:val="00FC" w14:font="Wingdings"/>
              <w14:uncheckedState w14:val="2610" w14:font="MS Gothic"/>
            </w14:checkbox>
          </w:sdtPr>
          <w:sdtEndPr/>
          <w:sdtContent>
            <w:tc>
              <w:tcPr>
                <w:tcW w:w="5165" w:type="dxa"/>
                <w:vAlign w:val="center"/>
              </w:tcPr>
              <w:p w14:paraId="6717B58D" w14:textId="77777777" w:rsidR="00687890" w:rsidRPr="004C23F4" w:rsidRDefault="001F7648" w:rsidP="00717D45">
                <w:pPr>
                  <w:pStyle w:val="Tablefont"/>
                </w:pPr>
                <w:r>
                  <w:sym w:font="Wingdings" w:char="F0FC"/>
                </w:r>
              </w:p>
            </w:tc>
          </w:sdtContent>
        </w:sdt>
      </w:tr>
      <w:tr w:rsidR="00E06F40" w:rsidRPr="004C23F4" w14:paraId="128181DF" w14:textId="77777777" w:rsidTr="00EA6243">
        <w:trPr>
          <w:cantSplit/>
        </w:trPr>
        <w:tc>
          <w:tcPr>
            <w:tcW w:w="4077" w:type="dxa"/>
            <w:vAlign w:val="center"/>
          </w:tcPr>
          <w:p w14:paraId="005772EF"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35E0F771" w14:textId="77777777" w:rsidR="00E06F40" w:rsidRPr="00CA6CB0" w:rsidRDefault="008E5A9B"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CA6CB0">
                  <w:rPr>
                    <w:rFonts w:ascii="MS Gothic" w:eastAsia="MS Gothic" w:hAnsi="MS Gothic" w:cs="MS Gothic" w:hint="eastAsia"/>
                  </w:rPr>
                  <w:t>☐</w:t>
                </w:r>
              </w:sdtContent>
            </w:sdt>
            <w:r w:rsidR="00E06F40" w:rsidRPr="00CA6CB0">
              <w:t xml:space="preserve"> ACGIH</w:t>
            </w:r>
            <w:r w:rsidR="00E06F40" w:rsidRPr="00CA6CB0">
              <w:tab/>
            </w:r>
            <w:sdt>
              <w:sdtPr>
                <w:id w:val="129367724"/>
                <w14:checkbox>
                  <w14:checked w14:val="1"/>
                  <w14:checkedState w14:val="00FC" w14:font="Wingdings"/>
                  <w14:uncheckedState w14:val="2610" w14:font="MS Gothic"/>
                </w14:checkbox>
              </w:sdtPr>
              <w:sdtEndPr/>
              <w:sdtContent>
                <w:r w:rsidR="005A6DD4" w:rsidRPr="00CA6CB0">
                  <w:sym w:font="Wingdings" w:char="F0FC"/>
                </w:r>
              </w:sdtContent>
            </w:sdt>
            <w:r w:rsidR="00E06F40" w:rsidRPr="00CA6CB0">
              <w:t xml:space="preserve"> DFG</w:t>
            </w:r>
            <w:r w:rsidR="00E06F40" w:rsidRPr="00CA6CB0">
              <w:tab/>
            </w:r>
            <w:sdt>
              <w:sdtPr>
                <w:id w:val="-1535876012"/>
                <w14:checkbox>
                  <w14:checked w14:val="0"/>
                  <w14:checkedState w14:val="00FC" w14:font="Wingdings"/>
                  <w14:uncheckedState w14:val="2610" w14:font="MS Gothic"/>
                </w14:checkbox>
              </w:sdtPr>
              <w:sdtEndPr/>
              <w:sdtContent>
                <w:r w:rsidR="00E06F40" w:rsidRPr="00CA6CB0">
                  <w:rPr>
                    <w:rFonts w:ascii="MS Gothic" w:eastAsia="MS Gothic" w:hAnsi="MS Gothic" w:cs="MS Gothic" w:hint="eastAsia"/>
                  </w:rPr>
                  <w:t>☐</w:t>
                </w:r>
              </w:sdtContent>
            </w:sdt>
            <w:r w:rsidR="00E06F40" w:rsidRPr="00CA6CB0">
              <w:t xml:space="preserve"> SCOEL</w:t>
            </w:r>
            <w:r w:rsidR="00E06F40" w:rsidRPr="00CA6CB0">
              <w:tab/>
            </w:r>
          </w:p>
        </w:tc>
      </w:tr>
    </w:tbl>
    <w:p w14:paraId="0D600562"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6CE727CE" w14:textId="77777777" w:rsidTr="00F053FA">
        <w:trPr>
          <w:tblHeader/>
        </w:trPr>
        <w:tc>
          <w:tcPr>
            <w:tcW w:w="4077" w:type="dxa"/>
            <w:shd w:val="clear" w:color="auto" w:fill="BFBFBF" w:themeFill="background1" w:themeFillShade="BF"/>
            <w:vAlign w:val="center"/>
          </w:tcPr>
          <w:p w14:paraId="37BB2B03" w14:textId="77777777" w:rsidR="00224EE2" w:rsidRPr="004C23F4" w:rsidRDefault="00224EE2" w:rsidP="00EB3D1B">
            <w:pPr>
              <w:pStyle w:val="Tableheader"/>
              <w:keepNext/>
              <w:keepLines/>
            </w:pPr>
            <w:bookmarkStart w:id="6" w:name="History" w:colFirst="0" w:colLast="1"/>
            <w:r>
              <w:t>Year</w:t>
            </w:r>
          </w:p>
        </w:tc>
        <w:tc>
          <w:tcPr>
            <w:tcW w:w="5165" w:type="dxa"/>
            <w:shd w:val="clear" w:color="auto" w:fill="BFBFBF" w:themeFill="background1" w:themeFillShade="BF"/>
            <w:vAlign w:val="center"/>
          </w:tcPr>
          <w:p w14:paraId="226DE497" w14:textId="77777777" w:rsidR="00224EE2" w:rsidRPr="004C23F4" w:rsidRDefault="00224EE2" w:rsidP="00EB3D1B">
            <w:pPr>
              <w:pStyle w:val="Tableheader"/>
              <w:keepNext/>
              <w:keepLines/>
            </w:pPr>
            <w:r>
              <w:t>Standard</w:t>
            </w:r>
          </w:p>
        </w:tc>
      </w:tr>
      <w:tr w:rsidR="007F1005" w:rsidRPr="004C23F4" w14:paraId="312F1BCA" w14:textId="77777777" w:rsidTr="00F053FA">
        <w:trPr>
          <w:tblHeader/>
        </w:trPr>
        <w:sdt>
          <w:sdtPr>
            <w:id w:val="-25557549"/>
            <w:placeholder>
              <w:docPart w:val="2BF891C0AB704CDAB9BC6E80D556473F"/>
            </w:placeholder>
            <w:showingPlcHdr/>
            <w:text/>
          </w:sdtPr>
          <w:sdtEndPr/>
          <w:sdtContent>
            <w:tc>
              <w:tcPr>
                <w:tcW w:w="4077" w:type="dxa"/>
                <w:vAlign w:val="center"/>
              </w:tcPr>
              <w:p w14:paraId="7AEEF774"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3C981374" w14:textId="77777777" w:rsidR="007F1005" w:rsidRPr="004C23F4" w:rsidRDefault="007F1005" w:rsidP="00EB3D1B">
            <w:pPr>
              <w:pStyle w:val="Tablefont"/>
              <w:keepLines/>
            </w:pPr>
          </w:p>
        </w:tc>
      </w:tr>
    </w:tbl>
    <w:bookmarkEnd w:id="6"/>
    <w:p w14:paraId="7749D545" w14:textId="77777777" w:rsidR="00F87D92" w:rsidRDefault="00F87D92" w:rsidP="00EF7F78">
      <w:pPr>
        <w:pStyle w:val="Heading2"/>
        <w:tabs>
          <w:tab w:val="right" w:pos="8505"/>
        </w:tabs>
      </w:pPr>
      <w:r>
        <w:t>References</w:t>
      </w:r>
      <w:r w:rsidR="00EF7F78">
        <w:tab/>
      </w:r>
    </w:p>
    <w:p w14:paraId="66879D71"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7BAFEF1C" w14:textId="77777777" w:rsidR="00C37095" w:rsidRDefault="00C37095" w:rsidP="00C37095">
      <w:r>
        <w:t xml:space="preserve">APVMA online resource (2018) - </w:t>
      </w:r>
      <w:proofErr w:type="spellStart"/>
      <w:r w:rsidRPr="00B025E6">
        <w:t>Greenzone</w:t>
      </w:r>
      <w:proofErr w:type="spellEnd"/>
      <w:r w:rsidRPr="00B025E6">
        <w:t xml:space="preserve"> Sock Termite Barrier</w:t>
      </w:r>
      <w:r>
        <w:t xml:space="preserve"> – label documentation</w:t>
      </w:r>
    </w:p>
    <w:p w14:paraId="2774F711" w14:textId="77777777" w:rsidR="000C6A8F" w:rsidRDefault="00684933" w:rsidP="00084859">
      <w:r w:rsidRPr="002022B6">
        <w:t xml:space="preserve">Deutsche </w:t>
      </w:r>
      <w:proofErr w:type="spellStart"/>
      <w:r w:rsidRPr="002022B6">
        <w:t>Forschungsgemeinschaft</w:t>
      </w:r>
      <w:proofErr w:type="spellEnd"/>
      <w:r w:rsidRPr="002022B6">
        <w:t xml:space="preserve"> (DFG)</w:t>
      </w:r>
      <w:r>
        <w:t xml:space="preserve"> (2007) </w:t>
      </w:r>
      <w:r w:rsidR="00F41176">
        <w:rPr>
          <w:rFonts w:cs="Arial"/>
          <w:color w:val="1C1D1E"/>
        </w:rPr>
        <w:t>Antimony and its inorganic compounds (inhalable fraction)</w:t>
      </w:r>
      <w:r>
        <w:t xml:space="preserve"> – MAK value documentation.</w:t>
      </w:r>
    </w:p>
    <w:p w14:paraId="4D36FE3F" w14:textId="77777777" w:rsidR="000B4684" w:rsidRPr="00360BA4" w:rsidRDefault="000B4684" w:rsidP="000B4684">
      <w:pPr>
        <w:rPr>
          <w:b/>
        </w:rPr>
      </w:pPr>
      <w:r w:rsidRPr="00360BA4">
        <w:t xml:space="preserve">European Chemicals Agency (ECHA) (2009) Annex XV dossier Proposal for Harmonised Classification and Labelling </w:t>
      </w:r>
      <w:proofErr w:type="spellStart"/>
      <w:r w:rsidRPr="00360BA4">
        <w:t>Diantimony</w:t>
      </w:r>
      <w:proofErr w:type="spellEnd"/>
      <w:r w:rsidRPr="00360BA4">
        <w:t xml:space="preserve"> trioxide.</w:t>
      </w:r>
    </w:p>
    <w:p w14:paraId="51C4A422" w14:textId="77777777" w:rsidR="00F41176" w:rsidRDefault="00DE319E" w:rsidP="00084859">
      <w:r w:rsidRPr="002022B6">
        <w:t>Health Council of the Netherlands</w:t>
      </w:r>
      <w:r>
        <w:t xml:space="preserve"> (HCOTN) (</w:t>
      </w:r>
      <w:r w:rsidR="004F213D">
        <w:t>2011</w:t>
      </w:r>
      <w:r>
        <w:t xml:space="preserve">) </w:t>
      </w:r>
      <w:r w:rsidR="004F213D" w:rsidRPr="00360BA4">
        <w:t>Antimony and antimony compounds</w:t>
      </w:r>
      <w:r w:rsidRPr="00360BA4">
        <w:t xml:space="preserve">. Health-based calculated occupational cancer risk values. The Hague: Health Council of the Netherlands; publication no. </w:t>
      </w:r>
      <w:r w:rsidR="004F213D" w:rsidRPr="00360BA4">
        <w:t>2011/33</w:t>
      </w:r>
      <w:r w:rsidRPr="00360BA4">
        <w:t>.</w:t>
      </w:r>
    </w:p>
    <w:p w14:paraId="5606A298" w14:textId="77777777" w:rsidR="00C37095" w:rsidRPr="00351FE0" w:rsidRDefault="00C37095" w:rsidP="00C37095">
      <w:r w:rsidRPr="002022B6">
        <w:t>International Agency for Research on Cancer</w:t>
      </w:r>
      <w:r>
        <w:t xml:space="preserve"> (IARC) (1989) Antimony trioxide and antinomy </w:t>
      </w:r>
      <w:proofErr w:type="spellStart"/>
      <w:r>
        <w:t>trisulfide</w:t>
      </w:r>
      <w:proofErr w:type="spellEnd"/>
      <w:r>
        <w:t>. IARC Monographs on the evaluation of the carcinogenic risk to humans volume 47.</w:t>
      </w:r>
    </w:p>
    <w:p w14:paraId="579883C0" w14:textId="77777777" w:rsidR="009135F4" w:rsidRPr="00360BA4" w:rsidRDefault="009135F4" w:rsidP="00084859">
      <w:r w:rsidRPr="00360BA4">
        <w:t xml:space="preserve">National Industrial Chemicals Notification and Assessment Scheme (NICNAS) (2000) Antimony Triacetate: Human health </w:t>
      </w:r>
      <w:sdt>
        <w:sdtPr>
          <w:id w:val="-1295753243"/>
          <w:placeholder>
            <w:docPart w:val="33E16848481F4F0FB1C4D646AD48A19A"/>
          </w:placeholder>
          <w:temporary/>
          <w:showingPlcHdr/>
        </w:sdtPr>
        <w:sdtEndPr/>
        <w:sdtContent>
          <w:r w:rsidRPr="00360BA4">
            <w:t>tier II</w:t>
          </w:r>
        </w:sdtContent>
      </w:sdt>
      <w:r w:rsidRPr="00360BA4">
        <w:t xml:space="preserve"> assessment – IMAP report.</w:t>
      </w:r>
    </w:p>
    <w:p w14:paraId="1103311F" w14:textId="77777777" w:rsidR="00011059" w:rsidRPr="00360BA4" w:rsidRDefault="00011059" w:rsidP="00011059">
      <w:r w:rsidRPr="00360BA4">
        <w:t xml:space="preserve">National Industrial Chemicals Notification and Assessment Scheme (NICNAS) (2015) Antimony </w:t>
      </w:r>
      <w:r w:rsidR="004F43F3" w:rsidRPr="00360BA4">
        <w:t>oxide</w:t>
      </w:r>
      <w:r w:rsidRPr="00360BA4">
        <w:t xml:space="preserve"> (Sb2O3): Human health </w:t>
      </w:r>
      <w:sdt>
        <w:sdtPr>
          <w:id w:val="242461631"/>
          <w:placeholder>
            <w:docPart w:val="ED51A016E7B44A20BC5E8890B0070786"/>
          </w:placeholder>
          <w:temporary/>
          <w:showingPlcHdr/>
        </w:sdtPr>
        <w:sdtEndPr/>
        <w:sdtContent>
          <w:r w:rsidRPr="00360BA4">
            <w:t>tier II</w:t>
          </w:r>
        </w:sdtContent>
      </w:sdt>
      <w:r w:rsidRPr="00360BA4">
        <w:t xml:space="preserve"> assessment – IMAP report.</w:t>
      </w:r>
    </w:p>
    <w:p w14:paraId="428039F8" w14:textId="77777777" w:rsidR="00011059" w:rsidRPr="00360BA4" w:rsidRDefault="00B846C7" w:rsidP="00B846C7">
      <w:r w:rsidRPr="00360BA4">
        <w:t>National Industrial Chemicals Notification and Assessment Scheme (NICNAS) (</w:t>
      </w:r>
      <w:r w:rsidR="00011059" w:rsidRPr="00360BA4">
        <w:t>2016</w:t>
      </w:r>
      <w:r w:rsidRPr="00360BA4">
        <w:t xml:space="preserve">) Antimony </w:t>
      </w:r>
      <w:proofErr w:type="spellStart"/>
      <w:r w:rsidRPr="00360BA4">
        <w:t>sulfide</w:t>
      </w:r>
      <w:proofErr w:type="spellEnd"/>
      <w:r w:rsidRPr="00360BA4">
        <w:t xml:space="preserve"> (Sb2S3): Human health </w:t>
      </w:r>
      <w:sdt>
        <w:sdtPr>
          <w:id w:val="-57713866"/>
          <w:placeholder>
            <w:docPart w:val="F1BD29A7CCF440A6AB7F326D34FEBAAD"/>
          </w:placeholder>
          <w:temporary/>
          <w:showingPlcHdr/>
        </w:sdtPr>
        <w:sdtEndPr/>
        <w:sdtContent>
          <w:r w:rsidRPr="00360BA4">
            <w:t>tier II</w:t>
          </w:r>
        </w:sdtContent>
      </w:sdt>
      <w:r w:rsidRPr="00360BA4">
        <w:t xml:space="preserve"> assessment – IMAP report.</w:t>
      </w:r>
    </w:p>
    <w:p w14:paraId="4C3CB26A" w14:textId="77777777" w:rsidR="00C37095" w:rsidRDefault="00C37095" w:rsidP="00C37095">
      <w:r>
        <w:t>National Toxicology Program (NTP) (2018) NTP-</w:t>
      </w:r>
      <w:proofErr w:type="spellStart"/>
      <w:r>
        <w:t>RoC</w:t>
      </w:r>
      <w:proofErr w:type="spellEnd"/>
      <w:r>
        <w:t xml:space="preserve"> Revised Draft: Antimony Trioxide.</w:t>
      </w:r>
    </w:p>
    <w:p w14:paraId="4F9565BF" w14:textId="77777777" w:rsidR="001F7648" w:rsidRDefault="001F7648" w:rsidP="00084859">
      <w:r w:rsidRPr="00360BA4">
        <w:t>NIOSH Immediately Dangerous to Life or Health Concentrations (IDLH) (1994) Antimony compounds (as Sb) – IDLH documentation</w:t>
      </w:r>
      <w:r w:rsidR="001071D6" w:rsidRPr="00360BA4">
        <w:t>.</w:t>
      </w:r>
    </w:p>
    <w:p w14:paraId="45E54EA1" w14:textId="77777777" w:rsidR="00170607" w:rsidRPr="00360BA4" w:rsidRDefault="001071D6" w:rsidP="00084859">
      <w:r w:rsidRPr="00360BA4">
        <w:t>US Environmental Protection Agency (US EPA) (</w:t>
      </w:r>
      <w:r w:rsidR="00036A2E" w:rsidRPr="00360BA4">
        <w:t>1987</w:t>
      </w:r>
      <w:r w:rsidRPr="00360BA4">
        <w:t xml:space="preserve">) </w:t>
      </w:r>
      <w:r w:rsidR="00036A2E" w:rsidRPr="00360BA4">
        <w:t>Antimony trioxide –</w:t>
      </w:r>
      <w:r w:rsidRPr="00360BA4">
        <w:t xml:space="preserve"> Integrated Risk Information System (IRIS) documentation.</w:t>
      </w:r>
    </w:p>
    <w:p w14:paraId="090641B8" w14:textId="299BAC45" w:rsidR="00C37095" w:rsidRPr="004E14EF" w:rsidRDefault="00C37095">
      <w:pPr>
        <w:rPr>
          <w:i/>
          <w:iCs/>
        </w:rPr>
      </w:pPr>
    </w:p>
    <w:sectPr w:rsidR="00C37095" w:rsidRPr="004E14EF" w:rsidSect="00B87D4C">
      <w:headerReference w:type="default" r:id="rId18"/>
      <w:pgSz w:w="11906" w:h="16838"/>
      <w:pgMar w:top="1440" w:right="1440" w:bottom="1440" w:left="1440" w:header="708" w:footer="28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14ACFC" w16cid:durableId="20E1C469"/>
  <w16cid:commentId w16cid:paraId="703D2D2A" w16cid:durableId="20E1C594"/>
  <w16cid:commentId w16cid:paraId="75FA9A91" w16cid:durableId="20E1C672"/>
  <w16cid:commentId w16cid:paraId="2A08A5B0" w16cid:durableId="20E1C607"/>
  <w16cid:commentId w16cid:paraId="28C911E7" w16cid:durableId="20E1B95C"/>
  <w16cid:commentId w16cid:paraId="44C090E7" w16cid:durableId="20E1B98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8CB71" w14:textId="77777777" w:rsidR="00612C1F" w:rsidRDefault="00612C1F" w:rsidP="00F43AD5">
      <w:pPr>
        <w:spacing w:after="0" w:line="240" w:lineRule="auto"/>
      </w:pPr>
      <w:r>
        <w:separator/>
      </w:r>
    </w:p>
  </w:endnote>
  <w:endnote w:type="continuationSeparator" w:id="0">
    <w:p w14:paraId="47CF81C1" w14:textId="77777777" w:rsidR="00612C1F" w:rsidRDefault="00612C1F"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ACCEA" w14:textId="77777777" w:rsidR="0018205B" w:rsidRDefault="001820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5787447"/>
      <w:docPartObj>
        <w:docPartGallery w:val="Page Numbers (Bottom of Page)"/>
        <w:docPartUnique/>
      </w:docPartObj>
    </w:sdtPr>
    <w:sdtEndPr>
      <w:rPr>
        <w:noProof/>
        <w:sz w:val="18"/>
        <w:szCs w:val="18"/>
      </w:rPr>
    </w:sdtEndPr>
    <w:sdtContent>
      <w:p w14:paraId="26FEC9F0" w14:textId="77777777" w:rsidR="00AC31A9" w:rsidRDefault="00AC31A9" w:rsidP="0034744C">
        <w:pPr>
          <w:pStyle w:val="Footer"/>
          <w:rPr>
            <w:sz w:val="18"/>
            <w:szCs w:val="18"/>
          </w:rPr>
        </w:pPr>
        <w:r w:rsidRPr="0057448A">
          <w:rPr>
            <w:b/>
            <w:sz w:val="18"/>
            <w:szCs w:val="18"/>
          </w:rPr>
          <w:t>Antimony and its compounds</w:t>
        </w:r>
        <w:r>
          <w:rPr>
            <w:b/>
            <w:sz w:val="18"/>
            <w:szCs w:val="18"/>
          </w:rPr>
          <w:t xml:space="preserve"> (</w:t>
        </w:r>
        <w:r w:rsidRPr="0057448A">
          <w:rPr>
            <w:b/>
            <w:sz w:val="18"/>
            <w:szCs w:val="18"/>
          </w:rPr>
          <w:t>7440-36-0</w:t>
        </w:r>
        <w:proofErr w:type="gramStart"/>
        <w:r>
          <w:rPr>
            <w:b/>
            <w:sz w:val="18"/>
            <w:szCs w:val="18"/>
          </w:rPr>
          <w:t>)</w:t>
        </w:r>
        <w:proofErr w:type="gramEnd"/>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Pr>
            <w:sz w:val="18"/>
            <w:szCs w:val="18"/>
          </w:rPr>
          <w:t>9</w:t>
        </w:r>
      </w:p>
      <w:p w14:paraId="1795C2D9" w14:textId="550ED58A" w:rsidR="00AC31A9" w:rsidRPr="00F43AD5" w:rsidRDefault="00AC31A9"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8E5A9B">
          <w:rPr>
            <w:noProof/>
            <w:sz w:val="18"/>
            <w:szCs w:val="18"/>
          </w:rPr>
          <w:t>7</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D7CF2" w14:textId="77777777" w:rsidR="0018205B" w:rsidRDefault="001820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6BFA0" w14:textId="77777777" w:rsidR="00612C1F" w:rsidRDefault="00612C1F" w:rsidP="00F43AD5">
      <w:pPr>
        <w:spacing w:after="0" w:line="240" w:lineRule="auto"/>
      </w:pPr>
      <w:r>
        <w:separator/>
      </w:r>
    </w:p>
  </w:footnote>
  <w:footnote w:type="continuationSeparator" w:id="0">
    <w:p w14:paraId="75E4C76E" w14:textId="77777777" w:rsidR="00612C1F" w:rsidRDefault="00612C1F"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3E1C7" w14:textId="77777777" w:rsidR="0018205B" w:rsidRDefault="001820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2EDEA" w14:textId="77777777" w:rsidR="00AC31A9" w:rsidRDefault="00AC31A9" w:rsidP="00F43AD5">
    <w:pPr>
      <w:pStyle w:val="Header"/>
      <w:jc w:val="right"/>
    </w:pPr>
    <w:r>
      <w:rPr>
        <w:noProof/>
        <w:lang w:eastAsia="en-AU"/>
      </w:rPr>
      <w:drawing>
        <wp:inline distT="0" distB="0" distL="0" distR="0" wp14:anchorId="1AB524CC" wp14:editId="325165E0">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BDF5D" w14:textId="77777777" w:rsidR="0018205B" w:rsidRDefault="001820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D7789" w14:textId="77777777" w:rsidR="00AC31A9" w:rsidRDefault="00AC31A9"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258829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E94DA7"/>
    <w:multiLevelType w:val="hybridMultilevel"/>
    <w:tmpl w:val="942E1734"/>
    <w:lvl w:ilvl="0" w:tplc="04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8215252"/>
    <w:multiLevelType w:val="hybridMultilevel"/>
    <w:tmpl w:val="123A80D6"/>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 w15:restartNumberingAfterBreak="0">
    <w:nsid w:val="1A7061DF"/>
    <w:multiLevelType w:val="hybridMultilevel"/>
    <w:tmpl w:val="C93208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2243A39"/>
    <w:multiLevelType w:val="hybridMultilevel"/>
    <w:tmpl w:val="0E0AE2F2"/>
    <w:lvl w:ilvl="0" w:tplc="0C090003">
      <w:start w:val="1"/>
      <w:numFmt w:val="bullet"/>
      <w:lvlText w:val="o"/>
      <w:lvlJc w:val="left"/>
      <w:pPr>
        <w:ind w:left="1083" w:hanging="360"/>
      </w:pPr>
      <w:rPr>
        <w:rFonts w:ascii="Courier New" w:hAnsi="Courier New" w:cs="Courier New" w:hint="default"/>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3497507C"/>
    <w:multiLevelType w:val="hybridMultilevel"/>
    <w:tmpl w:val="61C2CC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BA27DFC"/>
    <w:multiLevelType w:val="hybridMultilevel"/>
    <w:tmpl w:val="F94EAE3C"/>
    <w:lvl w:ilvl="0" w:tplc="545A5388">
      <w:start w:val="70"/>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C7504F0"/>
    <w:multiLevelType w:val="hybridMultilevel"/>
    <w:tmpl w:val="2BC81F18"/>
    <w:lvl w:ilvl="0" w:tplc="04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5DB7B18"/>
    <w:multiLevelType w:val="hybridMultilevel"/>
    <w:tmpl w:val="571051BE"/>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F4512BA"/>
    <w:multiLevelType w:val="hybridMultilevel"/>
    <w:tmpl w:val="023C25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1360D3A"/>
    <w:multiLevelType w:val="hybridMultilevel"/>
    <w:tmpl w:val="2DFC8884"/>
    <w:lvl w:ilvl="0" w:tplc="04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768E080E"/>
    <w:multiLevelType w:val="hybridMultilevel"/>
    <w:tmpl w:val="5762B3CE"/>
    <w:lvl w:ilvl="0" w:tplc="04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792F435D"/>
    <w:multiLevelType w:val="hybridMultilevel"/>
    <w:tmpl w:val="5ABC3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DD80BCA"/>
    <w:multiLevelType w:val="hybridMultilevel"/>
    <w:tmpl w:val="05EA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3"/>
  </w:num>
  <w:num w:numId="5">
    <w:abstractNumId w:val="13"/>
  </w:num>
  <w:num w:numId="6">
    <w:abstractNumId w:val="9"/>
  </w:num>
  <w:num w:numId="7">
    <w:abstractNumId w:val="6"/>
  </w:num>
  <w:num w:numId="8">
    <w:abstractNumId w:val="7"/>
  </w:num>
  <w:num w:numId="9">
    <w:abstractNumId w:val="0"/>
  </w:num>
  <w:num w:numId="10">
    <w:abstractNumId w:val="8"/>
  </w:num>
  <w:num w:numId="11">
    <w:abstractNumId w:val="11"/>
  </w:num>
  <w:num w:numId="12">
    <w:abstractNumId w:val="1"/>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10"/>
  </w:num>
  <w:num w:numId="25">
    <w:abstractNumId w:val="0"/>
  </w:num>
  <w:num w:numId="26">
    <w:abstractNumId w:val="0"/>
  </w:num>
  <w:num w:numId="27">
    <w:abstractNumId w:val="0"/>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xAppendixName" w:val="Appendix"/>
  </w:docVars>
  <w:rsids>
    <w:rsidRoot w:val="00610F2E"/>
    <w:rsid w:val="00000109"/>
    <w:rsid w:val="00007B80"/>
    <w:rsid w:val="00011059"/>
    <w:rsid w:val="00013A22"/>
    <w:rsid w:val="00014C3F"/>
    <w:rsid w:val="00017C82"/>
    <w:rsid w:val="00032B88"/>
    <w:rsid w:val="00036A2E"/>
    <w:rsid w:val="00036F1D"/>
    <w:rsid w:val="00044FF9"/>
    <w:rsid w:val="00046485"/>
    <w:rsid w:val="00046DF5"/>
    <w:rsid w:val="00052060"/>
    <w:rsid w:val="0005574A"/>
    <w:rsid w:val="00055B44"/>
    <w:rsid w:val="00055FE1"/>
    <w:rsid w:val="00056EC2"/>
    <w:rsid w:val="00060B48"/>
    <w:rsid w:val="00065D18"/>
    <w:rsid w:val="00067F32"/>
    <w:rsid w:val="00071807"/>
    <w:rsid w:val="000803E1"/>
    <w:rsid w:val="00084513"/>
    <w:rsid w:val="00084859"/>
    <w:rsid w:val="00085EE7"/>
    <w:rsid w:val="00087A68"/>
    <w:rsid w:val="00092D94"/>
    <w:rsid w:val="000A1D01"/>
    <w:rsid w:val="000B0868"/>
    <w:rsid w:val="000B35B1"/>
    <w:rsid w:val="000B3E12"/>
    <w:rsid w:val="000B3E78"/>
    <w:rsid w:val="000B401E"/>
    <w:rsid w:val="000B4684"/>
    <w:rsid w:val="000B7766"/>
    <w:rsid w:val="000B7B48"/>
    <w:rsid w:val="000C096D"/>
    <w:rsid w:val="000C139A"/>
    <w:rsid w:val="000C2053"/>
    <w:rsid w:val="000C248C"/>
    <w:rsid w:val="000C6A8F"/>
    <w:rsid w:val="000D015D"/>
    <w:rsid w:val="000D291C"/>
    <w:rsid w:val="000E435C"/>
    <w:rsid w:val="000E5A54"/>
    <w:rsid w:val="000E63D3"/>
    <w:rsid w:val="000E67CF"/>
    <w:rsid w:val="000F42C4"/>
    <w:rsid w:val="0010461E"/>
    <w:rsid w:val="00106D61"/>
    <w:rsid w:val="00106FAA"/>
    <w:rsid w:val="001071D6"/>
    <w:rsid w:val="00113443"/>
    <w:rsid w:val="00122A46"/>
    <w:rsid w:val="001234D2"/>
    <w:rsid w:val="001269A7"/>
    <w:rsid w:val="00131092"/>
    <w:rsid w:val="00140E6A"/>
    <w:rsid w:val="001435CA"/>
    <w:rsid w:val="00146545"/>
    <w:rsid w:val="00146B75"/>
    <w:rsid w:val="0015266D"/>
    <w:rsid w:val="0015288A"/>
    <w:rsid w:val="001578CF"/>
    <w:rsid w:val="00160F47"/>
    <w:rsid w:val="00163FD3"/>
    <w:rsid w:val="00170607"/>
    <w:rsid w:val="00177CA1"/>
    <w:rsid w:val="0018205B"/>
    <w:rsid w:val="00183823"/>
    <w:rsid w:val="00183942"/>
    <w:rsid w:val="001A009E"/>
    <w:rsid w:val="001A1287"/>
    <w:rsid w:val="001A2636"/>
    <w:rsid w:val="001A3859"/>
    <w:rsid w:val="001A3C9D"/>
    <w:rsid w:val="001A43F8"/>
    <w:rsid w:val="001B79E5"/>
    <w:rsid w:val="001C5B40"/>
    <w:rsid w:val="001D56F0"/>
    <w:rsid w:val="001D663B"/>
    <w:rsid w:val="001D7B41"/>
    <w:rsid w:val="001E46DA"/>
    <w:rsid w:val="001E4C36"/>
    <w:rsid w:val="001E7D80"/>
    <w:rsid w:val="001F032B"/>
    <w:rsid w:val="001F1A10"/>
    <w:rsid w:val="001F4B6C"/>
    <w:rsid w:val="001F62CB"/>
    <w:rsid w:val="001F6ED0"/>
    <w:rsid w:val="001F72E6"/>
    <w:rsid w:val="001F73C5"/>
    <w:rsid w:val="001F7648"/>
    <w:rsid w:val="002046A6"/>
    <w:rsid w:val="00204956"/>
    <w:rsid w:val="00206F7F"/>
    <w:rsid w:val="00213640"/>
    <w:rsid w:val="00221547"/>
    <w:rsid w:val="002216FC"/>
    <w:rsid w:val="00222533"/>
    <w:rsid w:val="00222F30"/>
    <w:rsid w:val="00224EE2"/>
    <w:rsid w:val="00226FA7"/>
    <w:rsid w:val="00227EC7"/>
    <w:rsid w:val="00244AD1"/>
    <w:rsid w:val="002463BC"/>
    <w:rsid w:val="002465CE"/>
    <w:rsid w:val="00255074"/>
    <w:rsid w:val="0025734A"/>
    <w:rsid w:val="00263255"/>
    <w:rsid w:val="00276494"/>
    <w:rsid w:val="00277B0C"/>
    <w:rsid w:val="002932E6"/>
    <w:rsid w:val="00293BB0"/>
    <w:rsid w:val="002A4FC5"/>
    <w:rsid w:val="002A571E"/>
    <w:rsid w:val="002B1A2C"/>
    <w:rsid w:val="002C34F2"/>
    <w:rsid w:val="002C58FF"/>
    <w:rsid w:val="002C7AFE"/>
    <w:rsid w:val="002D05D2"/>
    <w:rsid w:val="002E0D61"/>
    <w:rsid w:val="002E4C7B"/>
    <w:rsid w:val="002F0CBC"/>
    <w:rsid w:val="00303D5A"/>
    <w:rsid w:val="0030740C"/>
    <w:rsid w:val="00315833"/>
    <w:rsid w:val="003215EE"/>
    <w:rsid w:val="0032187E"/>
    <w:rsid w:val="003224BF"/>
    <w:rsid w:val="003241A8"/>
    <w:rsid w:val="003253F0"/>
    <w:rsid w:val="00331D64"/>
    <w:rsid w:val="003337DA"/>
    <w:rsid w:val="00334EFB"/>
    <w:rsid w:val="00335CDE"/>
    <w:rsid w:val="003365A5"/>
    <w:rsid w:val="00347192"/>
    <w:rsid w:val="0034744C"/>
    <w:rsid w:val="00351FE0"/>
    <w:rsid w:val="00352615"/>
    <w:rsid w:val="0035412B"/>
    <w:rsid w:val="003567A8"/>
    <w:rsid w:val="00360BA4"/>
    <w:rsid w:val="00362895"/>
    <w:rsid w:val="003636C4"/>
    <w:rsid w:val="003665AC"/>
    <w:rsid w:val="00366C38"/>
    <w:rsid w:val="00370DBF"/>
    <w:rsid w:val="00381EAF"/>
    <w:rsid w:val="00386093"/>
    <w:rsid w:val="0038616C"/>
    <w:rsid w:val="003904A4"/>
    <w:rsid w:val="00391841"/>
    <w:rsid w:val="00391B6D"/>
    <w:rsid w:val="0039398F"/>
    <w:rsid w:val="00394922"/>
    <w:rsid w:val="003A0E32"/>
    <w:rsid w:val="003A2B94"/>
    <w:rsid w:val="003B387D"/>
    <w:rsid w:val="003B4695"/>
    <w:rsid w:val="003B5FDE"/>
    <w:rsid w:val="003C0D58"/>
    <w:rsid w:val="003C2387"/>
    <w:rsid w:val="003C6875"/>
    <w:rsid w:val="003D4FA3"/>
    <w:rsid w:val="003E0807"/>
    <w:rsid w:val="003E2FE1"/>
    <w:rsid w:val="003E51FB"/>
    <w:rsid w:val="003E6B39"/>
    <w:rsid w:val="003F07E1"/>
    <w:rsid w:val="003F7AB0"/>
    <w:rsid w:val="00400671"/>
    <w:rsid w:val="004030BC"/>
    <w:rsid w:val="00403F7D"/>
    <w:rsid w:val="00403FBE"/>
    <w:rsid w:val="00406785"/>
    <w:rsid w:val="004079B4"/>
    <w:rsid w:val="004114A2"/>
    <w:rsid w:val="00417A56"/>
    <w:rsid w:val="00420957"/>
    <w:rsid w:val="00422996"/>
    <w:rsid w:val="00422A10"/>
    <w:rsid w:val="0042697F"/>
    <w:rsid w:val="0042770B"/>
    <w:rsid w:val="00430179"/>
    <w:rsid w:val="00434FD4"/>
    <w:rsid w:val="004414B5"/>
    <w:rsid w:val="00444482"/>
    <w:rsid w:val="00444B42"/>
    <w:rsid w:val="00445E44"/>
    <w:rsid w:val="00447A06"/>
    <w:rsid w:val="004509E2"/>
    <w:rsid w:val="004515EE"/>
    <w:rsid w:val="004529F0"/>
    <w:rsid w:val="00453C96"/>
    <w:rsid w:val="00457A37"/>
    <w:rsid w:val="00460A03"/>
    <w:rsid w:val="00463B8E"/>
    <w:rsid w:val="0046590B"/>
    <w:rsid w:val="00472A11"/>
    <w:rsid w:val="00472AAD"/>
    <w:rsid w:val="00474E33"/>
    <w:rsid w:val="00476771"/>
    <w:rsid w:val="00476803"/>
    <w:rsid w:val="00485BFD"/>
    <w:rsid w:val="00486278"/>
    <w:rsid w:val="004867A2"/>
    <w:rsid w:val="004873F2"/>
    <w:rsid w:val="00490D4C"/>
    <w:rsid w:val="00493A35"/>
    <w:rsid w:val="0049527A"/>
    <w:rsid w:val="004960A4"/>
    <w:rsid w:val="004966BF"/>
    <w:rsid w:val="00497984"/>
    <w:rsid w:val="004A5088"/>
    <w:rsid w:val="004A5C80"/>
    <w:rsid w:val="004B7F5D"/>
    <w:rsid w:val="004C1E3F"/>
    <w:rsid w:val="004C23F4"/>
    <w:rsid w:val="004C3475"/>
    <w:rsid w:val="004C58B6"/>
    <w:rsid w:val="004D16A3"/>
    <w:rsid w:val="004D2367"/>
    <w:rsid w:val="004D4AA1"/>
    <w:rsid w:val="004D6D68"/>
    <w:rsid w:val="004E14EF"/>
    <w:rsid w:val="004E5EDD"/>
    <w:rsid w:val="004F06D7"/>
    <w:rsid w:val="004F213D"/>
    <w:rsid w:val="004F43F3"/>
    <w:rsid w:val="004F448A"/>
    <w:rsid w:val="004F493D"/>
    <w:rsid w:val="004F65E8"/>
    <w:rsid w:val="0050005E"/>
    <w:rsid w:val="00502B88"/>
    <w:rsid w:val="005142C4"/>
    <w:rsid w:val="0051509C"/>
    <w:rsid w:val="005272E2"/>
    <w:rsid w:val="0053108F"/>
    <w:rsid w:val="00532B56"/>
    <w:rsid w:val="00534B10"/>
    <w:rsid w:val="005446A2"/>
    <w:rsid w:val="00544D2F"/>
    <w:rsid w:val="0054676A"/>
    <w:rsid w:val="00551BD8"/>
    <w:rsid w:val="00573EA0"/>
    <w:rsid w:val="0057448A"/>
    <w:rsid w:val="0057599F"/>
    <w:rsid w:val="00581055"/>
    <w:rsid w:val="00591E38"/>
    <w:rsid w:val="00594FE7"/>
    <w:rsid w:val="005A19C5"/>
    <w:rsid w:val="005A3034"/>
    <w:rsid w:val="005A462D"/>
    <w:rsid w:val="005A6DD4"/>
    <w:rsid w:val="005B253B"/>
    <w:rsid w:val="005B5903"/>
    <w:rsid w:val="005B76AB"/>
    <w:rsid w:val="005B771D"/>
    <w:rsid w:val="005C0AF9"/>
    <w:rsid w:val="005C1201"/>
    <w:rsid w:val="005C5D16"/>
    <w:rsid w:val="005C7688"/>
    <w:rsid w:val="005D302A"/>
    <w:rsid w:val="005D3193"/>
    <w:rsid w:val="005D4A6E"/>
    <w:rsid w:val="005E0BF8"/>
    <w:rsid w:val="005E6979"/>
    <w:rsid w:val="005E75CB"/>
    <w:rsid w:val="006013C1"/>
    <w:rsid w:val="0060669E"/>
    <w:rsid w:val="00610F2E"/>
    <w:rsid w:val="00611399"/>
    <w:rsid w:val="00612C1F"/>
    <w:rsid w:val="00624C4E"/>
    <w:rsid w:val="00625200"/>
    <w:rsid w:val="006363A8"/>
    <w:rsid w:val="00636DB7"/>
    <w:rsid w:val="0063712C"/>
    <w:rsid w:val="006425BE"/>
    <w:rsid w:val="00643D3D"/>
    <w:rsid w:val="00650905"/>
    <w:rsid w:val="006532ED"/>
    <w:rsid w:val="006549F2"/>
    <w:rsid w:val="006567B7"/>
    <w:rsid w:val="00657BFB"/>
    <w:rsid w:val="0066333C"/>
    <w:rsid w:val="006639B4"/>
    <w:rsid w:val="006650FE"/>
    <w:rsid w:val="0067305D"/>
    <w:rsid w:val="00674E1C"/>
    <w:rsid w:val="00677D9B"/>
    <w:rsid w:val="00684933"/>
    <w:rsid w:val="006867F3"/>
    <w:rsid w:val="00687890"/>
    <w:rsid w:val="006901A2"/>
    <w:rsid w:val="00690368"/>
    <w:rsid w:val="0069079C"/>
    <w:rsid w:val="00690B53"/>
    <w:rsid w:val="00691DCB"/>
    <w:rsid w:val="00693124"/>
    <w:rsid w:val="00694BED"/>
    <w:rsid w:val="00695B72"/>
    <w:rsid w:val="006A00F8"/>
    <w:rsid w:val="006A0B15"/>
    <w:rsid w:val="006B160A"/>
    <w:rsid w:val="006B4E6C"/>
    <w:rsid w:val="006B50B6"/>
    <w:rsid w:val="006B6CA6"/>
    <w:rsid w:val="006D79EA"/>
    <w:rsid w:val="006E0A40"/>
    <w:rsid w:val="006E5D05"/>
    <w:rsid w:val="006E6515"/>
    <w:rsid w:val="006F525F"/>
    <w:rsid w:val="00701053"/>
    <w:rsid w:val="00701507"/>
    <w:rsid w:val="00714021"/>
    <w:rsid w:val="00714C68"/>
    <w:rsid w:val="00716A0F"/>
    <w:rsid w:val="00717D45"/>
    <w:rsid w:val="007208F7"/>
    <w:rsid w:val="007218AF"/>
    <w:rsid w:val="007346B5"/>
    <w:rsid w:val="007365D1"/>
    <w:rsid w:val="00740E0E"/>
    <w:rsid w:val="00750212"/>
    <w:rsid w:val="00754539"/>
    <w:rsid w:val="00754779"/>
    <w:rsid w:val="0075716D"/>
    <w:rsid w:val="00765F14"/>
    <w:rsid w:val="00770E31"/>
    <w:rsid w:val="007770F1"/>
    <w:rsid w:val="00783FB1"/>
    <w:rsid w:val="00785CDD"/>
    <w:rsid w:val="00791847"/>
    <w:rsid w:val="007925F0"/>
    <w:rsid w:val="007939B3"/>
    <w:rsid w:val="0079509C"/>
    <w:rsid w:val="00796708"/>
    <w:rsid w:val="00796A72"/>
    <w:rsid w:val="007A74B7"/>
    <w:rsid w:val="007B1B42"/>
    <w:rsid w:val="007C30EB"/>
    <w:rsid w:val="007E063C"/>
    <w:rsid w:val="007E2A4B"/>
    <w:rsid w:val="007E307D"/>
    <w:rsid w:val="007E6A4E"/>
    <w:rsid w:val="007E6C94"/>
    <w:rsid w:val="007F1005"/>
    <w:rsid w:val="007F25E0"/>
    <w:rsid w:val="007F5328"/>
    <w:rsid w:val="00804F5A"/>
    <w:rsid w:val="00810C6D"/>
    <w:rsid w:val="00812887"/>
    <w:rsid w:val="00826F21"/>
    <w:rsid w:val="00832383"/>
    <w:rsid w:val="0083441C"/>
    <w:rsid w:val="00834CC8"/>
    <w:rsid w:val="00835E00"/>
    <w:rsid w:val="00837113"/>
    <w:rsid w:val="00837ED3"/>
    <w:rsid w:val="008412D3"/>
    <w:rsid w:val="008414E4"/>
    <w:rsid w:val="00843E21"/>
    <w:rsid w:val="0084508E"/>
    <w:rsid w:val="008478A6"/>
    <w:rsid w:val="00855A41"/>
    <w:rsid w:val="00857A8A"/>
    <w:rsid w:val="008630EE"/>
    <w:rsid w:val="00863757"/>
    <w:rsid w:val="00864D13"/>
    <w:rsid w:val="00865F6D"/>
    <w:rsid w:val="00871CD5"/>
    <w:rsid w:val="0087428F"/>
    <w:rsid w:val="008745A2"/>
    <w:rsid w:val="008768A8"/>
    <w:rsid w:val="00877964"/>
    <w:rsid w:val="008815D2"/>
    <w:rsid w:val="0088798F"/>
    <w:rsid w:val="00887E4B"/>
    <w:rsid w:val="008915C8"/>
    <w:rsid w:val="008A36CF"/>
    <w:rsid w:val="008A3BC4"/>
    <w:rsid w:val="008B403C"/>
    <w:rsid w:val="008B523C"/>
    <w:rsid w:val="008B7983"/>
    <w:rsid w:val="008C2511"/>
    <w:rsid w:val="008D026D"/>
    <w:rsid w:val="008D23AB"/>
    <w:rsid w:val="008D4B8B"/>
    <w:rsid w:val="008D5728"/>
    <w:rsid w:val="008D5A78"/>
    <w:rsid w:val="008E5A9B"/>
    <w:rsid w:val="008E7B64"/>
    <w:rsid w:val="008F5DCD"/>
    <w:rsid w:val="00900951"/>
    <w:rsid w:val="009118A6"/>
    <w:rsid w:val="009135F4"/>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7524"/>
    <w:rsid w:val="00977E88"/>
    <w:rsid w:val="00980E17"/>
    <w:rsid w:val="00984920"/>
    <w:rsid w:val="0099303A"/>
    <w:rsid w:val="009971C2"/>
    <w:rsid w:val="009A1254"/>
    <w:rsid w:val="009A4376"/>
    <w:rsid w:val="009A66C7"/>
    <w:rsid w:val="009B2FF2"/>
    <w:rsid w:val="009B336A"/>
    <w:rsid w:val="009B380C"/>
    <w:rsid w:val="009B4843"/>
    <w:rsid w:val="009B6543"/>
    <w:rsid w:val="009C199D"/>
    <w:rsid w:val="009C278F"/>
    <w:rsid w:val="009C2B94"/>
    <w:rsid w:val="009C5874"/>
    <w:rsid w:val="009D3B5A"/>
    <w:rsid w:val="009E0C05"/>
    <w:rsid w:val="009E0D1C"/>
    <w:rsid w:val="009E2214"/>
    <w:rsid w:val="009E355A"/>
    <w:rsid w:val="009E63E2"/>
    <w:rsid w:val="009F05CF"/>
    <w:rsid w:val="009F0F3A"/>
    <w:rsid w:val="00A01D0C"/>
    <w:rsid w:val="00A0643F"/>
    <w:rsid w:val="00A067EE"/>
    <w:rsid w:val="00A10FCE"/>
    <w:rsid w:val="00A16D91"/>
    <w:rsid w:val="00A174CC"/>
    <w:rsid w:val="00A2073D"/>
    <w:rsid w:val="00A20751"/>
    <w:rsid w:val="00A27E2D"/>
    <w:rsid w:val="00A31D99"/>
    <w:rsid w:val="00A331B4"/>
    <w:rsid w:val="00A33F1E"/>
    <w:rsid w:val="00A357BA"/>
    <w:rsid w:val="00A35ADC"/>
    <w:rsid w:val="00A402A3"/>
    <w:rsid w:val="00A4667B"/>
    <w:rsid w:val="00A53681"/>
    <w:rsid w:val="00A60E79"/>
    <w:rsid w:val="00A633D4"/>
    <w:rsid w:val="00A633FB"/>
    <w:rsid w:val="00A6461A"/>
    <w:rsid w:val="00A83F11"/>
    <w:rsid w:val="00A84504"/>
    <w:rsid w:val="00A8672F"/>
    <w:rsid w:val="00A87094"/>
    <w:rsid w:val="00A93057"/>
    <w:rsid w:val="00A9305A"/>
    <w:rsid w:val="00A968B0"/>
    <w:rsid w:val="00AA0280"/>
    <w:rsid w:val="00AA1CFA"/>
    <w:rsid w:val="00AB20F4"/>
    <w:rsid w:val="00AB2672"/>
    <w:rsid w:val="00AB2817"/>
    <w:rsid w:val="00AB43C4"/>
    <w:rsid w:val="00AC31A9"/>
    <w:rsid w:val="00AC32E7"/>
    <w:rsid w:val="00AC3A9F"/>
    <w:rsid w:val="00AC6D2F"/>
    <w:rsid w:val="00AD2357"/>
    <w:rsid w:val="00AD7F71"/>
    <w:rsid w:val="00AE2745"/>
    <w:rsid w:val="00AE2F64"/>
    <w:rsid w:val="00AE59C1"/>
    <w:rsid w:val="00AF42CB"/>
    <w:rsid w:val="00AF44DE"/>
    <w:rsid w:val="00AF483F"/>
    <w:rsid w:val="00AF5E07"/>
    <w:rsid w:val="00AF5F06"/>
    <w:rsid w:val="00AF68D5"/>
    <w:rsid w:val="00B00A25"/>
    <w:rsid w:val="00B025E6"/>
    <w:rsid w:val="00B119D3"/>
    <w:rsid w:val="00B1422A"/>
    <w:rsid w:val="00B1765C"/>
    <w:rsid w:val="00B20468"/>
    <w:rsid w:val="00B213C4"/>
    <w:rsid w:val="00B24265"/>
    <w:rsid w:val="00B246E3"/>
    <w:rsid w:val="00B40947"/>
    <w:rsid w:val="00B40C60"/>
    <w:rsid w:val="00B479A9"/>
    <w:rsid w:val="00B52EDF"/>
    <w:rsid w:val="00B5413D"/>
    <w:rsid w:val="00B62890"/>
    <w:rsid w:val="00B64AC0"/>
    <w:rsid w:val="00B71188"/>
    <w:rsid w:val="00B76A41"/>
    <w:rsid w:val="00B846C7"/>
    <w:rsid w:val="00B87D4C"/>
    <w:rsid w:val="00B93646"/>
    <w:rsid w:val="00B961D6"/>
    <w:rsid w:val="00BA0B38"/>
    <w:rsid w:val="00BA1DBB"/>
    <w:rsid w:val="00BA29DB"/>
    <w:rsid w:val="00BA4510"/>
    <w:rsid w:val="00BA529A"/>
    <w:rsid w:val="00BA5996"/>
    <w:rsid w:val="00BB2ECD"/>
    <w:rsid w:val="00BB612A"/>
    <w:rsid w:val="00BD499F"/>
    <w:rsid w:val="00BD56DE"/>
    <w:rsid w:val="00BD7918"/>
    <w:rsid w:val="00BF2406"/>
    <w:rsid w:val="00C069A8"/>
    <w:rsid w:val="00C06E43"/>
    <w:rsid w:val="00C149F4"/>
    <w:rsid w:val="00C16315"/>
    <w:rsid w:val="00C205D1"/>
    <w:rsid w:val="00C3091E"/>
    <w:rsid w:val="00C32137"/>
    <w:rsid w:val="00C348E8"/>
    <w:rsid w:val="00C37095"/>
    <w:rsid w:val="00C40FF1"/>
    <w:rsid w:val="00C419E2"/>
    <w:rsid w:val="00C5020E"/>
    <w:rsid w:val="00C57452"/>
    <w:rsid w:val="00C61EDF"/>
    <w:rsid w:val="00C6239D"/>
    <w:rsid w:val="00C64C54"/>
    <w:rsid w:val="00C65664"/>
    <w:rsid w:val="00C6594B"/>
    <w:rsid w:val="00C67FFB"/>
    <w:rsid w:val="00C7155E"/>
    <w:rsid w:val="00C71D1E"/>
    <w:rsid w:val="00C71D7D"/>
    <w:rsid w:val="00C73930"/>
    <w:rsid w:val="00C74658"/>
    <w:rsid w:val="00C74833"/>
    <w:rsid w:val="00C777DA"/>
    <w:rsid w:val="00C850A0"/>
    <w:rsid w:val="00C85A86"/>
    <w:rsid w:val="00C978F0"/>
    <w:rsid w:val="00CA58FE"/>
    <w:rsid w:val="00CA6CB0"/>
    <w:rsid w:val="00CB1CB1"/>
    <w:rsid w:val="00CB6BC1"/>
    <w:rsid w:val="00CB6CB8"/>
    <w:rsid w:val="00CC0499"/>
    <w:rsid w:val="00CC1A68"/>
    <w:rsid w:val="00CC2123"/>
    <w:rsid w:val="00CD0C8C"/>
    <w:rsid w:val="00CD2BFD"/>
    <w:rsid w:val="00CE553D"/>
    <w:rsid w:val="00CE5AD6"/>
    <w:rsid w:val="00CE617F"/>
    <w:rsid w:val="00CE69C9"/>
    <w:rsid w:val="00CE78EF"/>
    <w:rsid w:val="00D01C5C"/>
    <w:rsid w:val="00D048F7"/>
    <w:rsid w:val="00D0517E"/>
    <w:rsid w:val="00D140FC"/>
    <w:rsid w:val="00D21D8C"/>
    <w:rsid w:val="00D2668C"/>
    <w:rsid w:val="00D31357"/>
    <w:rsid w:val="00D33220"/>
    <w:rsid w:val="00D334D1"/>
    <w:rsid w:val="00D44C89"/>
    <w:rsid w:val="00D47D52"/>
    <w:rsid w:val="00D516CD"/>
    <w:rsid w:val="00D525DB"/>
    <w:rsid w:val="00D53046"/>
    <w:rsid w:val="00D5454A"/>
    <w:rsid w:val="00D60107"/>
    <w:rsid w:val="00D668E6"/>
    <w:rsid w:val="00D70670"/>
    <w:rsid w:val="00D74D80"/>
    <w:rsid w:val="00D76624"/>
    <w:rsid w:val="00D87570"/>
    <w:rsid w:val="00D91CB9"/>
    <w:rsid w:val="00D93021"/>
    <w:rsid w:val="00D97989"/>
    <w:rsid w:val="00D97D8D"/>
    <w:rsid w:val="00DA352E"/>
    <w:rsid w:val="00DC71DD"/>
    <w:rsid w:val="00DC7694"/>
    <w:rsid w:val="00DC7857"/>
    <w:rsid w:val="00DD0FAD"/>
    <w:rsid w:val="00DD1BF6"/>
    <w:rsid w:val="00DD2F9B"/>
    <w:rsid w:val="00DD7F99"/>
    <w:rsid w:val="00DE2513"/>
    <w:rsid w:val="00DE26E8"/>
    <w:rsid w:val="00DE319E"/>
    <w:rsid w:val="00DF6F36"/>
    <w:rsid w:val="00E0084C"/>
    <w:rsid w:val="00E025AB"/>
    <w:rsid w:val="00E02B23"/>
    <w:rsid w:val="00E06F40"/>
    <w:rsid w:val="00E07CE8"/>
    <w:rsid w:val="00E13AAE"/>
    <w:rsid w:val="00E26567"/>
    <w:rsid w:val="00E26A07"/>
    <w:rsid w:val="00E3225C"/>
    <w:rsid w:val="00E32595"/>
    <w:rsid w:val="00E33FD0"/>
    <w:rsid w:val="00E37CFD"/>
    <w:rsid w:val="00E41A26"/>
    <w:rsid w:val="00E46BCB"/>
    <w:rsid w:val="00E51CAF"/>
    <w:rsid w:val="00E60F04"/>
    <w:rsid w:val="00E62AAC"/>
    <w:rsid w:val="00E67C2F"/>
    <w:rsid w:val="00E67EF5"/>
    <w:rsid w:val="00E751D4"/>
    <w:rsid w:val="00E800BE"/>
    <w:rsid w:val="00E804EA"/>
    <w:rsid w:val="00E80A71"/>
    <w:rsid w:val="00E82337"/>
    <w:rsid w:val="00E83AA6"/>
    <w:rsid w:val="00E92499"/>
    <w:rsid w:val="00E949AF"/>
    <w:rsid w:val="00E96077"/>
    <w:rsid w:val="00EA0A06"/>
    <w:rsid w:val="00EA6243"/>
    <w:rsid w:val="00EA74AB"/>
    <w:rsid w:val="00EB3D1B"/>
    <w:rsid w:val="00EC6CC3"/>
    <w:rsid w:val="00ED16B9"/>
    <w:rsid w:val="00ED1D89"/>
    <w:rsid w:val="00ED3AE9"/>
    <w:rsid w:val="00ED66BC"/>
    <w:rsid w:val="00EF233A"/>
    <w:rsid w:val="00EF303E"/>
    <w:rsid w:val="00EF3A40"/>
    <w:rsid w:val="00EF6B6C"/>
    <w:rsid w:val="00EF7F78"/>
    <w:rsid w:val="00F01B08"/>
    <w:rsid w:val="00F01C4D"/>
    <w:rsid w:val="00F053FA"/>
    <w:rsid w:val="00F10C97"/>
    <w:rsid w:val="00F11C71"/>
    <w:rsid w:val="00F12587"/>
    <w:rsid w:val="00F16019"/>
    <w:rsid w:val="00F20E68"/>
    <w:rsid w:val="00F214CA"/>
    <w:rsid w:val="00F22093"/>
    <w:rsid w:val="00F236DF"/>
    <w:rsid w:val="00F27CFC"/>
    <w:rsid w:val="00F3119E"/>
    <w:rsid w:val="00F41176"/>
    <w:rsid w:val="00F41561"/>
    <w:rsid w:val="00F43AD5"/>
    <w:rsid w:val="00F4402E"/>
    <w:rsid w:val="00F56DD0"/>
    <w:rsid w:val="00F6491C"/>
    <w:rsid w:val="00F67BBB"/>
    <w:rsid w:val="00F77253"/>
    <w:rsid w:val="00F871CF"/>
    <w:rsid w:val="00F87D92"/>
    <w:rsid w:val="00F90AA7"/>
    <w:rsid w:val="00F92498"/>
    <w:rsid w:val="00F9496B"/>
    <w:rsid w:val="00F970C9"/>
    <w:rsid w:val="00FA06A8"/>
    <w:rsid w:val="00FA160B"/>
    <w:rsid w:val="00FA3DF5"/>
    <w:rsid w:val="00FA741F"/>
    <w:rsid w:val="00FB30D5"/>
    <w:rsid w:val="00FB34AC"/>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DD77B7"/>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Paragraph">
    <w:name w:val="List Paragraph"/>
    <w:basedOn w:val="Normal"/>
    <w:uiPriority w:val="34"/>
    <w:qFormat/>
    <w:rsid w:val="00BB2ECD"/>
    <w:pPr>
      <w:ind w:left="720"/>
      <w:contextualSpacing/>
    </w:pPr>
  </w:style>
  <w:style w:type="table" w:styleId="LightShading-Accent2">
    <w:name w:val="Light Shading Accent 2"/>
    <w:aliases w:val="SWA Table Style"/>
    <w:basedOn w:val="TableNormal"/>
    <w:uiPriority w:val="60"/>
    <w:rsid w:val="001C5B40"/>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character" w:styleId="CommentReference">
    <w:name w:val="annotation reference"/>
    <w:basedOn w:val="DefaultParagraphFont"/>
    <w:uiPriority w:val="99"/>
    <w:semiHidden/>
    <w:unhideWhenUsed/>
    <w:rsid w:val="000B35B1"/>
    <w:rPr>
      <w:sz w:val="16"/>
      <w:szCs w:val="16"/>
    </w:rPr>
  </w:style>
  <w:style w:type="paragraph" w:styleId="CommentText">
    <w:name w:val="annotation text"/>
    <w:basedOn w:val="Normal"/>
    <w:link w:val="CommentTextChar"/>
    <w:uiPriority w:val="99"/>
    <w:semiHidden/>
    <w:unhideWhenUsed/>
    <w:rsid w:val="000B35B1"/>
    <w:pPr>
      <w:spacing w:line="240" w:lineRule="auto"/>
    </w:pPr>
    <w:rPr>
      <w:szCs w:val="20"/>
    </w:rPr>
  </w:style>
  <w:style w:type="character" w:customStyle="1" w:styleId="CommentTextChar">
    <w:name w:val="Comment Text Char"/>
    <w:basedOn w:val="DefaultParagraphFont"/>
    <w:link w:val="CommentText"/>
    <w:uiPriority w:val="99"/>
    <w:semiHidden/>
    <w:rsid w:val="000B35B1"/>
    <w:rPr>
      <w:szCs w:val="20"/>
    </w:rPr>
  </w:style>
  <w:style w:type="paragraph" w:styleId="CommentSubject">
    <w:name w:val="annotation subject"/>
    <w:basedOn w:val="CommentText"/>
    <w:next w:val="CommentText"/>
    <w:link w:val="CommentSubjectChar"/>
    <w:uiPriority w:val="99"/>
    <w:semiHidden/>
    <w:unhideWhenUsed/>
    <w:rsid w:val="000B35B1"/>
    <w:rPr>
      <w:b/>
      <w:bCs/>
    </w:rPr>
  </w:style>
  <w:style w:type="character" w:customStyle="1" w:styleId="CommentSubjectChar">
    <w:name w:val="Comment Subject Char"/>
    <w:basedOn w:val="CommentTextChar"/>
    <w:link w:val="CommentSubject"/>
    <w:uiPriority w:val="99"/>
    <w:semiHidden/>
    <w:rsid w:val="000B35B1"/>
    <w:rPr>
      <w:b/>
      <w:bCs/>
      <w:szCs w:val="20"/>
    </w:rPr>
  </w:style>
  <w:style w:type="paragraph" w:styleId="ListBullet">
    <w:name w:val="List Bullet"/>
    <w:basedOn w:val="Normal"/>
    <w:uiPriority w:val="99"/>
    <w:unhideWhenUsed/>
    <w:rsid w:val="002A571E"/>
    <w:pPr>
      <w:numPr>
        <w:numId w:val="9"/>
      </w:numPr>
      <w:contextualSpacing/>
    </w:pPr>
  </w:style>
  <w:style w:type="character" w:styleId="FollowedHyperlink">
    <w:name w:val="FollowedHyperlink"/>
    <w:basedOn w:val="DefaultParagraphFont"/>
    <w:uiPriority w:val="99"/>
    <w:semiHidden/>
    <w:unhideWhenUsed/>
    <w:rsid w:val="003F7A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256947">
      <w:bodyDiv w:val="1"/>
      <w:marLeft w:val="0"/>
      <w:marRight w:val="0"/>
      <w:marTop w:val="0"/>
      <w:marBottom w:val="0"/>
      <w:divBdr>
        <w:top w:val="none" w:sz="0" w:space="0" w:color="auto"/>
        <w:left w:val="none" w:sz="0" w:space="0" w:color="auto"/>
        <w:bottom w:val="none" w:sz="0" w:space="0" w:color="auto"/>
        <w:right w:val="none" w:sz="0" w:space="0" w:color="auto"/>
      </w:divBdr>
    </w:div>
    <w:div w:id="204218675">
      <w:bodyDiv w:val="1"/>
      <w:marLeft w:val="0"/>
      <w:marRight w:val="0"/>
      <w:marTop w:val="0"/>
      <w:marBottom w:val="0"/>
      <w:divBdr>
        <w:top w:val="none" w:sz="0" w:space="0" w:color="auto"/>
        <w:left w:val="none" w:sz="0" w:space="0" w:color="auto"/>
        <w:bottom w:val="none" w:sz="0" w:space="0" w:color="auto"/>
        <w:right w:val="none" w:sz="0" w:space="0" w:color="auto"/>
      </w:divBdr>
    </w:div>
    <w:div w:id="342098914">
      <w:bodyDiv w:val="1"/>
      <w:marLeft w:val="0"/>
      <w:marRight w:val="0"/>
      <w:marTop w:val="0"/>
      <w:marBottom w:val="0"/>
      <w:divBdr>
        <w:top w:val="none" w:sz="0" w:space="0" w:color="auto"/>
        <w:left w:val="none" w:sz="0" w:space="0" w:color="auto"/>
        <w:bottom w:val="none" w:sz="0" w:space="0" w:color="auto"/>
        <w:right w:val="none" w:sz="0" w:space="0" w:color="auto"/>
      </w:divBdr>
    </w:div>
    <w:div w:id="456996152">
      <w:bodyDiv w:val="1"/>
      <w:marLeft w:val="0"/>
      <w:marRight w:val="0"/>
      <w:marTop w:val="0"/>
      <w:marBottom w:val="0"/>
      <w:divBdr>
        <w:top w:val="none" w:sz="0" w:space="0" w:color="auto"/>
        <w:left w:val="none" w:sz="0" w:space="0" w:color="auto"/>
        <w:bottom w:val="none" w:sz="0" w:space="0" w:color="auto"/>
        <w:right w:val="none" w:sz="0" w:space="0" w:color="auto"/>
      </w:divBdr>
    </w:div>
    <w:div w:id="794983715">
      <w:bodyDiv w:val="1"/>
      <w:marLeft w:val="0"/>
      <w:marRight w:val="0"/>
      <w:marTop w:val="0"/>
      <w:marBottom w:val="0"/>
      <w:divBdr>
        <w:top w:val="none" w:sz="0" w:space="0" w:color="auto"/>
        <w:left w:val="none" w:sz="0" w:space="0" w:color="auto"/>
        <w:bottom w:val="none" w:sz="0" w:space="0" w:color="auto"/>
        <w:right w:val="none" w:sz="0" w:space="0" w:color="auto"/>
      </w:divBdr>
    </w:div>
    <w:div w:id="840120722">
      <w:bodyDiv w:val="1"/>
      <w:marLeft w:val="0"/>
      <w:marRight w:val="0"/>
      <w:marTop w:val="0"/>
      <w:marBottom w:val="0"/>
      <w:divBdr>
        <w:top w:val="none" w:sz="0" w:space="0" w:color="auto"/>
        <w:left w:val="none" w:sz="0" w:space="0" w:color="auto"/>
        <w:bottom w:val="none" w:sz="0" w:space="0" w:color="auto"/>
        <w:right w:val="none" w:sz="0" w:space="0" w:color="auto"/>
      </w:divBdr>
    </w:div>
    <w:div w:id="1174103659">
      <w:bodyDiv w:val="1"/>
      <w:marLeft w:val="0"/>
      <w:marRight w:val="0"/>
      <w:marTop w:val="0"/>
      <w:marBottom w:val="0"/>
      <w:divBdr>
        <w:top w:val="none" w:sz="0" w:space="0" w:color="auto"/>
        <w:left w:val="none" w:sz="0" w:space="0" w:color="auto"/>
        <w:bottom w:val="none" w:sz="0" w:space="0" w:color="auto"/>
        <w:right w:val="none" w:sz="0" w:space="0" w:color="auto"/>
      </w:divBdr>
    </w:div>
    <w:div w:id="1211111261">
      <w:bodyDiv w:val="1"/>
      <w:marLeft w:val="0"/>
      <w:marRight w:val="0"/>
      <w:marTop w:val="0"/>
      <w:marBottom w:val="0"/>
      <w:divBdr>
        <w:top w:val="none" w:sz="0" w:space="0" w:color="auto"/>
        <w:left w:val="none" w:sz="0" w:space="0" w:color="auto"/>
        <w:bottom w:val="none" w:sz="0" w:space="0" w:color="auto"/>
        <w:right w:val="none" w:sz="0" w:space="0" w:color="auto"/>
      </w:divBdr>
    </w:div>
    <w:div w:id="1272936982">
      <w:bodyDiv w:val="1"/>
      <w:marLeft w:val="0"/>
      <w:marRight w:val="0"/>
      <w:marTop w:val="0"/>
      <w:marBottom w:val="0"/>
      <w:divBdr>
        <w:top w:val="none" w:sz="0" w:space="0" w:color="auto"/>
        <w:left w:val="none" w:sz="0" w:space="0" w:color="auto"/>
        <w:bottom w:val="none" w:sz="0" w:space="0" w:color="auto"/>
        <w:right w:val="none" w:sz="0" w:space="0" w:color="auto"/>
      </w:divBdr>
    </w:div>
    <w:div w:id="171770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CC96E8CFB35445F7B98574D62F848316"/>
        <w:category>
          <w:name w:val="General"/>
          <w:gallery w:val="placeholder"/>
        </w:category>
        <w:types>
          <w:type w:val="bbPlcHdr"/>
        </w:types>
        <w:behaviors>
          <w:behavior w:val="content"/>
        </w:behaviors>
        <w:guid w:val="{11439DF5-6E93-475B-AC7E-D7E1C74E2052}"/>
      </w:docPartPr>
      <w:docPartBody>
        <w:p w:rsidR="00D21A9F" w:rsidRDefault="00D21A9F">
          <w:pPr>
            <w:pStyle w:val="CC96E8CFB35445F7B98574D62F848316"/>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0599BE4318CD4CC0836196E577CC2921"/>
        <w:category>
          <w:name w:val="General"/>
          <w:gallery w:val="placeholder"/>
        </w:category>
        <w:types>
          <w:type w:val="bbPlcHdr"/>
        </w:types>
        <w:behaviors>
          <w:behavior w:val="content"/>
        </w:behaviors>
        <w:guid w:val="{CEFA569F-48FE-4FF8-8C03-2D2A8FB34A20}"/>
      </w:docPartPr>
      <w:docPartBody>
        <w:p w:rsidR="00D21A9F" w:rsidRDefault="00D21A9F">
          <w:pPr>
            <w:pStyle w:val="0599BE4318CD4CC0836196E577CC2921"/>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EA32968BF93744FAABC5FC124DBE04BD"/>
        <w:category>
          <w:name w:val="General"/>
          <w:gallery w:val="placeholder"/>
        </w:category>
        <w:types>
          <w:type w:val="bbPlcHdr"/>
        </w:types>
        <w:behaviors>
          <w:behavior w:val="content"/>
        </w:behaviors>
        <w:guid w:val="{E83D2459-1556-46A4-AC27-2E79E2305DAC}"/>
      </w:docPartPr>
      <w:docPartBody>
        <w:p w:rsidR="00D21A9F" w:rsidRDefault="00D21A9F">
          <w:pPr>
            <w:pStyle w:val="EA32968BF93744FAABC5FC124DBE04BD"/>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33E16848481F4F0FB1C4D646AD48A19A"/>
        <w:category>
          <w:name w:val="General"/>
          <w:gallery w:val="placeholder"/>
        </w:category>
        <w:types>
          <w:type w:val="bbPlcHdr"/>
        </w:types>
        <w:behaviors>
          <w:behavior w:val="content"/>
        </w:behaviors>
        <w:guid w:val="{F3293063-DB18-4E89-9DF8-0A57DA138057}"/>
      </w:docPartPr>
      <w:docPartBody>
        <w:p w:rsidR="00BF067F" w:rsidRDefault="008C4571" w:rsidP="008C4571">
          <w:pPr>
            <w:pStyle w:val="33E16848481F4F0FB1C4D646AD48A19A"/>
          </w:pPr>
          <w:r>
            <w:rPr>
              <w:color w:val="00B050"/>
            </w:rPr>
            <w:t>tier </w:t>
          </w:r>
          <w:r w:rsidRPr="0071660C">
            <w:rPr>
              <w:color w:val="00B050"/>
            </w:rPr>
            <w:t>II</w:t>
          </w:r>
        </w:p>
      </w:docPartBody>
    </w:docPart>
    <w:docPart>
      <w:docPartPr>
        <w:name w:val="F1BD29A7CCF440A6AB7F326D34FEBAAD"/>
        <w:category>
          <w:name w:val="General"/>
          <w:gallery w:val="placeholder"/>
        </w:category>
        <w:types>
          <w:type w:val="bbPlcHdr"/>
        </w:types>
        <w:behaviors>
          <w:behavior w:val="content"/>
        </w:behaviors>
        <w:guid w:val="{377CD919-382F-4086-BE3C-3394E19DE340}"/>
      </w:docPartPr>
      <w:docPartBody>
        <w:p w:rsidR="00BF067F" w:rsidRDefault="008C4571" w:rsidP="008C4571">
          <w:pPr>
            <w:pStyle w:val="F1BD29A7CCF440A6AB7F326D34FEBAAD"/>
          </w:pPr>
          <w:r>
            <w:rPr>
              <w:color w:val="00B050"/>
            </w:rPr>
            <w:t>tier </w:t>
          </w:r>
          <w:r w:rsidRPr="0071660C">
            <w:rPr>
              <w:color w:val="00B050"/>
            </w:rPr>
            <w:t>II</w:t>
          </w:r>
        </w:p>
      </w:docPartBody>
    </w:docPart>
    <w:docPart>
      <w:docPartPr>
        <w:name w:val="ED51A016E7B44A20BC5E8890B0070786"/>
        <w:category>
          <w:name w:val="General"/>
          <w:gallery w:val="placeholder"/>
        </w:category>
        <w:types>
          <w:type w:val="bbPlcHdr"/>
        </w:types>
        <w:behaviors>
          <w:behavior w:val="content"/>
        </w:behaviors>
        <w:guid w:val="{10C78ABB-0EC3-4702-B993-1D367596A248}"/>
      </w:docPartPr>
      <w:docPartBody>
        <w:p w:rsidR="00BF067F" w:rsidRDefault="008C4571" w:rsidP="008C4571">
          <w:pPr>
            <w:pStyle w:val="ED51A016E7B44A20BC5E8890B0070786"/>
          </w:pPr>
          <w:r>
            <w:rPr>
              <w:color w:val="00B050"/>
            </w:rPr>
            <w:t>tier </w:t>
          </w:r>
          <w:r w:rsidRPr="0071660C">
            <w:rPr>
              <w:color w:val="00B050"/>
            </w:rPr>
            <w:t>II</w:t>
          </w:r>
        </w:p>
      </w:docPartBody>
    </w:docPart>
    <w:docPart>
      <w:docPartPr>
        <w:name w:val="EF57FD4EA0954385A41D1D1FAA701F5F"/>
        <w:category>
          <w:name w:val="General"/>
          <w:gallery w:val="placeholder"/>
        </w:category>
        <w:types>
          <w:type w:val="bbPlcHdr"/>
        </w:types>
        <w:behaviors>
          <w:behavior w:val="content"/>
        </w:behaviors>
        <w:guid w:val="{72505B56-BCD4-42DE-AF3C-86361ED9ED6C}"/>
      </w:docPartPr>
      <w:docPartBody>
        <w:p w:rsidR="00B37655" w:rsidRDefault="0032037F" w:rsidP="0032037F">
          <w:pPr>
            <w:pStyle w:val="EF57FD4EA0954385A41D1D1FAA701F5F"/>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A9F"/>
    <w:rsid w:val="0032037F"/>
    <w:rsid w:val="004C259E"/>
    <w:rsid w:val="004C5F10"/>
    <w:rsid w:val="00860D7C"/>
    <w:rsid w:val="0086598D"/>
    <w:rsid w:val="008C4571"/>
    <w:rsid w:val="008E54C2"/>
    <w:rsid w:val="009611C6"/>
    <w:rsid w:val="00A33957"/>
    <w:rsid w:val="00B37655"/>
    <w:rsid w:val="00BF067F"/>
    <w:rsid w:val="00D21A9F"/>
    <w:rsid w:val="00D275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037F"/>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8DD754E365844A4E82EC69A07E229629">
    <w:name w:val="8DD754E365844A4E82EC69A07E229629"/>
  </w:style>
  <w:style w:type="paragraph" w:customStyle="1" w:styleId="29D96B65566944F4988BAEB665EF7897">
    <w:name w:val="29D96B65566944F4988BAEB665EF7897"/>
  </w:style>
  <w:style w:type="paragraph" w:customStyle="1" w:styleId="C2B44F29000D47BD8588D2D5E8DFA6C8">
    <w:name w:val="C2B44F29000D47BD8588D2D5E8DFA6C8"/>
  </w:style>
  <w:style w:type="paragraph" w:customStyle="1" w:styleId="CC96E8CFB35445F7B98574D62F848316">
    <w:name w:val="CC96E8CFB35445F7B98574D62F848316"/>
  </w:style>
  <w:style w:type="paragraph" w:customStyle="1" w:styleId="20BC8D26515A4C11AC6304FB75A7CBAD">
    <w:name w:val="20BC8D26515A4C11AC6304FB75A7CBAD"/>
  </w:style>
  <w:style w:type="paragraph" w:customStyle="1" w:styleId="0599BE4318CD4CC0836196E577CC2921">
    <w:name w:val="0599BE4318CD4CC0836196E577CC2921"/>
  </w:style>
  <w:style w:type="paragraph" w:customStyle="1" w:styleId="CA68404C5F6B4780904F09DAAE62489A">
    <w:name w:val="CA68404C5F6B4780904F09DAAE62489A"/>
  </w:style>
  <w:style w:type="paragraph" w:customStyle="1" w:styleId="CFFDE270CB50461B826B0194984892C5">
    <w:name w:val="CFFDE270CB50461B826B0194984892C5"/>
  </w:style>
  <w:style w:type="paragraph" w:customStyle="1" w:styleId="EA32968BF93744FAABC5FC124DBE04BD">
    <w:name w:val="EA32968BF93744FAABC5FC124DBE04BD"/>
  </w:style>
  <w:style w:type="paragraph" w:customStyle="1" w:styleId="320A77D155374054996F168A20882C28">
    <w:name w:val="320A77D155374054996F168A20882C28"/>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CAD2D506A5824AB88D896BC2795BCEDE">
    <w:name w:val="CAD2D506A5824AB88D896BC2795BCEDE"/>
  </w:style>
  <w:style w:type="paragraph" w:customStyle="1" w:styleId="047AD93791DC493F8562BB3488160D64">
    <w:name w:val="047AD93791DC493F8562BB3488160D64"/>
  </w:style>
  <w:style w:type="paragraph" w:customStyle="1" w:styleId="7B0BAA2441D5427984E6018FB38900E7">
    <w:name w:val="7B0BAA2441D5427984E6018FB38900E7"/>
  </w:style>
  <w:style w:type="paragraph" w:customStyle="1" w:styleId="5C1D38B030D146B59436754F8399D502">
    <w:name w:val="5C1D38B030D146B59436754F8399D502"/>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28D88B09A16E4FFD90CB44ECBFABE572">
    <w:name w:val="28D88B09A16E4FFD90CB44ECBFABE572"/>
    <w:rsid w:val="0086598D"/>
  </w:style>
  <w:style w:type="paragraph" w:customStyle="1" w:styleId="4ED1EB3758084571B129DA4BAF9809A2">
    <w:name w:val="4ED1EB3758084571B129DA4BAF9809A2"/>
    <w:rsid w:val="0086598D"/>
  </w:style>
  <w:style w:type="paragraph" w:customStyle="1" w:styleId="27B09B573A124BA3819A888B0FE3DDC0">
    <w:name w:val="27B09B573A124BA3819A888B0FE3DDC0"/>
    <w:rsid w:val="008C4571"/>
  </w:style>
  <w:style w:type="paragraph" w:customStyle="1" w:styleId="27C5154E300A4A73AF51ADD662EA3C19">
    <w:name w:val="27C5154E300A4A73AF51ADD662EA3C19"/>
    <w:rsid w:val="008C4571"/>
  </w:style>
  <w:style w:type="paragraph" w:customStyle="1" w:styleId="78A1EBE8AE364CBC85DA31BB911B11FC">
    <w:name w:val="78A1EBE8AE364CBC85DA31BB911B11FC"/>
    <w:rsid w:val="008C4571"/>
  </w:style>
  <w:style w:type="paragraph" w:customStyle="1" w:styleId="9D9B2A50512647A191B3750222505773">
    <w:name w:val="9D9B2A50512647A191B3750222505773"/>
    <w:rsid w:val="008C4571"/>
  </w:style>
  <w:style w:type="paragraph" w:customStyle="1" w:styleId="F3F3E1E7EAB443A3BC3019132A37B494">
    <w:name w:val="F3F3E1E7EAB443A3BC3019132A37B494"/>
    <w:rsid w:val="008C4571"/>
  </w:style>
  <w:style w:type="paragraph" w:customStyle="1" w:styleId="96CC03394BC649D39B3CAA89AE6FDF00">
    <w:name w:val="96CC03394BC649D39B3CAA89AE6FDF00"/>
    <w:rsid w:val="008C4571"/>
  </w:style>
  <w:style w:type="paragraph" w:customStyle="1" w:styleId="45FB14FAB53A4B0B8AFE971E476ABF76">
    <w:name w:val="45FB14FAB53A4B0B8AFE971E476ABF76"/>
    <w:rsid w:val="008C4571"/>
  </w:style>
  <w:style w:type="paragraph" w:customStyle="1" w:styleId="33E16848481F4F0FB1C4D646AD48A19A">
    <w:name w:val="33E16848481F4F0FB1C4D646AD48A19A"/>
    <w:rsid w:val="008C4571"/>
  </w:style>
  <w:style w:type="paragraph" w:customStyle="1" w:styleId="F1BD29A7CCF440A6AB7F326D34FEBAAD">
    <w:name w:val="F1BD29A7CCF440A6AB7F326D34FEBAAD"/>
    <w:rsid w:val="008C4571"/>
  </w:style>
  <w:style w:type="paragraph" w:customStyle="1" w:styleId="ED51A016E7B44A20BC5E8890B0070786">
    <w:name w:val="ED51A016E7B44A20BC5E8890B0070786"/>
    <w:rsid w:val="008C4571"/>
  </w:style>
  <w:style w:type="paragraph" w:customStyle="1" w:styleId="B7704B29D7F64CDA86DBDCEDBC5B0537">
    <w:name w:val="B7704B29D7F64CDA86DBDCEDBC5B0537"/>
    <w:rsid w:val="008C4571"/>
  </w:style>
  <w:style w:type="paragraph" w:customStyle="1" w:styleId="651F06EFD0864B6387E1568DD15B80C1">
    <w:name w:val="651F06EFD0864B6387E1568DD15B80C1"/>
    <w:rsid w:val="008C4571"/>
  </w:style>
  <w:style w:type="paragraph" w:customStyle="1" w:styleId="62DA15318D8F4BF0B819D07678A2F3BB">
    <w:name w:val="62DA15318D8F4BF0B819D07678A2F3BB"/>
    <w:rsid w:val="008C4571"/>
  </w:style>
  <w:style w:type="paragraph" w:customStyle="1" w:styleId="4D889F7E70AF4CD7ABA5CF0966FD90DC">
    <w:name w:val="4D889F7E70AF4CD7ABA5CF0966FD90DC"/>
    <w:rsid w:val="008C4571"/>
  </w:style>
  <w:style w:type="paragraph" w:customStyle="1" w:styleId="D74EB519408E45168E7733C74336DFDA">
    <w:name w:val="D74EB519408E45168E7733C74336DFDA"/>
    <w:rsid w:val="008C4571"/>
  </w:style>
  <w:style w:type="paragraph" w:customStyle="1" w:styleId="A8E8F9F5930046F8BCDAED6651DEA057">
    <w:name w:val="A8E8F9F5930046F8BCDAED6651DEA057"/>
    <w:rsid w:val="008C4571"/>
  </w:style>
  <w:style w:type="paragraph" w:customStyle="1" w:styleId="7A9C10E12D754542BAB35A4A65709481">
    <w:name w:val="7A9C10E12D754542BAB35A4A65709481"/>
    <w:rsid w:val="008C4571"/>
  </w:style>
  <w:style w:type="paragraph" w:customStyle="1" w:styleId="959BF22BEC8643E785AB0F1218E28C05">
    <w:name w:val="959BF22BEC8643E785AB0F1218E28C05"/>
    <w:rsid w:val="008C4571"/>
  </w:style>
  <w:style w:type="paragraph" w:customStyle="1" w:styleId="87F0E9BD5A3C4F7CBF8A70F8F9A0B99B">
    <w:name w:val="87F0E9BD5A3C4F7CBF8A70F8F9A0B99B"/>
    <w:rsid w:val="008C4571"/>
  </w:style>
  <w:style w:type="paragraph" w:customStyle="1" w:styleId="4A0EE710B10D47208FEA872EA5EA23C0">
    <w:name w:val="4A0EE710B10D47208FEA872EA5EA23C0"/>
    <w:rsid w:val="008C4571"/>
  </w:style>
  <w:style w:type="paragraph" w:customStyle="1" w:styleId="B0AAEDDF98E84951900EDC37AA09FDE1">
    <w:name w:val="B0AAEDDF98E84951900EDC37AA09FDE1"/>
    <w:rsid w:val="00BF067F"/>
  </w:style>
  <w:style w:type="paragraph" w:customStyle="1" w:styleId="EF57FD4EA0954385A41D1D1FAA701F5F">
    <w:name w:val="EF57FD4EA0954385A41D1D1FAA701F5F"/>
    <w:rsid w:val="003203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2.xml><?xml version="1.0" encoding="utf-8"?>
<ds:datastoreItem xmlns:ds="http://schemas.openxmlformats.org/officeDocument/2006/customXml" ds:itemID="{6892C142-7AEE-4F11-AF94-A0F7182EBBCB}"/>
</file>

<file path=customXml/itemProps3.xml><?xml version="1.0" encoding="utf-8"?>
<ds:datastoreItem xmlns:ds="http://schemas.openxmlformats.org/officeDocument/2006/customXml" ds:itemID="{B26FD3B4-E5FF-44D0-A85D-1656AEB7AF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CD49A6-FE11-4FD1-9392-48D33A770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DA3AD54A.dotm</Template>
  <TotalTime>331</TotalTime>
  <Pages>7</Pages>
  <Words>1874</Words>
  <Characters>10685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HEARD,Jonathan</cp:lastModifiedBy>
  <cp:revision>16</cp:revision>
  <cp:lastPrinted>2018-10-22T22:41:00Z</cp:lastPrinted>
  <dcterms:created xsi:type="dcterms:W3CDTF">2019-07-05T04:53:00Z</dcterms:created>
  <dcterms:modified xsi:type="dcterms:W3CDTF">2019-08-12T23:56:00Z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ies>
</file>