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779569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518FE81" w14:textId="77777777" w:rsidR="00BD499F" w:rsidRPr="004C23F4" w:rsidRDefault="00F7725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</w:t>
          </w:r>
          <w:r w:rsidR="00366C38">
            <w:rPr>
              <w:rFonts w:ascii="Arial" w:hAnsi="Arial" w:cs="Arial"/>
            </w:rPr>
            <w:t>n</w:t>
          </w:r>
          <w:r>
            <w:rPr>
              <w:rFonts w:ascii="Arial" w:hAnsi="Arial" w:cs="Arial"/>
            </w:rPr>
            <w:t>timony and compounds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3F93C32F" w14:textId="77777777" w:rsidTr="00B76A41">
        <w:trPr>
          <w:cantSplit/>
          <w:tblHeader/>
        </w:trPr>
        <w:tc>
          <w:tcPr>
            <w:tcW w:w="4077" w:type="dxa"/>
          </w:tcPr>
          <w:bookmarkEnd w:id="0"/>
          <w:p w14:paraId="2AE8532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DCA2900" w14:textId="77777777" w:rsidR="00F43AD5" w:rsidRPr="00717D45" w:rsidRDefault="00F77253" w:rsidP="00B76A41">
            <w:pPr>
              <w:pStyle w:val="Tablefont"/>
            </w:pPr>
            <w:r>
              <w:t>7440-36-0</w:t>
            </w:r>
          </w:p>
        </w:tc>
      </w:tr>
      <w:tr w:rsidR="00F43AD5" w:rsidRPr="004C23F4" w14:paraId="1FA71990" w14:textId="77777777" w:rsidTr="00B76A41">
        <w:trPr>
          <w:cantSplit/>
        </w:trPr>
        <w:tc>
          <w:tcPr>
            <w:tcW w:w="4077" w:type="dxa"/>
          </w:tcPr>
          <w:p w14:paraId="22B3C84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6171C57" w14:textId="77777777" w:rsidR="00F43AD5" w:rsidRPr="00717D45" w:rsidRDefault="00E13AAE" w:rsidP="00B76A41">
            <w:pPr>
              <w:pStyle w:val="Tablefont"/>
            </w:pPr>
            <w:proofErr w:type="spellStart"/>
            <w:r>
              <w:t>Stibium</w:t>
            </w:r>
            <w:proofErr w:type="spellEnd"/>
          </w:p>
        </w:tc>
      </w:tr>
      <w:tr w:rsidR="00F43AD5" w:rsidRPr="004C23F4" w14:paraId="48B5E433" w14:textId="77777777" w:rsidTr="00B76A41">
        <w:trPr>
          <w:cantSplit/>
        </w:trPr>
        <w:tc>
          <w:tcPr>
            <w:tcW w:w="4077" w:type="dxa"/>
          </w:tcPr>
          <w:p w14:paraId="688C68A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D96AE9E" w14:textId="77777777" w:rsidR="00F43AD5" w:rsidRPr="00717D45" w:rsidRDefault="00F77253" w:rsidP="00B76A41">
            <w:pPr>
              <w:pStyle w:val="Tablefont"/>
            </w:pPr>
            <w:r>
              <w:t>Sb</w:t>
            </w:r>
          </w:p>
        </w:tc>
      </w:tr>
      <w:tr w:rsidR="00F43AD5" w:rsidRPr="004C23F4" w14:paraId="3421E91F" w14:textId="77777777" w:rsidTr="00B76A41">
        <w:trPr>
          <w:cantSplit/>
        </w:trPr>
        <w:tc>
          <w:tcPr>
            <w:tcW w:w="4077" w:type="dxa"/>
          </w:tcPr>
          <w:p w14:paraId="05005BA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9C921C8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3F920A8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7448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FF6D6C8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766911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4D81052" w14:textId="77777777" w:rsidR="002C7AFE" w:rsidRPr="00F77253" w:rsidRDefault="00F7725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(as Sb)</w:t>
            </w:r>
            <w:r w:rsidR="00366C38">
              <w:rPr>
                <w:b/>
              </w:rPr>
              <w:t xml:space="preserve"> (excluding antimony trioxide)</w:t>
            </w:r>
          </w:p>
        </w:tc>
      </w:tr>
      <w:tr w:rsidR="002C7AFE" w:rsidRPr="004C23F4" w14:paraId="684427AD" w14:textId="77777777" w:rsidTr="00921DE7">
        <w:trPr>
          <w:cantSplit/>
        </w:trPr>
        <w:tc>
          <w:tcPr>
            <w:tcW w:w="4077" w:type="dxa"/>
            <w:vAlign w:val="center"/>
          </w:tcPr>
          <w:p w14:paraId="7B9A8AF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2D17360" w14:textId="77777777" w:rsidR="002C7AFE" w:rsidRPr="00EB3D1B" w:rsidRDefault="00CF37F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39A1165" w14:textId="77777777" w:rsidTr="00921DE7">
        <w:trPr>
          <w:cantSplit/>
        </w:trPr>
        <w:tc>
          <w:tcPr>
            <w:tcW w:w="4077" w:type="dxa"/>
            <w:vAlign w:val="center"/>
          </w:tcPr>
          <w:p w14:paraId="19B3172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68BFDF3" w14:textId="77777777" w:rsidR="002C7AFE" w:rsidRPr="00EB3D1B" w:rsidRDefault="00CF37F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EDDA229" w14:textId="77777777" w:rsidTr="00A2073D">
        <w:trPr>
          <w:cantSplit/>
        </w:trPr>
        <w:tc>
          <w:tcPr>
            <w:tcW w:w="4077" w:type="dxa"/>
          </w:tcPr>
          <w:p w14:paraId="089A196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ACE13E3" w14:textId="77777777" w:rsidR="002C7AFE" w:rsidRPr="00EB3D1B" w:rsidRDefault="00CF37F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8209F36" w14:textId="77777777" w:rsidTr="00921DE7">
        <w:trPr>
          <w:cantSplit/>
        </w:trPr>
        <w:tc>
          <w:tcPr>
            <w:tcW w:w="4077" w:type="dxa"/>
            <w:vAlign w:val="center"/>
          </w:tcPr>
          <w:p w14:paraId="50D10E78" w14:textId="04CB9FAF" w:rsidR="00F10C97" w:rsidRPr="002C58FF" w:rsidRDefault="00921DE7" w:rsidP="00CF5030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F24F6E5" w14:textId="77777777" w:rsidR="002C7AFE" w:rsidRPr="00E13AAE" w:rsidRDefault="00E13AA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(as Sb)</w:t>
            </w:r>
          </w:p>
        </w:tc>
      </w:tr>
      <w:tr w:rsidR="00CF5030" w:rsidRPr="004C23F4" w14:paraId="2DAF836B" w14:textId="77777777" w:rsidTr="00CF5030">
        <w:trPr>
          <w:cantSplit/>
        </w:trPr>
        <w:tc>
          <w:tcPr>
            <w:tcW w:w="4077" w:type="dxa"/>
          </w:tcPr>
          <w:p w14:paraId="4E8102DD" w14:textId="5388D91A" w:rsidR="00CF5030" w:rsidRDefault="00CF5030" w:rsidP="00CF5030">
            <w:pPr>
              <w:pStyle w:val="Tablerowright"/>
            </w:pPr>
            <w:bookmarkStart w:id="1" w:name="_GoBack" w:colFirst="0" w:colLast="0"/>
            <w:r>
              <w:t>Sampling and analysis:</w:t>
            </w:r>
          </w:p>
        </w:tc>
        <w:tc>
          <w:tcPr>
            <w:tcW w:w="5165" w:type="dxa"/>
          </w:tcPr>
          <w:p w14:paraId="4657B45F" w14:textId="3475EE83" w:rsidR="00CF5030" w:rsidRPr="00CF5030" w:rsidRDefault="00CF5030" w:rsidP="00017C82">
            <w:pPr>
              <w:pStyle w:val="Tablefont"/>
            </w:pPr>
            <w:r w:rsidRPr="00CF5030">
              <w:t xml:space="preserve">The recommended value is readily quantifiable through currently available sampling and analysis techniques. </w:t>
            </w:r>
          </w:p>
        </w:tc>
      </w:tr>
    </w:tbl>
    <w:bookmarkEnd w:id="1"/>
    <w:p w14:paraId="2688A360" w14:textId="77777777" w:rsidR="00CB1CB1" w:rsidRDefault="00F10C97" w:rsidP="003365A5">
      <w:pPr>
        <w:pStyle w:val="Heading2"/>
      </w:pPr>
      <w:r>
        <w:t>Recommendation and basis for workplace exposure standard</w:t>
      </w:r>
    </w:p>
    <w:p w14:paraId="62F05BA9" w14:textId="57714BB3" w:rsidR="00894802" w:rsidRDefault="00894802" w:rsidP="00894802">
      <w:pPr>
        <w:rPr>
          <w:rFonts w:cs="Arial"/>
        </w:rPr>
      </w:pPr>
      <w:r>
        <w:rPr>
          <w:rFonts w:cs="Arial"/>
        </w:rPr>
        <w:t>A TWA of 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(as Sb) is recommended for antimony compounds with bioavailable antimony (including inorganic salts and some organic complexes such as anti</w:t>
      </w:r>
      <w:r w:rsidR="00CF37FF">
        <w:rPr>
          <w:rFonts w:cs="Arial"/>
        </w:rPr>
        <w:t>mony alkali metal tartrates; and</w:t>
      </w:r>
      <w:r>
        <w:rPr>
          <w:rFonts w:cs="Arial"/>
        </w:rPr>
        <w:t xml:space="preserve"> excluding antimony trioxide) to protect </w:t>
      </w:r>
      <w:r w:rsidR="00987889">
        <w:rPr>
          <w:rFonts w:cs="Arial"/>
        </w:rPr>
        <w:t>for</w:t>
      </w:r>
      <w:r>
        <w:rPr>
          <w:rFonts w:cs="Arial"/>
        </w:rPr>
        <w:t xml:space="preserve"> irritation of the upper respiratory tract, abdominal pain and loss of appetite</w:t>
      </w:r>
      <w:r w:rsidR="00DA34D9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9F94EAB" w14:textId="307202CC" w:rsidR="00CF37FF" w:rsidRDefault="00CF37FF" w:rsidP="00CF37FF">
      <w:pPr>
        <w:rPr>
          <w:rFonts w:cs="Arial"/>
        </w:rPr>
      </w:pPr>
      <w:r>
        <w:rPr>
          <w:rFonts w:cs="Arial"/>
        </w:rPr>
        <w:t xml:space="preserve">Examination of additional data is recommended </w:t>
      </w:r>
      <w:r w:rsidR="00811914">
        <w:rPr>
          <w:rFonts w:cs="Arial"/>
        </w:rPr>
        <w:t xml:space="preserve">for </w:t>
      </w:r>
      <w:r>
        <w:rPr>
          <w:rFonts w:cs="Arial"/>
        </w:rPr>
        <w:t xml:space="preserve">the next scheduled review to discern more detailed divisions based on the composition and critical effects of </w:t>
      </w:r>
      <w:r w:rsidR="00DA34D9">
        <w:rPr>
          <w:rFonts w:cs="Arial"/>
        </w:rPr>
        <w:t>a</w:t>
      </w:r>
      <w:r>
        <w:rPr>
          <w:rFonts w:cs="Arial"/>
        </w:rPr>
        <w:t xml:space="preserve">ntimony compounds. </w:t>
      </w:r>
    </w:p>
    <w:p w14:paraId="2C4BBBA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2F6BB01" w14:textId="77777777" w:rsidR="00483549" w:rsidRDefault="00987889" w:rsidP="006639B4">
      <w:pPr>
        <w:rPr>
          <w:rFonts w:cs="Arial"/>
        </w:rPr>
      </w:pPr>
      <w:r>
        <w:rPr>
          <w:rFonts w:cs="Arial"/>
          <w:color w:val="000000"/>
          <w:szCs w:val="20"/>
          <w:shd w:val="clear" w:color="auto" w:fill="FFFFFF"/>
        </w:rPr>
        <w:t xml:space="preserve">Antimony metal </w:t>
      </w:r>
      <w:r w:rsidR="00F47265">
        <w:rPr>
          <w:rFonts w:cs="Arial"/>
          <w:color w:val="000000"/>
          <w:szCs w:val="20"/>
          <w:shd w:val="clear" w:color="auto" w:fill="FFFFFF"/>
        </w:rPr>
        <w:t xml:space="preserve">is </w:t>
      </w:r>
      <w:r>
        <w:rPr>
          <w:rFonts w:cs="Arial"/>
          <w:color w:val="000000"/>
          <w:szCs w:val="20"/>
          <w:shd w:val="clear" w:color="auto" w:fill="FFFFFF"/>
        </w:rPr>
        <w:t>used in batteries, solder, sheet and pipe metal, castings, semiconductors, and pewter. Antimony compounds are widely used in plastics, pigments, paper, paints, ceramics, ammunition and fireworks, and in some pharmaceuticals.</w:t>
      </w:r>
      <w:r>
        <w:rPr>
          <w:rFonts w:cs="Arial"/>
        </w:rPr>
        <w:t xml:space="preserve"> </w:t>
      </w:r>
      <w:r w:rsidR="00106D61">
        <w:rPr>
          <w:rFonts w:cs="Arial"/>
        </w:rPr>
        <w:t xml:space="preserve">The critical effects </w:t>
      </w:r>
      <w:r w:rsidR="00894802">
        <w:rPr>
          <w:rFonts w:cs="Arial"/>
        </w:rPr>
        <w:t>of</w:t>
      </w:r>
      <w:r w:rsidR="00106D61">
        <w:rPr>
          <w:rFonts w:cs="Arial"/>
        </w:rPr>
        <w:t xml:space="preserve"> exposure </w:t>
      </w:r>
      <w:r w:rsidR="00CF37FF">
        <w:rPr>
          <w:rFonts w:cs="Arial"/>
        </w:rPr>
        <w:t xml:space="preserve">in humans </w:t>
      </w:r>
      <w:r w:rsidR="00106D61">
        <w:rPr>
          <w:rFonts w:cs="Arial"/>
        </w:rPr>
        <w:t>are upper respiratory tract irritation</w:t>
      </w:r>
      <w:r w:rsidR="00CF37FF">
        <w:rPr>
          <w:rFonts w:cs="Arial"/>
        </w:rPr>
        <w:t>, abdominal pain</w:t>
      </w:r>
      <w:r w:rsidR="00B24265">
        <w:rPr>
          <w:rFonts w:cs="Arial"/>
        </w:rPr>
        <w:t xml:space="preserve"> and loss of appetite. </w:t>
      </w:r>
    </w:p>
    <w:p w14:paraId="4B3D228E" w14:textId="07BB2031" w:rsidR="00DA34D9" w:rsidRDefault="001435CA" w:rsidP="006639B4">
      <w:pPr>
        <w:rPr>
          <w:rFonts w:cs="Arial"/>
        </w:rPr>
      </w:pPr>
      <w:r>
        <w:rPr>
          <w:rFonts w:cs="Arial"/>
        </w:rPr>
        <w:t xml:space="preserve">Most available </w:t>
      </w:r>
      <w:r w:rsidR="00044FF9">
        <w:rPr>
          <w:rFonts w:cs="Arial"/>
        </w:rPr>
        <w:t xml:space="preserve">toxicological </w:t>
      </w:r>
      <w:r>
        <w:rPr>
          <w:rFonts w:cs="Arial"/>
        </w:rPr>
        <w:t>studies relevant to workplace exposure have been conducted</w:t>
      </w:r>
      <w:r w:rsidR="00CF37FF">
        <w:rPr>
          <w:rFonts w:cs="Arial"/>
        </w:rPr>
        <w:t xml:space="preserve"> with only the oxides, sulfides</w:t>
      </w:r>
      <w:r>
        <w:rPr>
          <w:rFonts w:cs="Arial"/>
        </w:rPr>
        <w:t xml:space="preserve"> and chlorides of antimony. D</w:t>
      </w:r>
      <w:r w:rsidR="006F525F">
        <w:rPr>
          <w:rFonts w:cs="Arial"/>
        </w:rPr>
        <w:t>ue to the variety of</w:t>
      </w:r>
      <w:r w:rsidR="0057599F">
        <w:rPr>
          <w:rFonts w:cs="Arial"/>
        </w:rPr>
        <w:t xml:space="preserve"> potential</w:t>
      </w:r>
      <w:r w:rsidR="006F525F">
        <w:rPr>
          <w:rFonts w:cs="Arial"/>
        </w:rPr>
        <w:t xml:space="preserve"> antimony compounds, the recommended TWA is derived from </w:t>
      </w:r>
      <w:r w:rsidR="0057599F">
        <w:rPr>
          <w:rFonts w:cs="Arial"/>
        </w:rPr>
        <w:t>the acute symptoms of antimony pentachloride (</w:t>
      </w:r>
      <w:r w:rsidR="0057599F" w:rsidRPr="0057599F">
        <w:rPr>
          <w:rFonts w:cs="Arial"/>
        </w:rPr>
        <w:t>SbCl</w:t>
      </w:r>
      <w:r w:rsidR="0057599F">
        <w:rPr>
          <w:rFonts w:cs="Arial"/>
          <w:vertAlign w:val="subscript"/>
        </w:rPr>
        <w:t>5</w:t>
      </w:r>
      <w:r w:rsidR="0057599F">
        <w:rPr>
          <w:rFonts w:cs="Arial"/>
        </w:rPr>
        <w:t xml:space="preserve">), which </w:t>
      </w:r>
      <w:r w:rsidR="00811914">
        <w:rPr>
          <w:rFonts w:cs="Arial"/>
        </w:rPr>
        <w:t>causes the</w:t>
      </w:r>
      <w:r w:rsidR="0057599F">
        <w:rPr>
          <w:rFonts w:cs="Arial"/>
        </w:rPr>
        <w:t xml:space="preserve"> most intense</w:t>
      </w:r>
      <w:r w:rsidR="00811914">
        <w:rPr>
          <w:rFonts w:cs="Arial"/>
        </w:rPr>
        <w:t xml:space="preserve"> effects</w:t>
      </w:r>
      <w:r w:rsidR="0057599F">
        <w:rPr>
          <w:rFonts w:cs="Arial"/>
        </w:rPr>
        <w:t xml:space="preserve"> </w:t>
      </w:r>
      <w:r w:rsidR="0046590B">
        <w:rPr>
          <w:rFonts w:cs="Arial"/>
        </w:rPr>
        <w:t>of these compounds</w:t>
      </w:r>
      <w:r w:rsidR="0057599F">
        <w:rPr>
          <w:rFonts w:cs="Arial"/>
        </w:rPr>
        <w:t xml:space="preserve">. </w:t>
      </w:r>
      <w:r w:rsidR="00DA34D9">
        <w:rPr>
          <w:rFonts w:cs="Arial"/>
        </w:rPr>
        <w:t>A</w:t>
      </w:r>
      <w:r w:rsidR="002717FD">
        <w:rPr>
          <w:rFonts w:cs="Arial"/>
        </w:rPr>
        <w:t xml:space="preserve">ntimony </w:t>
      </w:r>
      <w:r w:rsidR="00877964">
        <w:rPr>
          <w:rFonts w:cs="Arial"/>
        </w:rPr>
        <w:t xml:space="preserve">pentachloride </w:t>
      </w:r>
      <w:r w:rsidR="0057599F">
        <w:rPr>
          <w:rFonts w:cs="Arial"/>
        </w:rPr>
        <w:t xml:space="preserve">may </w:t>
      </w:r>
      <w:r w:rsidR="00877964">
        <w:rPr>
          <w:rFonts w:cs="Arial"/>
        </w:rPr>
        <w:t>produce</w:t>
      </w:r>
      <w:r w:rsidR="0057599F">
        <w:rPr>
          <w:rFonts w:cs="Arial"/>
        </w:rPr>
        <w:t xml:space="preserve"> up to </w:t>
      </w:r>
      <w:r w:rsidR="00CF37FF">
        <w:rPr>
          <w:rFonts w:cs="Arial"/>
        </w:rPr>
        <w:t>five</w:t>
      </w:r>
      <w:r w:rsidR="0057599F">
        <w:rPr>
          <w:rFonts w:cs="Arial"/>
        </w:rPr>
        <w:t xml:space="preserve"> molar equivalents </w:t>
      </w:r>
      <w:r w:rsidR="00877964">
        <w:rPr>
          <w:rFonts w:cs="Arial"/>
        </w:rPr>
        <w:t xml:space="preserve">of hydrochloric acid (HCl) </w:t>
      </w:r>
      <w:r w:rsidR="0057599F">
        <w:rPr>
          <w:rFonts w:cs="Arial"/>
        </w:rPr>
        <w:t>upon hydrolysis in moisture</w:t>
      </w:r>
      <w:r w:rsidR="004A5C80">
        <w:rPr>
          <w:rFonts w:cs="Arial"/>
        </w:rPr>
        <w:t>, which is assumed to be the primary cause of irritation (ACGIH, 2001).</w:t>
      </w:r>
      <w:r w:rsidR="0046590B">
        <w:rPr>
          <w:rFonts w:cs="Arial"/>
        </w:rPr>
        <w:t xml:space="preserve"> </w:t>
      </w:r>
    </w:p>
    <w:p w14:paraId="706AE515" w14:textId="5D2E9282" w:rsidR="00303D5A" w:rsidRDefault="002717FD" w:rsidP="006639B4">
      <w:pPr>
        <w:rPr>
          <w:rFonts w:cs="Arial"/>
        </w:rPr>
      </w:pPr>
      <w:r>
        <w:rPr>
          <w:rFonts w:cs="Arial"/>
        </w:rPr>
        <w:t>Using</w:t>
      </w:r>
      <w:r w:rsidR="00D52573">
        <w:rPr>
          <w:rFonts w:cs="Arial"/>
        </w:rPr>
        <w:t xml:space="preserve"> </w:t>
      </w:r>
      <w:r w:rsidR="0046590B">
        <w:rPr>
          <w:rFonts w:cs="Arial"/>
        </w:rPr>
        <w:t xml:space="preserve">the </w:t>
      </w:r>
      <w:r w:rsidR="00D52573">
        <w:rPr>
          <w:rFonts w:cs="Arial"/>
        </w:rPr>
        <w:t>TLV-</w:t>
      </w:r>
      <w:r w:rsidR="0046590B">
        <w:rPr>
          <w:rFonts w:cs="Arial"/>
        </w:rPr>
        <w:t xml:space="preserve">TWA of </w:t>
      </w:r>
      <w:r w:rsidR="007366DB">
        <w:rPr>
          <w:rFonts w:cs="Arial"/>
        </w:rPr>
        <w:t>5 ppm (</w:t>
      </w:r>
      <w:r w:rsidR="00533385">
        <w:rPr>
          <w:rFonts w:cs="Arial"/>
        </w:rPr>
        <w:t>7.5 </w:t>
      </w:r>
      <w:r w:rsidR="007366DB">
        <w:rPr>
          <w:rFonts w:cs="Arial"/>
        </w:rPr>
        <w:t>mg/m</w:t>
      </w:r>
      <w:r w:rsidR="007366DB" w:rsidRPr="00D51CFC">
        <w:rPr>
          <w:rFonts w:cs="Arial"/>
          <w:vertAlign w:val="superscript"/>
        </w:rPr>
        <w:t>3</w:t>
      </w:r>
      <w:r w:rsidR="007366DB">
        <w:rPr>
          <w:rFonts w:cs="Arial"/>
        </w:rPr>
        <w:t xml:space="preserve">) for </w:t>
      </w:r>
      <w:r w:rsidR="0046590B">
        <w:rPr>
          <w:rFonts w:cs="Arial"/>
        </w:rPr>
        <w:t>HCl</w:t>
      </w:r>
      <w:r w:rsidR="004A5C80">
        <w:rPr>
          <w:rFonts w:cs="Arial"/>
        </w:rPr>
        <w:t>,</w:t>
      </w:r>
      <w:r w:rsidR="00D52573">
        <w:rPr>
          <w:rFonts w:cs="Arial"/>
        </w:rPr>
        <w:t xml:space="preserve"> a TLV-TWA of 12.3 mg/m</w:t>
      </w:r>
      <w:r w:rsidR="00D52573" w:rsidRPr="00A55065">
        <w:rPr>
          <w:rFonts w:cs="Arial"/>
          <w:vertAlign w:val="superscript"/>
        </w:rPr>
        <w:t>3</w:t>
      </w:r>
      <w:r w:rsidR="00D52573">
        <w:rPr>
          <w:rFonts w:cs="Arial"/>
        </w:rPr>
        <w:t xml:space="preserve"> for </w:t>
      </w:r>
      <w:r>
        <w:rPr>
          <w:rFonts w:cs="Arial"/>
        </w:rPr>
        <w:t xml:space="preserve">antimony pentachloride </w:t>
      </w:r>
      <w:r w:rsidR="00804B23">
        <w:rPr>
          <w:rFonts w:cs="Arial"/>
        </w:rPr>
        <w:t>is calculated that results in</w:t>
      </w:r>
      <w:r>
        <w:rPr>
          <w:rFonts w:cs="Arial"/>
        </w:rPr>
        <w:t xml:space="preserve"> 5 mg/m</w:t>
      </w:r>
      <w:r w:rsidRPr="00A55065">
        <w:rPr>
          <w:rFonts w:cs="Arial"/>
          <w:vertAlign w:val="superscript"/>
        </w:rPr>
        <w:t>3</w:t>
      </w:r>
      <w:r>
        <w:rPr>
          <w:rFonts w:cs="Arial"/>
        </w:rPr>
        <w:t xml:space="preserve"> for antimony</w:t>
      </w:r>
      <w:r w:rsidR="00D52573">
        <w:rPr>
          <w:rFonts w:cs="Arial"/>
        </w:rPr>
        <w:t>. A TWA of 0.5 mg/m</w:t>
      </w:r>
      <w:r w:rsidR="00D52573">
        <w:rPr>
          <w:rFonts w:cs="Arial"/>
          <w:vertAlign w:val="superscript"/>
        </w:rPr>
        <w:t>3</w:t>
      </w:r>
      <w:r w:rsidR="00D52573">
        <w:rPr>
          <w:rFonts w:cs="Arial"/>
        </w:rPr>
        <w:t xml:space="preserve"> is calculated by applying an</w:t>
      </w:r>
      <w:r w:rsidR="004A5C80">
        <w:rPr>
          <w:rFonts w:cs="Arial"/>
        </w:rPr>
        <w:t xml:space="preserve"> uncertainty factor of 10 to account for reported symptoms of SbCl</w:t>
      </w:r>
      <w:r w:rsidR="004A5C80">
        <w:rPr>
          <w:rFonts w:cs="Arial"/>
          <w:vertAlign w:val="subscript"/>
        </w:rPr>
        <w:t>5</w:t>
      </w:r>
      <w:r w:rsidR="004A5C80">
        <w:rPr>
          <w:rFonts w:cs="Arial"/>
        </w:rPr>
        <w:t xml:space="preserve"> exposure </w:t>
      </w:r>
      <w:r w:rsidR="00226FA7">
        <w:rPr>
          <w:rFonts w:cs="Arial"/>
        </w:rPr>
        <w:t>being</w:t>
      </w:r>
      <w:r w:rsidR="004A5C80">
        <w:rPr>
          <w:rFonts w:cs="Arial"/>
        </w:rPr>
        <w:t xml:space="preserve"> more intense than those of HCl alone (ACGIH, 2001)</w:t>
      </w:r>
      <w:r w:rsidR="00CF37FF">
        <w:rPr>
          <w:rFonts w:cs="Arial"/>
        </w:rPr>
        <w:t>.</w:t>
      </w:r>
      <w:r w:rsidR="001435CA">
        <w:rPr>
          <w:rFonts w:cs="Arial"/>
        </w:rPr>
        <w:t xml:space="preserve"> </w:t>
      </w:r>
    </w:p>
    <w:p w14:paraId="4FE35AA7" w14:textId="5EB77DEF" w:rsidR="006639B4" w:rsidRPr="003B5FDE" w:rsidRDefault="003B5FDE" w:rsidP="006639B4">
      <w:pPr>
        <w:rPr>
          <w:rFonts w:cs="Arial"/>
        </w:rPr>
      </w:pPr>
      <w:r>
        <w:rPr>
          <w:rFonts w:cs="Arial"/>
        </w:rPr>
        <w:t xml:space="preserve">A skin notation </w:t>
      </w:r>
      <w:r w:rsidR="00DA34D9">
        <w:rPr>
          <w:rFonts w:cs="Arial"/>
        </w:rPr>
        <w:t>was</w:t>
      </w:r>
      <w:r>
        <w:rPr>
          <w:rFonts w:cs="Arial"/>
        </w:rPr>
        <w:t xml:space="preserve"> considered due to the reported LD</w:t>
      </w:r>
      <w:r>
        <w:rPr>
          <w:rFonts w:cs="Arial"/>
          <w:vertAlign w:val="subscript"/>
        </w:rPr>
        <w:t>50</w:t>
      </w:r>
      <w:r>
        <w:rPr>
          <w:rFonts w:cs="Arial"/>
        </w:rPr>
        <w:t xml:space="preserve"> of 314 mg/kg (rabbits) for SbCl</w:t>
      </w:r>
      <w:r>
        <w:rPr>
          <w:rFonts w:cs="Arial"/>
          <w:vertAlign w:val="subscript"/>
        </w:rPr>
        <w:t>3</w:t>
      </w:r>
      <w:r w:rsidR="00CF37FF">
        <w:rPr>
          <w:rFonts w:cs="Arial"/>
        </w:rPr>
        <w:t>.</w:t>
      </w:r>
      <w:r w:rsidR="00303D5A">
        <w:rPr>
          <w:rFonts w:cs="Arial"/>
        </w:rPr>
        <w:t xml:space="preserve"> </w:t>
      </w:r>
      <w:r w:rsidR="00CF37FF">
        <w:rPr>
          <w:rFonts w:cs="Arial"/>
        </w:rPr>
        <w:t>H</w:t>
      </w:r>
      <w:r w:rsidR="00303D5A">
        <w:rPr>
          <w:rFonts w:cs="Arial"/>
        </w:rPr>
        <w:t>owever</w:t>
      </w:r>
      <w:r w:rsidR="00CF37FF">
        <w:rPr>
          <w:rFonts w:cs="Arial"/>
        </w:rPr>
        <w:t>,</w:t>
      </w:r>
      <w:r>
        <w:rPr>
          <w:rFonts w:cs="Arial"/>
        </w:rPr>
        <w:t xml:space="preserve"> no </w:t>
      </w:r>
      <w:r w:rsidR="00855A41">
        <w:rPr>
          <w:rFonts w:cs="Arial"/>
        </w:rPr>
        <w:t xml:space="preserve">evidence of systemic toxicity due to skin absorption </w:t>
      </w:r>
      <w:r w:rsidR="00303D5A">
        <w:rPr>
          <w:rFonts w:cs="Arial"/>
        </w:rPr>
        <w:t>is</w:t>
      </w:r>
      <w:r w:rsidR="00855A41">
        <w:rPr>
          <w:rFonts w:cs="Arial"/>
        </w:rPr>
        <w:t xml:space="preserve"> reported in humans.</w:t>
      </w:r>
      <w:r w:rsidR="00DA34D9">
        <w:rPr>
          <w:rFonts w:cs="Arial"/>
        </w:rPr>
        <w:t xml:space="preserve"> Therefore, no skin notation is recommended.</w:t>
      </w:r>
    </w:p>
    <w:p w14:paraId="6019949A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066D347" w14:textId="77777777" w:rsidR="00044FF9" w:rsidRDefault="00894802" w:rsidP="00044FF9">
      <w:bookmarkStart w:id="2" w:name="_Hlk11861284"/>
      <w:r>
        <w:t>Not</w:t>
      </w:r>
      <w:r w:rsidR="00303D5A">
        <w:t xml:space="preserve"> classified as carcinogenic</w:t>
      </w:r>
      <w:r w:rsidR="00044FF9">
        <w:t xml:space="preserve"> according to the Globally Harmonized System of Classification and Labelling of Chemicals (GHS).</w:t>
      </w:r>
    </w:p>
    <w:p w14:paraId="13C423E3" w14:textId="7D5BE567" w:rsidR="00044FF9" w:rsidRDefault="00483549" w:rsidP="00044FF9">
      <w:r>
        <w:t xml:space="preserve">Antimony and compounds are </w:t>
      </w:r>
      <w:r w:rsidR="00400671">
        <w:t>n</w:t>
      </w:r>
      <w:r w:rsidR="00044FF9">
        <w:t xml:space="preserve">ot classified as skin </w:t>
      </w:r>
      <w:r w:rsidR="00CF37FF">
        <w:t xml:space="preserve">sensitisers </w:t>
      </w:r>
      <w:r w:rsidR="00E767B1">
        <w:t xml:space="preserve">or </w:t>
      </w:r>
      <w:r w:rsidR="00044FF9">
        <w:t>respiratory sensitisers according to the GHS.</w:t>
      </w:r>
    </w:p>
    <w:p w14:paraId="66A16DD1" w14:textId="77777777" w:rsidR="005E6979" w:rsidRPr="00691DCB" w:rsidRDefault="003E3A9F">
      <w:pPr>
        <w:rPr>
          <w:rFonts w:cs="Arial"/>
        </w:rPr>
        <w:sectPr w:rsidR="005E6979" w:rsidRPr="00691DCB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3E3A9F">
        <w:rPr>
          <w:rFonts w:eastAsia="Calibri" w:cs="Times New Roman"/>
        </w:rPr>
        <w:t>Insufficient evidence to warrant recommendation of a skin notation</w:t>
      </w:r>
      <w:r w:rsidR="00CF37FF">
        <w:rPr>
          <w:rFonts w:eastAsia="Calibri" w:cs="Times New Roman"/>
        </w:rPr>
        <w:t>. H</w:t>
      </w:r>
      <w:r w:rsidRPr="003E3A9F">
        <w:rPr>
          <w:rFonts w:eastAsia="Calibri" w:cs="Times New Roman"/>
        </w:rPr>
        <w:t>owever</w:t>
      </w:r>
      <w:r w:rsidR="00CF37FF">
        <w:rPr>
          <w:rFonts w:eastAsia="Calibri" w:cs="Times New Roman"/>
        </w:rPr>
        <w:t>,</w:t>
      </w:r>
      <w:r w:rsidRPr="003E3A9F">
        <w:rPr>
          <w:rFonts w:eastAsia="Calibri" w:cs="Times New Roman"/>
        </w:rPr>
        <w:t xml:space="preserve"> a review</w:t>
      </w:r>
      <w:r w:rsidR="00691DCB" w:rsidRPr="003E3A9F">
        <w:rPr>
          <w:rFonts w:eastAsia="Calibri" w:cs="Times New Roman"/>
        </w:rPr>
        <w:t xml:space="preserve"> should be considered </w:t>
      </w:r>
      <w:r w:rsidRPr="003E3A9F">
        <w:rPr>
          <w:rFonts w:eastAsia="Calibri" w:cs="Times New Roman"/>
        </w:rPr>
        <w:t>based on</w:t>
      </w:r>
      <w:r w:rsidR="00691DCB" w:rsidRPr="003E3A9F">
        <w:rPr>
          <w:rFonts w:eastAsia="Calibri" w:cs="Times New Roman"/>
        </w:rPr>
        <w:t xml:space="preserve"> </w:t>
      </w:r>
      <w:r w:rsidR="00CF37FF">
        <w:rPr>
          <w:rFonts w:eastAsia="Calibri" w:cs="Times New Roman"/>
        </w:rPr>
        <w:t xml:space="preserve">the </w:t>
      </w:r>
      <w:r>
        <w:rPr>
          <w:rFonts w:eastAsia="Calibri" w:cs="Times New Roman"/>
        </w:rPr>
        <w:t xml:space="preserve">limited </w:t>
      </w:r>
      <w:r w:rsidR="003B5FDE" w:rsidRPr="003E3A9F">
        <w:rPr>
          <w:rFonts w:eastAsia="Calibri" w:cs="Times New Roman"/>
        </w:rPr>
        <w:t>evidence</w:t>
      </w:r>
      <w:r w:rsidR="00CF37FF">
        <w:rPr>
          <w:rFonts w:eastAsia="Calibri" w:cs="Times New Roman"/>
        </w:rPr>
        <w:t xml:space="preserve"> available</w:t>
      </w:r>
      <w:r w:rsidR="003B5FDE" w:rsidRPr="003E3A9F">
        <w:rPr>
          <w:rFonts w:eastAsia="Calibri" w:cs="Times New Roman"/>
        </w:rPr>
        <w:t xml:space="preserve"> from animal experiments.</w:t>
      </w:r>
    </w:p>
    <w:bookmarkEnd w:id="2"/>
    <w:p w14:paraId="59FEC72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E2B60B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20"/>
      </w:tblGrid>
      <w:tr w:rsidR="00C978F0" w:rsidRPr="00DA352E" w14:paraId="68F639EA" w14:textId="77777777" w:rsidTr="00DE26E8">
        <w:trPr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12AFB4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4B876ED" w14:textId="77777777" w:rsidTr="00DE26E8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4918BA8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77253">
                  <w:t>TWA: 0.5 mg/m</w:t>
                </w:r>
                <w:r w:rsidR="00F77253">
                  <w:rPr>
                    <w:vertAlign w:val="superscript"/>
                  </w:rPr>
                  <w:t>3</w:t>
                </w:r>
                <w:r w:rsidR="00F3119E">
                  <w:t xml:space="preserve"> (as Sb)</w:t>
                </w:r>
              </w:sdtContent>
            </w:sdt>
          </w:p>
        </w:tc>
      </w:tr>
      <w:tr w:rsidR="00C978F0" w:rsidRPr="00DA352E" w14:paraId="6A99B44B" w14:textId="77777777" w:rsidTr="00DE26E8">
        <w:trPr>
          <w:cantSplit/>
        </w:trPr>
        <w:tc>
          <w:tcPr>
            <w:tcW w:w="4992" w:type="pct"/>
          </w:tcPr>
          <w:p w14:paraId="43B7508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15F0F0D" w14:textId="77777777" w:rsidTr="00DE26E8">
        <w:trPr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A68C3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7725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77253">
                  <w:t>TLV-TWA: 0.5 mg/m</w:t>
                </w:r>
                <w:r w:rsidR="00F77253">
                  <w:rPr>
                    <w:vertAlign w:val="superscript"/>
                  </w:rPr>
                  <w:t>3</w:t>
                </w:r>
                <w:r w:rsidR="00F77253">
                  <w:t xml:space="preserve"> (as Sb)</w:t>
                </w:r>
              </w:sdtContent>
            </w:sdt>
          </w:p>
        </w:tc>
      </w:tr>
      <w:tr w:rsidR="00C978F0" w:rsidRPr="00DA352E" w14:paraId="50516CB5" w14:textId="77777777" w:rsidTr="005A1A39">
        <w:trPr>
          <w:cantSplit/>
          <w:trHeight w:val="9778"/>
        </w:trPr>
        <w:tc>
          <w:tcPr>
            <w:tcW w:w="5000" w:type="pct"/>
          </w:tcPr>
          <w:p w14:paraId="10FC9178" w14:textId="776F0F40" w:rsidR="00CF37FF" w:rsidRDefault="00F77253" w:rsidP="00CC0499">
            <w:pPr>
              <w:pStyle w:val="Tabletextprimarysource"/>
            </w:pPr>
            <w:r>
              <w:t xml:space="preserve">TLV-TWA </w:t>
            </w:r>
            <w:r w:rsidR="00CF37FF">
              <w:t>recommended</w:t>
            </w:r>
            <w:r>
              <w:t xml:space="preserve"> to minimise potential for irritation of the upper respiratory tract, abdominal pain and loss of appetite. </w:t>
            </w:r>
          </w:p>
          <w:p w14:paraId="4465589F" w14:textId="77777777" w:rsidR="00A331B4" w:rsidRDefault="00CC0499" w:rsidP="00CC0499">
            <w:pPr>
              <w:pStyle w:val="Tabletextprimarysource"/>
            </w:pPr>
            <w:r>
              <w:t>Summary of data:</w:t>
            </w:r>
            <w:r w:rsidR="00A331B4">
              <w:t xml:space="preserve"> </w:t>
            </w:r>
          </w:p>
          <w:p w14:paraId="7F05B628" w14:textId="7AA8F9E4" w:rsidR="005425EC" w:rsidRDefault="00A331B4" w:rsidP="00CC0499">
            <w:pPr>
              <w:pStyle w:val="Tabletextprimarysource"/>
            </w:pPr>
            <w:r>
              <w:t xml:space="preserve">Acute or chronic exposure to concentrations significantly above the TLV-TWA is expected to result in pneumonitis and cardiac or haematological disorders. The TLV-TWA is calculated from the theoretical hydrolytic production of 5 molar equivalents of </w:t>
            </w:r>
            <w:r w:rsidR="00CF37FF">
              <w:t>HCl</w:t>
            </w:r>
            <w:r>
              <w:t xml:space="preserve"> from SbCl</w:t>
            </w:r>
            <w:r>
              <w:rPr>
                <w:vertAlign w:val="subscript"/>
              </w:rPr>
              <w:t>5</w:t>
            </w:r>
            <w:r>
              <w:t>, which results in 5 mg/m</w:t>
            </w:r>
            <w:r>
              <w:rPr>
                <w:vertAlign w:val="superscript"/>
              </w:rPr>
              <w:t>3</w:t>
            </w:r>
            <w:r>
              <w:t xml:space="preserve"> (as Sb). An </w:t>
            </w:r>
            <w:r w:rsidR="00DA34D9">
              <w:t>UF</w:t>
            </w:r>
            <w:r>
              <w:t xml:space="preserve"> of 10 is </w:t>
            </w:r>
            <w:r w:rsidR="005425EC">
              <w:t>applied</w:t>
            </w:r>
            <w:r>
              <w:t xml:space="preserve"> because the intensity of critical effects for SbCl</w:t>
            </w:r>
            <w:r>
              <w:rPr>
                <w:vertAlign w:val="subscript"/>
              </w:rPr>
              <w:t>5</w:t>
            </w:r>
            <w:r>
              <w:t xml:space="preserve"> exposure is greater than that of HCl alone. </w:t>
            </w:r>
          </w:p>
          <w:p w14:paraId="192A1A0A" w14:textId="6C0FA126" w:rsidR="005425EC" w:rsidRDefault="005425EC" w:rsidP="00CC0499">
            <w:pPr>
              <w:pStyle w:val="Tabletextprimarysource"/>
            </w:pPr>
            <w:r>
              <w:t>TLV</w:t>
            </w:r>
            <w:r w:rsidR="00A331B4">
              <w:t xml:space="preserve"> does </w:t>
            </w:r>
            <w:r>
              <w:t>not apply to</w:t>
            </w:r>
            <w:r w:rsidR="00A331B4">
              <w:t xml:space="preserve"> antimony trioxide which </w:t>
            </w:r>
            <w:r>
              <w:t>has</w:t>
            </w:r>
            <w:r w:rsidR="00A331B4">
              <w:t xml:space="preserve"> </w:t>
            </w:r>
            <w:r w:rsidR="00DA34D9">
              <w:t xml:space="preserve">a </w:t>
            </w:r>
            <w:r w:rsidR="00A331B4">
              <w:t>withdrawn TLV</w:t>
            </w:r>
            <w:r w:rsidR="00A331B4">
              <w:noBreakHyphen/>
              <w:t>TWA (previously 0.5 mg/</w:t>
            </w:r>
            <w:r w:rsidR="00A331B4" w:rsidRPr="005C1201">
              <w:t>m</w:t>
            </w:r>
            <w:r w:rsidR="00A331B4" w:rsidRPr="005C1201">
              <w:rPr>
                <w:vertAlign w:val="superscript"/>
              </w:rPr>
              <w:t>3</w:t>
            </w:r>
            <w:r w:rsidR="00A331B4">
              <w:t xml:space="preserve">). </w:t>
            </w:r>
          </w:p>
          <w:p w14:paraId="7F35AEB2" w14:textId="2EA60F04" w:rsidR="00CC0499" w:rsidRDefault="00A331B4" w:rsidP="00CC0499">
            <w:pPr>
              <w:pStyle w:val="Tabletextprimarysource"/>
            </w:pPr>
            <w:r w:rsidRPr="005C1201">
              <w:t>Insufficient</w:t>
            </w:r>
            <w:r>
              <w:t xml:space="preserve"> data to recommend </w:t>
            </w:r>
            <w:r w:rsidR="007932C6">
              <w:t xml:space="preserve">a </w:t>
            </w:r>
            <w:r>
              <w:t>STEL</w:t>
            </w:r>
            <w:r w:rsidR="007932C6">
              <w:t xml:space="preserve"> or</w:t>
            </w:r>
            <w:r>
              <w:t xml:space="preserve"> skin, carcinogenicity or sensitising notations.</w:t>
            </w:r>
          </w:p>
          <w:p w14:paraId="30F1CE04" w14:textId="77777777" w:rsidR="007A74B7" w:rsidRDefault="00055B44" w:rsidP="0098788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studies:</w:t>
            </w:r>
          </w:p>
          <w:p w14:paraId="47792ED8" w14:textId="15E342C6" w:rsidR="00CF37FF" w:rsidRDefault="00DA34D9" w:rsidP="00CF37FF">
            <w:pPr>
              <w:pStyle w:val="ListBulle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URT irritation</w:t>
            </w:r>
            <w:r w:rsidR="005425EC" w:rsidRPr="00107BE8">
              <w:rPr>
                <w:rFonts w:cs="Arial"/>
                <w:szCs w:val="20"/>
              </w:rPr>
              <w:t xml:space="preserve">, </w:t>
            </w:r>
            <w:r w:rsidR="000B35B1" w:rsidRPr="00107BE8">
              <w:rPr>
                <w:rFonts w:cs="Arial"/>
                <w:szCs w:val="20"/>
              </w:rPr>
              <w:t>delayed abdominal pain and loss of appetite at 73 mg/m</w:t>
            </w:r>
            <w:r w:rsidR="000B35B1" w:rsidRPr="00107BE8">
              <w:rPr>
                <w:rFonts w:cs="Arial"/>
                <w:szCs w:val="20"/>
                <w:vertAlign w:val="superscript"/>
              </w:rPr>
              <w:t>3</w:t>
            </w:r>
            <w:r w:rsidR="000B35B1" w:rsidRPr="00107BE8">
              <w:rPr>
                <w:rFonts w:cs="Arial"/>
                <w:szCs w:val="20"/>
              </w:rPr>
              <w:t xml:space="preserve"> (as Sb) and </w:t>
            </w:r>
            <w:r w:rsidRPr="00107BE8">
              <w:rPr>
                <w:rFonts w:cs="Arial"/>
                <w:szCs w:val="20"/>
              </w:rPr>
              <w:t>146</w:t>
            </w:r>
            <w:r>
              <w:rPr>
                <w:rFonts w:cs="Arial"/>
                <w:szCs w:val="20"/>
              </w:rPr>
              <w:t> </w:t>
            </w:r>
            <w:r w:rsidR="000B35B1" w:rsidRPr="00107BE8">
              <w:rPr>
                <w:rFonts w:cs="Arial"/>
                <w:szCs w:val="20"/>
              </w:rPr>
              <w:t>mg/m</w:t>
            </w:r>
            <w:r w:rsidR="000B35B1" w:rsidRPr="00107BE8">
              <w:rPr>
                <w:vertAlign w:val="superscript"/>
              </w:rPr>
              <w:t>3</w:t>
            </w:r>
            <w:r w:rsidR="000B35B1">
              <w:t xml:space="preserve"> (as </w:t>
            </w:r>
            <w:r w:rsidR="00D817CF">
              <w:t>HCl</w:t>
            </w:r>
            <w:r w:rsidR="000B35B1">
              <w:t xml:space="preserve">) </w:t>
            </w:r>
            <w:r w:rsidR="00D817CF">
              <w:t xml:space="preserve">following </w:t>
            </w:r>
            <w:r w:rsidR="000B35B1">
              <w:t xml:space="preserve">brief </w:t>
            </w:r>
            <w:r w:rsidR="00D817CF">
              <w:t xml:space="preserve">accidental </w:t>
            </w:r>
            <w:r w:rsidR="000B35B1">
              <w:t>exposures (duration unspecified)</w:t>
            </w:r>
            <w:r w:rsidR="005425EC" w:rsidRPr="00107BE8">
              <w:rPr>
                <w:rFonts w:cs="Arial"/>
                <w:szCs w:val="20"/>
              </w:rPr>
              <w:t xml:space="preserve"> </w:t>
            </w:r>
          </w:p>
          <w:p w14:paraId="0F06E193" w14:textId="77777777" w:rsidR="009A4980" w:rsidRPr="00107BE8" w:rsidRDefault="000B35B1" w:rsidP="00CF37FF">
            <w:pPr>
              <w:pStyle w:val="ListBulle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contextualSpacing w:val="0"/>
              <w:rPr>
                <w:rFonts w:cs="Arial"/>
                <w:szCs w:val="20"/>
              </w:rPr>
            </w:pPr>
            <w:r w:rsidRPr="00107BE8">
              <w:rPr>
                <w:rFonts w:cs="Arial"/>
                <w:szCs w:val="20"/>
              </w:rPr>
              <w:t xml:space="preserve">Effects more severe than </w:t>
            </w:r>
            <w:r w:rsidR="005425EC" w:rsidRPr="00107BE8">
              <w:rPr>
                <w:rFonts w:cs="Arial"/>
                <w:szCs w:val="20"/>
              </w:rPr>
              <w:t>HCl</w:t>
            </w:r>
            <w:r w:rsidRPr="00107BE8">
              <w:rPr>
                <w:rFonts w:cs="Arial"/>
                <w:szCs w:val="20"/>
              </w:rPr>
              <w:t xml:space="preserve"> alone, which is the major hydrolysis product of SbCl</w:t>
            </w:r>
            <w:r w:rsidRPr="00107BE8">
              <w:rPr>
                <w:rFonts w:cs="Arial"/>
                <w:szCs w:val="20"/>
                <w:vertAlign w:val="subscript"/>
              </w:rPr>
              <w:t>3</w:t>
            </w:r>
          </w:p>
          <w:p w14:paraId="1608745C" w14:textId="77777777" w:rsidR="000B35B1" w:rsidRPr="00BB2ECD" w:rsidRDefault="000B35B1" w:rsidP="00941189">
            <w:pPr>
              <w:pStyle w:val="ListBullet"/>
              <w:numPr>
                <w:ilvl w:val="0"/>
                <w:numId w:val="11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SbCl</w:t>
            </w:r>
            <w:r>
              <w:rPr>
                <w:rFonts w:cs="Arial"/>
                <w:szCs w:val="20"/>
                <w:vertAlign w:val="subscript"/>
              </w:rPr>
              <w:t>5</w:t>
            </w:r>
            <w:r w:rsidR="00CF37FF">
              <w:rPr>
                <w:rFonts w:cs="Arial"/>
                <w:szCs w:val="20"/>
              </w:rPr>
              <w:t xml:space="preserve"> </w:t>
            </w:r>
            <w:r w:rsidRPr="00941189">
              <w:t>reported</w:t>
            </w:r>
            <w:r>
              <w:rPr>
                <w:rFonts w:cs="Arial"/>
                <w:szCs w:val="20"/>
              </w:rPr>
              <w:t xml:space="preserve"> to act similar</w:t>
            </w:r>
            <w:r w:rsidR="009A4980">
              <w:rPr>
                <w:rFonts w:cs="Arial"/>
                <w:szCs w:val="20"/>
              </w:rPr>
              <w:t>ly</w:t>
            </w:r>
            <w:r>
              <w:rPr>
                <w:rFonts w:cs="Arial"/>
                <w:szCs w:val="20"/>
              </w:rPr>
              <w:t xml:space="preserve">, but </w:t>
            </w:r>
            <w:r w:rsidR="00107BE8">
              <w:rPr>
                <w:rFonts w:cs="Arial"/>
                <w:szCs w:val="20"/>
              </w:rPr>
              <w:t xml:space="preserve">in a </w:t>
            </w:r>
            <w:r>
              <w:rPr>
                <w:rFonts w:cs="Arial"/>
                <w:szCs w:val="20"/>
              </w:rPr>
              <w:t>more intense manner (no further information provided)</w:t>
            </w:r>
          </w:p>
          <w:p w14:paraId="5D64AA7D" w14:textId="203C6CED" w:rsidR="005425EC" w:rsidRDefault="00DA34D9" w:rsidP="00BB2EC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="00811914" w:rsidRPr="00BB2ECD">
              <w:rPr>
                <w:rFonts w:cs="Arial"/>
                <w:szCs w:val="20"/>
              </w:rPr>
              <w:t xml:space="preserve"> </w:t>
            </w:r>
            <w:r w:rsidR="00754539" w:rsidRPr="00BB2ECD">
              <w:rPr>
                <w:rFonts w:cs="Arial"/>
                <w:szCs w:val="20"/>
              </w:rPr>
              <w:t xml:space="preserve">heart disease </w:t>
            </w:r>
            <w:r w:rsidR="005425EC" w:rsidRPr="00BB2ECD">
              <w:rPr>
                <w:rFonts w:cs="Arial"/>
                <w:szCs w:val="20"/>
              </w:rPr>
              <w:t xml:space="preserve">deaths </w:t>
            </w:r>
            <w:r w:rsidR="005425EC">
              <w:rPr>
                <w:rFonts w:cs="Arial"/>
                <w:szCs w:val="20"/>
              </w:rPr>
              <w:t xml:space="preserve">(6 acute, </w:t>
            </w:r>
            <w:r w:rsidR="00754539" w:rsidRPr="00BB2ECD">
              <w:rPr>
                <w:rFonts w:cs="Arial"/>
                <w:szCs w:val="20"/>
              </w:rPr>
              <w:t xml:space="preserve">2 chronic) </w:t>
            </w:r>
            <w:r w:rsidR="00754539">
              <w:rPr>
                <w:rFonts w:cs="Arial"/>
                <w:szCs w:val="20"/>
              </w:rPr>
              <w:t xml:space="preserve">in </w:t>
            </w:r>
            <w:r w:rsidR="009A4980" w:rsidRPr="00BB2ECD">
              <w:rPr>
                <w:rFonts w:cs="Arial"/>
                <w:szCs w:val="20"/>
              </w:rPr>
              <w:t xml:space="preserve">abrasive industry </w:t>
            </w:r>
            <w:r w:rsidR="00AF44DE" w:rsidRPr="00BB2ECD">
              <w:rPr>
                <w:rFonts w:cs="Arial"/>
                <w:szCs w:val="20"/>
              </w:rPr>
              <w:t xml:space="preserve">workers </w:t>
            </w:r>
            <w:r w:rsidR="00107BE8">
              <w:rPr>
                <w:rFonts w:cs="Arial"/>
                <w:szCs w:val="20"/>
              </w:rPr>
              <w:t>report</w:t>
            </w:r>
            <w:r w:rsidR="00107BE8" w:rsidRPr="00BB2ECD">
              <w:rPr>
                <w:rFonts w:cs="Arial"/>
                <w:szCs w:val="20"/>
              </w:rPr>
              <w:t xml:space="preserve"> </w:t>
            </w:r>
            <w:r w:rsidR="00754539">
              <w:rPr>
                <w:rFonts w:cs="Arial"/>
                <w:szCs w:val="20"/>
              </w:rPr>
              <w:t>(n=</w:t>
            </w:r>
            <w:r w:rsidR="004971C5">
              <w:rPr>
                <w:rFonts w:cs="Arial"/>
                <w:szCs w:val="20"/>
              </w:rPr>
              <w:t xml:space="preserve">125; </w:t>
            </w:r>
            <w:r w:rsidR="00AF44DE" w:rsidRPr="00BB2ECD">
              <w:rPr>
                <w:rFonts w:cs="Arial"/>
                <w:szCs w:val="20"/>
              </w:rPr>
              <w:t>8</w:t>
            </w:r>
            <w:r w:rsidR="004971C5">
              <w:rPr>
                <w:rFonts w:cs="Arial"/>
                <w:szCs w:val="20"/>
              </w:rPr>
              <w:t> </w:t>
            </w:r>
            <w:proofErr w:type="spellStart"/>
            <w:r w:rsidR="004971C5">
              <w:rPr>
                <w:rFonts w:cs="Arial"/>
                <w:szCs w:val="20"/>
              </w:rPr>
              <w:t>mo</w:t>
            </w:r>
            <w:proofErr w:type="spellEnd"/>
            <w:r>
              <w:rPr>
                <w:rFonts w:cs="Arial"/>
                <w:szCs w:val="20"/>
              </w:rPr>
              <w:t>–</w:t>
            </w:r>
            <w:r w:rsidR="00AF44DE" w:rsidRPr="00BB2ECD">
              <w:rPr>
                <w:rFonts w:cs="Arial"/>
                <w:szCs w:val="20"/>
              </w:rPr>
              <w:t xml:space="preserve">2 </w:t>
            </w:r>
            <w:proofErr w:type="spellStart"/>
            <w:r w:rsidR="00ED3AE9">
              <w:rPr>
                <w:rFonts w:cs="Arial"/>
                <w:szCs w:val="20"/>
              </w:rPr>
              <w:t>yr</w:t>
            </w:r>
            <w:proofErr w:type="spellEnd"/>
            <w:r w:rsidR="00BB2ECD" w:rsidRPr="00BB2ECD">
              <w:rPr>
                <w:rFonts w:cs="Arial"/>
                <w:szCs w:val="20"/>
              </w:rPr>
              <w:t>), average air concentration: 3.0 mg/m</w:t>
            </w:r>
            <w:r w:rsidR="00BB2ECD" w:rsidRPr="00BB2ECD">
              <w:rPr>
                <w:rFonts w:cs="Arial"/>
                <w:szCs w:val="20"/>
                <w:vertAlign w:val="superscript"/>
              </w:rPr>
              <w:t>3</w:t>
            </w:r>
            <w:r w:rsidR="009A4980">
              <w:rPr>
                <w:rFonts w:cs="Arial"/>
                <w:szCs w:val="20"/>
              </w:rPr>
              <w:t>;</w:t>
            </w:r>
            <w:r w:rsidR="00BB2ECD" w:rsidRPr="00BB2ECD">
              <w:rPr>
                <w:rFonts w:cs="Arial"/>
                <w:szCs w:val="20"/>
              </w:rPr>
              <w:t xml:space="preserve"> range: </w:t>
            </w:r>
            <w:r w:rsidR="004971C5">
              <w:rPr>
                <w:rFonts w:cs="Arial"/>
                <w:szCs w:val="20"/>
              </w:rPr>
              <w:t>0.58</w:t>
            </w:r>
            <w:r w:rsidR="00ED634C">
              <w:rPr>
                <w:rFonts w:cs="Arial"/>
                <w:szCs w:val="20"/>
              </w:rPr>
              <w:t>–</w:t>
            </w:r>
            <w:r w:rsidR="00AF44DE" w:rsidRPr="00BB2ECD">
              <w:rPr>
                <w:rFonts w:cs="Arial"/>
                <w:szCs w:val="20"/>
              </w:rPr>
              <w:t>5.5 mg/m</w:t>
            </w:r>
            <w:r w:rsidR="00AF44DE" w:rsidRPr="00BB2ECD">
              <w:rPr>
                <w:rFonts w:cs="Arial"/>
                <w:szCs w:val="20"/>
                <w:vertAlign w:val="superscript"/>
              </w:rPr>
              <w:t>3</w:t>
            </w:r>
            <w:r w:rsidR="00BB2ECD" w:rsidRPr="00BB2ECD">
              <w:rPr>
                <w:rFonts w:cs="Arial"/>
                <w:szCs w:val="20"/>
              </w:rPr>
              <w:t xml:space="preserve"> (monitoring type unspecified)</w:t>
            </w:r>
          </w:p>
          <w:p w14:paraId="79ED58AB" w14:textId="09D1B885" w:rsidR="005425EC" w:rsidRDefault="00483549" w:rsidP="009A4980">
            <w:pPr>
              <w:pStyle w:val="ListBullet"/>
              <w:numPr>
                <w:ilvl w:val="0"/>
                <w:numId w:val="11"/>
              </w:numPr>
            </w:pPr>
            <w:r>
              <w:t>o</w:t>
            </w:r>
            <w:r w:rsidR="00811914">
              <w:t xml:space="preserve">f </w:t>
            </w:r>
            <w:r w:rsidR="00AF44DE" w:rsidRPr="00BB2ECD">
              <w:t>75 workers examined</w:t>
            </w:r>
            <w:r w:rsidR="00811914">
              <w:t>,</w:t>
            </w:r>
            <w:r w:rsidR="00811914" w:rsidRPr="00BB2ECD">
              <w:t xml:space="preserve"> </w:t>
            </w:r>
            <w:r w:rsidR="00AF44DE" w:rsidRPr="00BB2ECD">
              <w:t>37 showed</w:t>
            </w:r>
            <w:r w:rsidR="005425EC">
              <w:t xml:space="preserve"> </w:t>
            </w:r>
            <w:r w:rsidR="004971C5">
              <w:t>ECG</w:t>
            </w:r>
            <w:r w:rsidR="005425EC">
              <w:t xml:space="preserve"> changes;</w:t>
            </w:r>
            <w:r w:rsidR="004971C5">
              <w:t xml:space="preserve"> 14 with BP</w:t>
            </w:r>
            <w:r w:rsidR="00AF44DE" w:rsidRPr="00BB2ECD">
              <w:t xml:space="preserve"> </w:t>
            </w:r>
            <w:r w:rsidR="005425EC">
              <w:t>&gt;</w:t>
            </w:r>
            <w:r w:rsidR="00811914">
              <w:t xml:space="preserve"> </w:t>
            </w:r>
            <w:r w:rsidR="00AF44DE" w:rsidRPr="00BB2ECD">
              <w:t>150/190</w:t>
            </w:r>
          </w:p>
          <w:p w14:paraId="216FA178" w14:textId="492B925E" w:rsidR="00AF44DE" w:rsidRDefault="00483549" w:rsidP="009A4980">
            <w:pPr>
              <w:pStyle w:val="ListBullet"/>
              <w:numPr>
                <w:ilvl w:val="0"/>
                <w:numId w:val="11"/>
              </w:numPr>
            </w:pPr>
            <w:r>
              <w:t>i</w:t>
            </w:r>
            <w:r w:rsidR="00811914">
              <w:t xml:space="preserve">n another study, </w:t>
            </w:r>
            <w:r w:rsidR="004971C5">
              <w:t>7/</w:t>
            </w:r>
            <w:r w:rsidR="00AF44DE" w:rsidRPr="00BB2ECD">
              <w:t>111 had ulcers</w:t>
            </w:r>
            <w:r w:rsidR="00BB2ECD">
              <w:t xml:space="preserve">, </w:t>
            </w:r>
            <w:r w:rsidR="00ED3AE9">
              <w:t xml:space="preserve">with </w:t>
            </w:r>
            <w:r w:rsidR="00BB2ECD">
              <w:t xml:space="preserve">urinary </w:t>
            </w:r>
            <w:r w:rsidR="00107BE8">
              <w:t xml:space="preserve">antimony levels </w:t>
            </w:r>
            <w:r w:rsidR="00ED3AE9">
              <w:t>rang</w:t>
            </w:r>
            <w:r w:rsidR="00107BE8">
              <w:t>ing</w:t>
            </w:r>
            <w:r w:rsidR="00ED3AE9">
              <w:t xml:space="preserve"> between</w:t>
            </w:r>
            <w:r w:rsidR="004971C5">
              <w:t xml:space="preserve"> 0.8</w:t>
            </w:r>
            <w:r w:rsidR="00DA34D9">
              <w:t>–</w:t>
            </w:r>
            <w:r w:rsidR="007A74B7">
              <w:t>9.6 mg/L</w:t>
            </w:r>
          </w:p>
          <w:p w14:paraId="52922A1F" w14:textId="7F8B408A" w:rsidR="009A4980" w:rsidRDefault="009A4980" w:rsidP="00BB2EC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Processing plant worker s</w:t>
            </w:r>
            <w:r w:rsidR="00BB2ECD">
              <w:rPr>
                <w:rFonts w:cs="Arial"/>
                <w:szCs w:val="20"/>
              </w:rPr>
              <w:t>tudy reported</w:t>
            </w:r>
            <w:r w:rsidR="007A74B7">
              <w:rPr>
                <w:rFonts w:cs="Arial"/>
                <w:szCs w:val="20"/>
              </w:rPr>
              <w:t xml:space="preserve"> </w:t>
            </w:r>
            <w:r w:rsidR="00811914">
              <w:rPr>
                <w:rFonts w:cs="Arial"/>
                <w:szCs w:val="20"/>
              </w:rPr>
              <w:t xml:space="preserve">urinary levels in workers of 0.425–0.680 mg/L at </w:t>
            </w:r>
            <w:r w:rsidR="007A74B7">
              <w:rPr>
                <w:rFonts w:cs="Arial"/>
                <w:szCs w:val="20"/>
              </w:rPr>
              <w:t>air concentrations ranging from 0.5</w:t>
            </w:r>
            <w:r w:rsidR="00ED634C">
              <w:rPr>
                <w:rFonts w:cs="Arial"/>
                <w:szCs w:val="20"/>
              </w:rPr>
              <w:t>–</w:t>
            </w:r>
            <w:r w:rsidR="007A74B7">
              <w:rPr>
                <w:rFonts w:cs="Arial"/>
                <w:szCs w:val="20"/>
              </w:rPr>
              <w:t>37</w:t>
            </w:r>
            <w:r w:rsidR="006A0B15">
              <w:rPr>
                <w:rFonts w:cs="Arial"/>
                <w:szCs w:val="20"/>
              </w:rPr>
              <w:t> </w:t>
            </w:r>
            <w:r w:rsidR="007A74B7">
              <w:rPr>
                <w:rFonts w:cs="Arial"/>
                <w:szCs w:val="20"/>
              </w:rPr>
              <w:t>mg/m</w:t>
            </w:r>
            <w:r w:rsidR="007A74B7">
              <w:rPr>
                <w:rFonts w:cs="Arial"/>
                <w:szCs w:val="20"/>
                <w:vertAlign w:val="superscript"/>
              </w:rPr>
              <w:t>3</w:t>
            </w:r>
            <w:r w:rsidR="007A74B7">
              <w:rPr>
                <w:rFonts w:cs="Arial"/>
                <w:szCs w:val="20"/>
              </w:rPr>
              <w:t xml:space="preserve"> (monitoring type unspecif</w:t>
            </w:r>
            <w:r>
              <w:rPr>
                <w:rFonts w:cs="Arial"/>
                <w:szCs w:val="20"/>
              </w:rPr>
              <w:t>ied)</w:t>
            </w:r>
            <w:r w:rsidR="00811914">
              <w:rPr>
                <w:rFonts w:cs="Arial"/>
                <w:szCs w:val="20"/>
              </w:rPr>
              <w:t>.</w:t>
            </w:r>
          </w:p>
          <w:p w14:paraId="4C66C393" w14:textId="77777777" w:rsidR="00BB2ECD" w:rsidRDefault="007A74B7" w:rsidP="004971C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714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 evidence of systemic toxicity despite radiographic changes in lungs</w:t>
            </w:r>
            <w:r w:rsidR="004971C5">
              <w:rPr>
                <w:rFonts w:cs="Arial"/>
                <w:szCs w:val="20"/>
              </w:rPr>
              <w:t>.</w:t>
            </w:r>
          </w:p>
          <w:p w14:paraId="1D69AFDA" w14:textId="77777777" w:rsidR="004971C5" w:rsidRPr="004971C5" w:rsidRDefault="004971C5" w:rsidP="004971C5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</w:p>
          <w:p w14:paraId="7A8C02AD" w14:textId="77777777" w:rsidR="00F77253" w:rsidRDefault="00F41561" w:rsidP="00F41561">
            <w:pPr>
              <w:pStyle w:val="Tabletextprimarysourc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Animal studies:</w:t>
            </w:r>
          </w:p>
          <w:p w14:paraId="684FA7CC" w14:textId="77777777" w:rsidR="00F41561" w:rsidRDefault="00F41561" w:rsidP="00F41561">
            <w:pPr>
              <w:pStyle w:val="Tabletextprimarysource"/>
              <w:numPr>
                <w:ilvl w:val="0"/>
                <w:numId w:val="2"/>
              </w:numPr>
            </w:pPr>
            <w:r>
              <w:t>Studies pre-dating 1940 deemed unreliable due to lack of substance purity</w:t>
            </w:r>
          </w:p>
          <w:p w14:paraId="52E52E2D" w14:textId="77777777" w:rsidR="00ED3AE9" w:rsidRDefault="00F41561" w:rsidP="009A4980">
            <w:pPr>
              <w:pStyle w:val="ListBullet"/>
              <w:numPr>
                <w:ilvl w:val="0"/>
                <w:numId w:val="10"/>
              </w:numPr>
            </w:pPr>
            <w:r>
              <w:t>LD</w:t>
            </w:r>
            <w:r>
              <w:rPr>
                <w:vertAlign w:val="subscript"/>
              </w:rPr>
              <w:t>5</w:t>
            </w:r>
            <w:r w:rsidR="00ED3AE9">
              <w:rPr>
                <w:vertAlign w:val="subscript"/>
              </w:rPr>
              <w:t>0</w:t>
            </w:r>
            <w:r w:rsidR="00ED3AE9" w:rsidRPr="00ED3AE9">
              <w:t>:</w:t>
            </w:r>
            <w:r w:rsidR="00ED3AE9">
              <w:rPr>
                <w:vertAlign w:val="subscript"/>
              </w:rPr>
              <w:t xml:space="preserve"> </w:t>
            </w:r>
            <w:r w:rsidR="00ED3AE9">
              <w:t xml:space="preserve">100 mg/kg </w:t>
            </w:r>
            <w:r w:rsidR="002F0CBC">
              <w:t>(rats</w:t>
            </w:r>
            <w:r w:rsidR="00ED3AE9">
              <w:t>, intraperitoneal) - Sb</w:t>
            </w:r>
          </w:p>
          <w:p w14:paraId="3D2951DC" w14:textId="77777777" w:rsidR="00ED3AE9" w:rsidRDefault="00ED3AE9" w:rsidP="009A4980">
            <w:pPr>
              <w:pStyle w:val="ListBullet"/>
              <w:numPr>
                <w:ilvl w:val="0"/>
                <w:numId w:val="10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Pr="00ED3AE9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1,000 mg/kg (rats, intraperitoneal) - </w:t>
            </w:r>
            <w:r w:rsidR="002F0CBC">
              <w:t>Sb</w:t>
            </w:r>
            <w:r w:rsidR="00D60107" w:rsidRPr="00D60107">
              <w:rPr>
                <w:vertAlign w:val="subscript"/>
              </w:rPr>
              <w:t>2</w:t>
            </w:r>
            <w:r w:rsidR="002F0CBC">
              <w:t>S</w:t>
            </w:r>
            <w:r w:rsidR="002F0CBC">
              <w:rPr>
                <w:vertAlign w:val="subscript"/>
              </w:rPr>
              <w:t>3</w:t>
            </w:r>
          </w:p>
          <w:p w14:paraId="55FE97DB" w14:textId="279B0AEC" w:rsidR="00DA34D9" w:rsidRDefault="002F0CBC" w:rsidP="00F41561">
            <w:pPr>
              <w:pStyle w:val="Tabletextprimarysource"/>
              <w:numPr>
                <w:ilvl w:val="0"/>
                <w:numId w:val="2"/>
              </w:numPr>
            </w:pPr>
            <w:r>
              <w:t>Acute poisoning marked by weight and hair loss, dr</w:t>
            </w:r>
            <w:r w:rsidR="004971C5">
              <w:t xml:space="preserve">y scaly skin, congestion of </w:t>
            </w:r>
            <w:r>
              <w:t xml:space="preserve">heart, liver, and kidneys and eosinophilia. </w:t>
            </w:r>
          </w:p>
          <w:p w14:paraId="753632C5" w14:textId="27FF18CF" w:rsidR="002F0CBC" w:rsidRDefault="00DA34D9" w:rsidP="00941189">
            <w:pPr>
              <w:pStyle w:val="ListBullet"/>
              <w:numPr>
                <w:ilvl w:val="0"/>
                <w:numId w:val="10"/>
              </w:numPr>
            </w:pPr>
            <w:r>
              <w:t>l</w:t>
            </w:r>
            <w:r w:rsidR="002F0CBC">
              <w:t xml:space="preserve">ow tissue storage capacity of </w:t>
            </w:r>
            <w:r>
              <w:t xml:space="preserve">Sb </w:t>
            </w:r>
            <w:r w:rsidR="002F0CBC">
              <w:t>noted</w:t>
            </w:r>
          </w:p>
          <w:p w14:paraId="0A102122" w14:textId="77777777" w:rsidR="00DA34D9" w:rsidRDefault="00BA5996" w:rsidP="00BA599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</w:pPr>
            <w:r>
              <w:t>Lipid pneumonias</w:t>
            </w:r>
            <w:r w:rsidR="00811914">
              <w:t xml:space="preserve"> were noted</w:t>
            </w:r>
            <w:r>
              <w:t xml:space="preserve"> in r</w:t>
            </w:r>
            <w:r w:rsidR="00ED634C">
              <w:t>ats and rabbits exposed to 100–</w:t>
            </w:r>
            <w:r>
              <w:t>125 mg/</w:t>
            </w:r>
            <w:r w:rsidRPr="00BA5996">
              <w:t>m</w:t>
            </w:r>
            <w:r w:rsidRPr="00BA5996">
              <w:rPr>
                <w:vertAlign w:val="superscript"/>
              </w:rPr>
              <w:t>3</w:t>
            </w:r>
            <w:r>
              <w:t xml:space="preserve"> (rats) and 89</w:t>
            </w:r>
            <w:r w:rsidR="00811914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rPr>
                <w:vertAlign w:val="superscript"/>
              </w:rPr>
              <w:softHyphen/>
            </w:r>
            <w:r>
              <w:t xml:space="preserve"> (rabbits) of S</w:t>
            </w:r>
            <w:r w:rsidR="00674E1C">
              <w:t>b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3</w:t>
            </w:r>
            <w:r>
              <w:t xml:space="preserve"> (inhalation, 100 h/</w:t>
            </w:r>
            <w:proofErr w:type="spellStart"/>
            <w:r w:rsidR="00AD566C">
              <w:t>mo</w:t>
            </w:r>
            <w:proofErr w:type="spellEnd"/>
            <w:r>
              <w:t xml:space="preserve">, 10 </w:t>
            </w:r>
            <w:r w:rsidR="004971C5">
              <w:t>and 14.5 months</w:t>
            </w:r>
            <w:r w:rsidR="00811914">
              <w:t>,</w:t>
            </w:r>
            <w:r w:rsidR="004971C5">
              <w:t xml:space="preserve"> respectively)</w:t>
            </w:r>
          </w:p>
          <w:p w14:paraId="3B46A534" w14:textId="00679360" w:rsidR="002F0CBC" w:rsidRDefault="004971C5" w:rsidP="00941189">
            <w:pPr>
              <w:pStyle w:val="ListBullet"/>
              <w:numPr>
                <w:ilvl w:val="0"/>
                <w:numId w:val="10"/>
              </w:numPr>
            </w:pPr>
            <w:r>
              <w:t>n</w:t>
            </w:r>
            <w:r w:rsidR="00BA5996">
              <w:t>o evidence of lung cancer in rats nor rabbits</w:t>
            </w:r>
          </w:p>
          <w:p w14:paraId="75B7F7D5" w14:textId="77777777" w:rsidR="00DA34D9" w:rsidRDefault="00811914" w:rsidP="004971C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714" w:hanging="357"/>
              <w:contextualSpacing w:val="0"/>
            </w:pPr>
            <w:r>
              <w:t>I</w:t>
            </w:r>
            <w:r w:rsidRPr="00894802">
              <w:t xml:space="preserve">ncidence of lung tumours </w:t>
            </w:r>
            <w:r>
              <w:t xml:space="preserve">of </w:t>
            </w:r>
            <w:r w:rsidR="00F3119E" w:rsidRPr="00894802">
              <w:t>27% and 25% in female rats exposed to Sb</w:t>
            </w:r>
            <w:r w:rsidR="00F3119E" w:rsidRPr="00894802">
              <w:rPr>
                <w:vertAlign w:val="subscript"/>
              </w:rPr>
              <w:t>2</w:t>
            </w:r>
            <w:r w:rsidR="00F3119E" w:rsidRPr="00894802">
              <w:t>O</w:t>
            </w:r>
            <w:r w:rsidR="00F3119E" w:rsidRPr="00894802">
              <w:rPr>
                <w:vertAlign w:val="subscript"/>
              </w:rPr>
              <w:t>3</w:t>
            </w:r>
            <w:r w:rsidR="00F3119E" w:rsidRPr="00894802">
              <w:t xml:space="preserve"> (45 mg/m</w:t>
            </w:r>
            <w:r w:rsidR="00F3119E" w:rsidRPr="00894802">
              <w:rPr>
                <w:vertAlign w:val="superscript"/>
              </w:rPr>
              <w:t>3</w:t>
            </w:r>
            <w:r w:rsidR="00F3119E" w:rsidRPr="00894802">
              <w:t>)</w:t>
            </w:r>
            <w:r w:rsidR="00AB20F4" w:rsidRPr="00894802">
              <w:t xml:space="preserve"> </w:t>
            </w:r>
            <w:r w:rsidR="00F3119E" w:rsidRPr="00894802">
              <w:t xml:space="preserve">or </w:t>
            </w:r>
            <w:r w:rsidR="004971C5">
              <w:t>Sb</w:t>
            </w:r>
            <w:r w:rsidR="00F3119E" w:rsidRPr="00894802">
              <w:t xml:space="preserve"> ore concentrate (40 mg/m</w:t>
            </w:r>
            <w:r w:rsidR="00F3119E" w:rsidRPr="00894802">
              <w:rPr>
                <w:vertAlign w:val="superscript"/>
              </w:rPr>
              <w:t>3</w:t>
            </w:r>
            <w:r w:rsidR="00AB20F4" w:rsidRPr="00894802">
              <w:t>, 46% Sb mostly as Sb</w:t>
            </w:r>
            <w:r w:rsidR="00AB20F4" w:rsidRPr="00894802">
              <w:rPr>
                <w:vertAlign w:val="subscript"/>
              </w:rPr>
              <w:t>2</w:t>
            </w:r>
            <w:r w:rsidR="00AB20F4" w:rsidRPr="00894802">
              <w:t>S</w:t>
            </w:r>
            <w:r w:rsidR="00AB20F4" w:rsidRPr="00894802">
              <w:rPr>
                <w:vertAlign w:val="subscript"/>
              </w:rPr>
              <w:t>3</w:t>
            </w:r>
            <w:r w:rsidR="00F3119E" w:rsidRPr="00894802">
              <w:t>), re</w:t>
            </w:r>
            <w:r w:rsidR="00E751D4" w:rsidRPr="00894802">
              <w:t>spectively (7 h/d, 5 d/</w:t>
            </w:r>
            <w:proofErr w:type="spellStart"/>
            <w:r w:rsidR="00E751D4" w:rsidRPr="00894802">
              <w:t>wk</w:t>
            </w:r>
            <w:proofErr w:type="spellEnd"/>
            <w:r w:rsidR="00E751D4" w:rsidRPr="00894802">
              <w:t xml:space="preserve">, 1 </w:t>
            </w:r>
            <w:proofErr w:type="spellStart"/>
            <w:r w:rsidR="00E751D4" w:rsidRPr="00894802">
              <w:t>y</w:t>
            </w:r>
            <w:r w:rsidR="004971C5">
              <w:t>r</w:t>
            </w:r>
            <w:proofErr w:type="spellEnd"/>
            <w:r w:rsidR="004971C5">
              <w:t>); n</w:t>
            </w:r>
            <w:r w:rsidR="00F3119E" w:rsidRPr="00894802">
              <w:t>o incidences noted in male groups.</w:t>
            </w:r>
          </w:p>
          <w:p w14:paraId="203C9CA0" w14:textId="73B80580" w:rsidR="00BA5996" w:rsidRPr="00F77253" w:rsidRDefault="00F3119E" w:rsidP="00941189">
            <w:pPr>
              <w:autoSpaceDE w:val="0"/>
              <w:autoSpaceDN w:val="0"/>
              <w:adjustRightInd w:val="0"/>
              <w:spacing w:after="0"/>
            </w:pPr>
            <w:r>
              <w:t xml:space="preserve"> </w:t>
            </w:r>
          </w:p>
        </w:tc>
      </w:tr>
      <w:tr w:rsidR="00C978F0" w:rsidRPr="00DA352E" w14:paraId="28E412E9" w14:textId="77777777" w:rsidTr="005A1A39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5EC439A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114A2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63B8E">
                  <w:t>—</w:t>
                </w:r>
              </w:sdtContent>
            </w:sdt>
          </w:p>
        </w:tc>
      </w:tr>
      <w:tr w:rsidR="00C978F0" w:rsidRPr="00DA352E" w14:paraId="66429E2F" w14:textId="77777777" w:rsidTr="005A1A39">
        <w:trPr>
          <w:cantSplit/>
        </w:trPr>
        <w:tc>
          <w:tcPr>
            <w:tcW w:w="5000" w:type="pct"/>
          </w:tcPr>
          <w:p w14:paraId="50B62F50" w14:textId="77777777" w:rsidR="00C978F0" w:rsidRDefault="00D60107" w:rsidP="003365A5">
            <w:pPr>
              <w:pStyle w:val="Tabletextprimarysource"/>
            </w:pPr>
            <w:r>
              <w:t>Summary of additional data:</w:t>
            </w:r>
          </w:p>
          <w:p w14:paraId="1A8AC84F" w14:textId="5D57C4EF" w:rsidR="00DA34D9" w:rsidRDefault="00D60107" w:rsidP="00F33725">
            <w:r>
              <w:t>Sb</w:t>
            </w:r>
            <w:r w:rsidRPr="00D60107">
              <w:rPr>
                <w:vertAlign w:val="subscript"/>
              </w:rPr>
              <w:t>2</w:t>
            </w:r>
            <w:r>
              <w:t>S</w:t>
            </w:r>
            <w:r w:rsidRPr="00D60107">
              <w:rPr>
                <w:vertAlign w:val="subscript"/>
              </w:rPr>
              <w:t>3</w:t>
            </w:r>
            <w:r>
              <w:t xml:space="preserve"> classified as a category 2 carcinogen due to tumorigenic effects in female rats</w:t>
            </w:r>
            <w:r w:rsidR="00AB20F4">
              <w:t xml:space="preserve"> (same study as ACGIH, 2001)</w:t>
            </w:r>
            <w:r>
              <w:t xml:space="preserve">. Mechanism of carcinogenicity not understood. </w:t>
            </w:r>
            <w:r w:rsidR="004971C5">
              <w:t>Sb</w:t>
            </w:r>
            <w:r>
              <w:t xml:space="preserve"> and its inorganic compounds are classified germ cell mutagens </w:t>
            </w:r>
            <w:r w:rsidR="00DA34D9">
              <w:t>based on</w:t>
            </w:r>
            <w:r>
              <w:t xml:space="preserve"> evidence from </w:t>
            </w:r>
            <w:r w:rsidRPr="00894802">
              <w:rPr>
                <w:i/>
              </w:rPr>
              <w:t>in vivo</w:t>
            </w:r>
            <w:r>
              <w:t xml:space="preserve"> studies. </w:t>
            </w:r>
          </w:p>
          <w:p w14:paraId="2A1AEF16" w14:textId="77777777" w:rsidR="00DA34D9" w:rsidRDefault="00D60107" w:rsidP="00F33725">
            <w:r>
              <w:t xml:space="preserve">Compounds in which </w:t>
            </w:r>
            <w:r w:rsidR="004971C5">
              <w:t>Sb</w:t>
            </w:r>
            <w:r>
              <w:t xml:space="preserve"> is not </w:t>
            </w:r>
            <w:r w:rsidR="00AB20F4">
              <w:t>freely bioavailable are excluded from the classification.</w:t>
            </w:r>
            <w:r w:rsidR="006F525F">
              <w:t xml:space="preserve"> </w:t>
            </w:r>
          </w:p>
          <w:p w14:paraId="1501A5B8" w14:textId="2BA312F4" w:rsidR="004971C5" w:rsidRDefault="00403FBE" w:rsidP="00F33725">
            <w:r>
              <w:t>Absorbed p</w:t>
            </w:r>
            <w:r w:rsidR="004971C5">
              <w:t>entavalent Sb</w:t>
            </w:r>
            <w:r w:rsidR="00331D64">
              <w:t xml:space="preserve"> </w:t>
            </w:r>
            <w:r>
              <w:t xml:space="preserve">is </w:t>
            </w:r>
            <w:r w:rsidR="00331D64">
              <w:t>primarily converted to trivalent</w:t>
            </w:r>
            <w:r>
              <w:t xml:space="preserve"> metabolites.</w:t>
            </w:r>
          </w:p>
          <w:p w14:paraId="7B3F4FBE" w14:textId="77777777" w:rsidR="00255074" w:rsidRDefault="00255074" w:rsidP="0098788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studies:</w:t>
            </w:r>
          </w:p>
          <w:p w14:paraId="46E32C4D" w14:textId="0B2AFBE4" w:rsidR="00255074" w:rsidRDefault="00811914" w:rsidP="004971C5">
            <w:pPr>
              <w:pStyle w:val="ListBullet"/>
              <w:spacing w:after="0"/>
              <w:ind w:left="720" w:hanging="357"/>
              <w:contextualSpacing w:val="0"/>
            </w:pPr>
            <w:r>
              <w:t xml:space="preserve">Increase of </w:t>
            </w:r>
            <w:r>
              <w:rPr>
                <w:rFonts w:cs="Arial"/>
              </w:rPr>
              <w:t>≈</w:t>
            </w:r>
            <w:r>
              <w:t xml:space="preserve">2-fold </w:t>
            </w:r>
            <w:r w:rsidR="00255074">
              <w:t xml:space="preserve">in lung cancer mortality observed among </w:t>
            </w:r>
            <w:r w:rsidR="004971C5">
              <w:t>smelter workers 45</w:t>
            </w:r>
            <w:r w:rsidR="00ED634C">
              <w:t>–</w:t>
            </w:r>
            <w:r w:rsidR="00255074">
              <w:t xml:space="preserve">64 </w:t>
            </w:r>
            <w:r w:rsidR="00DA34D9">
              <w:t xml:space="preserve">y.o. </w:t>
            </w:r>
            <w:r w:rsidR="00255074">
              <w:t>(no further information provided)</w:t>
            </w:r>
          </w:p>
          <w:p w14:paraId="14275E9E" w14:textId="680C576F" w:rsidR="00255074" w:rsidRDefault="00255074" w:rsidP="004971C5">
            <w:pPr>
              <w:pStyle w:val="ListBullet"/>
              <w:spacing w:after="0"/>
              <w:ind w:left="720" w:hanging="357"/>
              <w:contextualSpacing w:val="0"/>
            </w:pPr>
            <w:r>
              <w:t xml:space="preserve">No clear association between </w:t>
            </w:r>
            <w:r w:rsidR="00DA34D9">
              <w:t>incidences</w:t>
            </w:r>
            <w:r>
              <w:t xml:space="preserve"> of lung cancer in British cohort study of processing plant workers exposed to combination of </w:t>
            </w:r>
            <w:r w:rsidR="004971C5">
              <w:t>Sb</w:t>
            </w:r>
            <w:r>
              <w:t xml:space="preserve"> ore, metallic </w:t>
            </w:r>
            <w:r w:rsidR="00DA34D9">
              <w:t>Sb</w:t>
            </w:r>
            <w:r>
              <w:t xml:space="preserve">, </w:t>
            </w:r>
            <w:r w:rsidR="004971C5">
              <w:t>Sb</w:t>
            </w:r>
            <w:r w:rsidR="00DA34D9" w:rsidRPr="00941189">
              <w:rPr>
                <w:vertAlign w:val="subscript"/>
              </w:rPr>
              <w:t>2</w:t>
            </w:r>
            <w:r w:rsidR="00DA34D9">
              <w:t>O</w:t>
            </w:r>
            <w:r w:rsidR="00DA34D9" w:rsidRPr="00941189">
              <w:rPr>
                <w:vertAlign w:val="subscript"/>
              </w:rPr>
              <w:t>3</w:t>
            </w:r>
            <w:r>
              <w:t xml:space="preserve">, </w:t>
            </w:r>
            <w:r w:rsidR="00DA34D9">
              <w:t>As</w:t>
            </w:r>
            <w:r>
              <w:t xml:space="preserve">, </w:t>
            </w:r>
            <w:r w:rsidR="00DA34D9">
              <w:t>As</w:t>
            </w:r>
            <w:r w:rsidR="00DA34D9" w:rsidRPr="0044708C">
              <w:rPr>
                <w:vertAlign w:val="subscript"/>
              </w:rPr>
              <w:t>2</w:t>
            </w:r>
            <w:r w:rsidR="00DA34D9">
              <w:t>O</w:t>
            </w:r>
            <w:r w:rsidR="00DA34D9" w:rsidRPr="0044708C">
              <w:rPr>
                <w:vertAlign w:val="subscript"/>
              </w:rPr>
              <w:t>3</w:t>
            </w:r>
            <w:r>
              <w:t xml:space="preserve">, </w:t>
            </w:r>
            <w:r w:rsidR="00DA34D9">
              <w:t xml:space="preserve">Pb </w:t>
            </w:r>
            <w:r>
              <w:t xml:space="preserve">and </w:t>
            </w:r>
            <w:r w:rsidR="00DA34D9">
              <w:t>PAHs</w:t>
            </w:r>
            <w:r w:rsidR="00046485">
              <w:t xml:space="preserve"> (concentrations not specified)</w:t>
            </w:r>
            <w:r>
              <w:t>.</w:t>
            </w:r>
          </w:p>
          <w:p w14:paraId="4565824E" w14:textId="3C83325D" w:rsidR="00255074" w:rsidRDefault="008B3AE8" w:rsidP="004971C5">
            <w:pPr>
              <w:pStyle w:val="ListBullet"/>
              <w:numPr>
                <w:ilvl w:val="0"/>
                <w:numId w:val="14"/>
              </w:numPr>
              <w:spacing w:after="0"/>
              <w:ind w:hanging="357"/>
              <w:contextualSpacing w:val="0"/>
            </w:pPr>
            <w:r>
              <w:t>s</w:t>
            </w:r>
            <w:r w:rsidR="00255074">
              <w:t xml:space="preserve">ignificant increase </w:t>
            </w:r>
            <w:r w:rsidR="00ED16B9">
              <w:t xml:space="preserve">(32 compared to expected 14.7 cases) </w:t>
            </w:r>
            <w:r w:rsidR="00255074">
              <w:t>in the mortality rate due to lung cancer observed in workers who had started work prior to 1961</w:t>
            </w:r>
          </w:p>
          <w:p w14:paraId="6244B8EF" w14:textId="20DA84C3" w:rsidR="00B20468" w:rsidRDefault="008B3AE8" w:rsidP="004971C5">
            <w:pPr>
              <w:pStyle w:val="ListBullet"/>
              <w:numPr>
                <w:ilvl w:val="0"/>
                <w:numId w:val="14"/>
              </w:numPr>
              <w:spacing w:after="0"/>
              <w:ind w:hanging="357"/>
              <w:contextualSpacing w:val="0"/>
            </w:pPr>
            <w:r>
              <w:t>l</w:t>
            </w:r>
            <w:r w:rsidR="00255074">
              <w:t>ung cancer mortalities</w:t>
            </w:r>
            <w:r w:rsidR="000E54DD">
              <w:t xml:space="preserve"> occurred in</w:t>
            </w:r>
            <w:r w:rsidR="00255074">
              <w:t xml:space="preserve"> </w:t>
            </w:r>
            <w:r w:rsidR="000E54DD">
              <w:t xml:space="preserve">5 out of 9.2 expected cases </w:t>
            </w:r>
            <w:r w:rsidR="00B20468">
              <w:t>in workers who started after 1960</w:t>
            </w:r>
            <w:r w:rsidR="00255074">
              <w:t xml:space="preserve"> </w:t>
            </w:r>
          </w:p>
          <w:p w14:paraId="0177976C" w14:textId="508630E3" w:rsidR="00255074" w:rsidRDefault="008B3AE8" w:rsidP="004971C5">
            <w:pPr>
              <w:pStyle w:val="ListBullet"/>
              <w:numPr>
                <w:ilvl w:val="0"/>
                <w:numId w:val="14"/>
              </w:numPr>
              <w:spacing w:after="0"/>
              <w:ind w:hanging="357"/>
              <w:contextualSpacing w:val="0"/>
            </w:pPr>
            <w:r>
              <w:t>a</w:t>
            </w:r>
            <w:r w:rsidR="00255074">
              <w:t xml:space="preserve">fter </w:t>
            </w:r>
            <w:r w:rsidR="00B20468">
              <w:t>a period of &gt;</w:t>
            </w:r>
            <w:r w:rsidR="00255074">
              <w:t xml:space="preserve">20 </w:t>
            </w:r>
            <w:proofErr w:type="spellStart"/>
            <w:r w:rsidR="00BB2BB0">
              <w:t>yr</w:t>
            </w:r>
            <w:proofErr w:type="spellEnd"/>
            <w:r w:rsidR="00BB2BB0">
              <w:t xml:space="preserve"> </w:t>
            </w:r>
            <w:r w:rsidR="00255074">
              <w:t xml:space="preserve">since initial exposure, </w:t>
            </w:r>
            <w:r w:rsidR="00B20468">
              <w:t xml:space="preserve">27 lung cancer </w:t>
            </w:r>
            <w:r w:rsidR="009A4980">
              <w:t xml:space="preserve">cases </w:t>
            </w:r>
            <w:r w:rsidR="00B20468">
              <w:t xml:space="preserve">observed compared with </w:t>
            </w:r>
            <w:r w:rsidR="00255074">
              <w:t xml:space="preserve">12.6 </w:t>
            </w:r>
            <w:r w:rsidR="00B20468">
              <w:t xml:space="preserve">expected </w:t>
            </w:r>
            <w:r w:rsidR="00255074">
              <w:t>cases</w:t>
            </w:r>
          </w:p>
          <w:p w14:paraId="32063835" w14:textId="77777777" w:rsidR="009633EE" w:rsidRDefault="009633EE" w:rsidP="009633EE">
            <w:pPr>
              <w:pStyle w:val="ListBullet"/>
              <w:spacing w:after="0"/>
              <w:ind w:left="720" w:hanging="357"/>
              <w:contextualSpacing w:val="0"/>
            </w:pPr>
            <w:r>
              <w:t>Repeat insult patch test with 52 subjects (45 females and 7 males) found no skin reactions during the induction or the provocation phases (study flagged as viewed with reservations)</w:t>
            </w:r>
          </w:p>
          <w:p w14:paraId="33A71B4D" w14:textId="77777777" w:rsidR="009633EE" w:rsidRPr="00CA6CB0" w:rsidRDefault="009633EE" w:rsidP="009633EE">
            <w:pPr>
              <w:pStyle w:val="ListBullet"/>
              <w:numPr>
                <w:ilvl w:val="0"/>
                <w:numId w:val="20"/>
              </w:numPr>
            </w:pPr>
            <w:r>
              <w:t>i</w:t>
            </w:r>
            <w:r w:rsidRPr="00CA6CB0">
              <w:t xml:space="preserve">nduction </w:t>
            </w:r>
            <w:r>
              <w:t>treatment carried out using 24 h application</w:t>
            </w:r>
            <w:r w:rsidRPr="00CA6CB0">
              <w:t xml:space="preserve"> </w:t>
            </w:r>
            <w:r>
              <w:t xml:space="preserve">of </w:t>
            </w:r>
            <w:r w:rsidRPr="00CA6CB0">
              <w:t>antimony trioxide (85.3%)</w:t>
            </w:r>
            <w:r>
              <w:t xml:space="preserve"> </w:t>
            </w:r>
            <w:r w:rsidRPr="00CA6CB0">
              <w:t>every second day for 18 d</w:t>
            </w:r>
          </w:p>
          <w:p w14:paraId="2CCF2ED8" w14:textId="77777777" w:rsidR="009633EE" w:rsidRDefault="009633EE" w:rsidP="009633EE">
            <w:pPr>
              <w:pStyle w:val="ListBullet"/>
              <w:numPr>
                <w:ilvl w:val="0"/>
                <w:numId w:val="20"/>
              </w:numPr>
            </w:pPr>
            <w:proofErr w:type="gramStart"/>
            <w:r>
              <w:t>p</w:t>
            </w:r>
            <w:r w:rsidRPr="00CA6CB0">
              <w:t>rovocation</w:t>
            </w:r>
            <w:proofErr w:type="gramEnd"/>
            <w:r w:rsidRPr="00CA6CB0">
              <w:t xml:space="preserve"> carried out 2 wk after induction and lasted 24 h</w:t>
            </w:r>
            <w:r>
              <w:t xml:space="preserve">. </w:t>
            </w:r>
          </w:p>
          <w:p w14:paraId="77486C8C" w14:textId="5D6A5BFE" w:rsidR="00046485" w:rsidRDefault="00B20468" w:rsidP="004971C5">
            <w:pPr>
              <w:pStyle w:val="ListBullet"/>
              <w:spacing w:after="0"/>
              <w:ind w:left="720" w:hanging="357"/>
              <w:contextualSpacing w:val="0"/>
            </w:pPr>
            <w:r>
              <w:t>A worker exp</w:t>
            </w:r>
            <w:r w:rsidR="009A4980">
              <w:t xml:space="preserve">osed to </w:t>
            </w:r>
            <w:r w:rsidR="00D817CF">
              <w:t xml:space="preserve">99.86% purity </w:t>
            </w:r>
            <w:r w:rsidR="004971C5">
              <w:t xml:space="preserve">metallic Sb </w:t>
            </w:r>
            <w:r w:rsidR="00280842">
              <w:t xml:space="preserve">developed reversible dermatosis </w:t>
            </w:r>
            <w:r w:rsidR="004971C5">
              <w:t>(</w:t>
            </w:r>
            <w:r w:rsidR="007744E9">
              <w:t>exposure</w:t>
            </w:r>
            <w:r w:rsidR="00706CF7">
              <w:t>:</w:t>
            </w:r>
            <w:r w:rsidR="007744E9">
              <w:t xml:space="preserve"> </w:t>
            </w:r>
            <w:r w:rsidR="004971C5">
              <w:t xml:space="preserve">8 </w:t>
            </w:r>
            <w:r w:rsidR="009A4980">
              <w:t>h</w:t>
            </w:r>
            <w:r>
              <w:t>r average</w:t>
            </w:r>
            <w:r w:rsidR="00DE6AA3">
              <w:t>,</w:t>
            </w:r>
            <w:r>
              <w:t xml:space="preserve"> 0.39 mg/m</w:t>
            </w:r>
            <w:r w:rsidRPr="00046485">
              <w:rPr>
                <w:vertAlign w:val="superscript"/>
              </w:rPr>
              <w:t>3</w:t>
            </w:r>
            <w:r w:rsidR="00DE6AA3">
              <w:t xml:space="preserve">; </w:t>
            </w:r>
            <w:r w:rsidR="004971C5">
              <w:t xml:space="preserve">250 </w:t>
            </w:r>
            <w:r w:rsidR="009A4980">
              <w:t>min</w:t>
            </w:r>
            <w:r w:rsidR="00046485">
              <w:t xml:space="preserve"> </w:t>
            </w:r>
            <w:r>
              <w:t>average</w:t>
            </w:r>
            <w:r w:rsidR="00DE6AA3">
              <w:t>,</w:t>
            </w:r>
            <w:r>
              <w:t xml:space="preserve"> 0.67 mg/m</w:t>
            </w:r>
            <w:r w:rsidRPr="00046485">
              <w:rPr>
                <w:vertAlign w:val="superscript"/>
              </w:rPr>
              <w:t>3</w:t>
            </w:r>
            <w:r w:rsidR="00280842">
              <w:t xml:space="preserve"> in the afternoon</w:t>
            </w:r>
            <w:r>
              <w:t>)</w:t>
            </w:r>
            <w:r w:rsidR="004971C5">
              <w:t>.</w:t>
            </w:r>
            <w:r>
              <w:t xml:space="preserve"> </w:t>
            </w:r>
          </w:p>
          <w:p w14:paraId="353C72D2" w14:textId="77777777" w:rsidR="00AB20F4" w:rsidRDefault="00AB20F4" w:rsidP="00046485">
            <w:r>
              <w:t>Animal studies:</w:t>
            </w:r>
          </w:p>
          <w:p w14:paraId="6B0DA486" w14:textId="54581177" w:rsidR="0083441C" w:rsidRPr="00894802" w:rsidRDefault="0083441C" w:rsidP="004971C5">
            <w:pPr>
              <w:pStyle w:val="ListParagraph"/>
              <w:numPr>
                <w:ilvl w:val="0"/>
                <w:numId w:val="3"/>
              </w:numPr>
              <w:spacing w:after="0"/>
              <w:ind w:hanging="357"/>
              <w:contextualSpacing w:val="0"/>
            </w:pPr>
            <w:r w:rsidRPr="00894802">
              <w:t>LD</w:t>
            </w:r>
            <w:r w:rsidRPr="00894802">
              <w:rPr>
                <w:vertAlign w:val="subscript"/>
              </w:rPr>
              <w:t>50</w:t>
            </w:r>
            <w:r w:rsidR="00C32137" w:rsidRPr="00894802">
              <w:rPr>
                <w:vertAlign w:val="subscript"/>
              </w:rPr>
              <w:t xml:space="preserve"> </w:t>
            </w:r>
            <w:r w:rsidR="00C32137" w:rsidRPr="00894802">
              <w:t>&gt;2000 mg/kg (</w:t>
            </w:r>
            <w:r w:rsidR="00987889" w:rsidRPr="00894802">
              <w:t>rats</w:t>
            </w:r>
            <w:r w:rsidR="00987889">
              <w:t>,</w:t>
            </w:r>
            <w:r w:rsidR="00987889" w:rsidRPr="00894802">
              <w:t xml:space="preserve"> </w:t>
            </w:r>
            <w:r w:rsidR="00987889">
              <w:t>dermal,</w:t>
            </w:r>
            <w:r w:rsidR="004960A4" w:rsidRPr="00894802">
              <w:t xml:space="preserve"> Sb</w:t>
            </w:r>
            <w:r w:rsidR="004960A4" w:rsidRPr="00894802">
              <w:rPr>
                <w:vertAlign w:val="subscript"/>
              </w:rPr>
              <w:t>2</w:t>
            </w:r>
            <w:r w:rsidR="004960A4" w:rsidRPr="00894802">
              <w:t>O</w:t>
            </w:r>
            <w:r w:rsidR="004960A4" w:rsidRPr="00894802">
              <w:rPr>
                <w:vertAlign w:val="subscript"/>
              </w:rPr>
              <w:t xml:space="preserve">3 </w:t>
            </w:r>
            <w:r w:rsidR="004960A4" w:rsidRPr="00894802">
              <w:t>and Sb</w:t>
            </w:r>
            <w:r w:rsidR="004960A4" w:rsidRPr="00894802">
              <w:rPr>
                <w:vertAlign w:val="subscript"/>
              </w:rPr>
              <w:t>2</w:t>
            </w:r>
            <w:r w:rsidR="004960A4" w:rsidRPr="00894802">
              <w:t>S</w:t>
            </w:r>
            <w:r w:rsidR="004960A4" w:rsidRPr="00894802">
              <w:rPr>
                <w:vertAlign w:val="subscript"/>
              </w:rPr>
              <w:t>3</w:t>
            </w:r>
            <w:r w:rsidR="00C32137" w:rsidRPr="00894802">
              <w:t>)</w:t>
            </w:r>
          </w:p>
          <w:p w14:paraId="056D9867" w14:textId="51A2D52D" w:rsidR="004960A4" w:rsidRDefault="004960A4" w:rsidP="004971C5">
            <w:pPr>
              <w:pStyle w:val="ListParagraph"/>
              <w:numPr>
                <w:ilvl w:val="0"/>
                <w:numId w:val="3"/>
              </w:numPr>
              <w:spacing w:after="0"/>
              <w:ind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: </w:t>
            </w:r>
            <w:r w:rsidR="00722BFA">
              <w:t>&lt;</w:t>
            </w:r>
            <w:r w:rsidR="001A2636">
              <w:t>314 mg/kg (</w:t>
            </w:r>
            <w:r w:rsidR="00987889">
              <w:t>guinea pigs, dermal,</w:t>
            </w:r>
            <w:r w:rsidR="001A2636">
              <w:t xml:space="preserve"> </w:t>
            </w:r>
            <w:r w:rsidR="00036F1D">
              <w:t>SbCl</w:t>
            </w:r>
            <w:r w:rsidR="00036F1D">
              <w:rPr>
                <w:vertAlign w:val="subscript"/>
              </w:rPr>
              <w:t>3</w:t>
            </w:r>
            <w:r w:rsidR="00036F1D">
              <w:t>)</w:t>
            </w:r>
          </w:p>
          <w:p w14:paraId="587C544D" w14:textId="77777777" w:rsidR="00036F1D" w:rsidRDefault="004971C5" w:rsidP="00941189">
            <w:pPr>
              <w:pStyle w:val="ListParagraph"/>
              <w:numPr>
                <w:ilvl w:val="0"/>
                <w:numId w:val="15"/>
              </w:numPr>
              <w:spacing w:after="0"/>
            </w:pPr>
            <w:r w:rsidRPr="00941189">
              <w:rPr>
                <w:rFonts w:cs="Arial"/>
                <w:color w:val="1C1D1E"/>
                <w:shd w:val="clear" w:color="auto" w:fill="FFFFFF"/>
              </w:rPr>
              <w:t>m</w:t>
            </w:r>
            <w:r w:rsidR="00036F1D" w:rsidRPr="00941189">
              <w:rPr>
                <w:rFonts w:cs="Arial"/>
                <w:color w:val="1C1D1E"/>
                <w:shd w:val="clear" w:color="auto" w:fill="FFFFFF"/>
              </w:rPr>
              <w:t>ost available dermal toxicity studies are poorly documented</w:t>
            </w:r>
          </w:p>
          <w:p w14:paraId="34BAE03F" w14:textId="77777777" w:rsidR="00D60107" w:rsidRDefault="00087A68" w:rsidP="004971C5">
            <w:pPr>
              <w:pStyle w:val="ListParagraph"/>
              <w:numPr>
                <w:ilvl w:val="0"/>
                <w:numId w:val="3"/>
              </w:numPr>
              <w:spacing w:after="0"/>
              <w:ind w:hanging="357"/>
              <w:contextualSpacing w:val="0"/>
            </w:pPr>
            <w:r>
              <w:t xml:space="preserve">Irreversible and progressive decrease in myocardial contraction strength </w:t>
            </w:r>
            <w:r w:rsidR="00796A72">
              <w:t>i</w:t>
            </w:r>
            <w:r w:rsidR="00AB20F4">
              <w:t>n dogs and isolated canine hearts</w:t>
            </w:r>
            <w:r w:rsidR="004D2367">
              <w:t xml:space="preserve"> at</w:t>
            </w:r>
            <w:r w:rsidR="00AB20F4">
              <w:t xml:space="preserve"> </w:t>
            </w:r>
            <w:r w:rsidR="004971C5">
              <w:t>10–</w:t>
            </w:r>
            <w:r w:rsidR="004D2367">
              <w:t>15 mg/kg (</w:t>
            </w:r>
            <w:r w:rsidR="00AB20F4">
              <w:t>single administration</w:t>
            </w:r>
            <w:r w:rsidR="004D2367">
              <w:t xml:space="preserve">, </w:t>
            </w:r>
            <w:r w:rsidR="004971C5">
              <w:t>Sb</w:t>
            </w:r>
            <w:r w:rsidR="00AB20F4">
              <w:t xml:space="preserve"> sodium tartrate)</w:t>
            </w:r>
          </w:p>
          <w:p w14:paraId="0039954D" w14:textId="77777777" w:rsidR="00E83AA6" w:rsidRDefault="00E83AA6" w:rsidP="004971C5">
            <w:pPr>
              <w:pStyle w:val="ListParagraph"/>
              <w:numPr>
                <w:ilvl w:val="0"/>
                <w:numId w:val="3"/>
              </w:numPr>
              <w:spacing w:after="0"/>
              <w:ind w:hanging="357"/>
              <w:contextualSpacing w:val="0"/>
            </w:pPr>
            <w:r>
              <w:t xml:space="preserve">Pentavalent </w:t>
            </w:r>
            <w:r w:rsidR="004971C5">
              <w:t>Sb</w:t>
            </w:r>
            <w:r>
              <w:t xml:space="preserve"> compounds are not mutagenic </w:t>
            </w:r>
            <w:r w:rsidRPr="003E3A9F">
              <w:rPr>
                <w:i/>
              </w:rPr>
              <w:t>in vitro</w:t>
            </w:r>
            <w:r w:rsidR="00206F7F">
              <w:t>; trivalent</w:t>
            </w:r>
            <w:r w:rsidR="00D93021">
              <w:t xml:space="preserve"> (physiologically relevant)</w:t>
            </w:r>
            <w:r w:rsidR="00206F7F">
              <w:t xml:space="preserve"> compounds are</w:t>
            </w:r>
            <w:r w:rsidR="003E3A9F">
              <w:t>.</w:t>
            </w:r>
          </w:p>
          <w:p w14:paraId="3C21583B" w14:textId="77777777" w:rsidR="004971C5" w:rsidRPr="00DA352E" w:rsidRDefault="004971C5" w:rsidP="004971C5">
            <w:pPr>
              <w:spacing w:after="0"/>
            </w:pPr>
          </w:p>
        </w:tc>
      </w:tr>
      <w:tr w:rsidR="00C978F0" w:rsidRPr="00DA352E" w14:paraId="41D0D230" w14:textId="77777777" w:rsidTr="005A1A39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24BB55A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4676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4676A">
                  <w:t>NA</w:t>
                </w:r>
                <w:proofErr w:type="spellEnd"/>
              </w:sdtContent>
            </w:sdt>
          </w:p>
        </w:tc>
      </w:tr>
      <w:tr w:rsidR="00C978F0" w:rsidRPr="00DA352E" w14:paraId="6EDB4F2A" w14:textId="77777777" w:rsidTr="005A1A39">
        <w:trPr>
          <w:cantSplit/>
        </w:trPr>
        <w:tc>
          <w:tcPr>
            <w:tcW w:w="5000" w:type="pct"/>
          </w:tcPr>
          <w:p w14:paraId="031C46F8" w14:textId="750E9D56" w:rsidR="00C978F0" w:rsidRPr="00DA352E" w:rsidRDefault="00036F1D" w:rsidP="003365A5">
            <w:pPr>
              <w:pStyle w:val="Tabletextprimarysource"/>
            </w:pPr>
            <w:r>
              <w:t>No report</w:t>
            </w:r>
            <w:r w:rsidR="00DC1FB8">
              <w:t>.</w:t>
            </w:r>
          </w:p>
        </w:tc>
      </w:tr>
      <w:tr w:rsidR="00DA352E" w:rsidRPr="00DA352E" w14:paraId="2FEF9E56" w14:textId="77777777" w:rsidTr="005A1A39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6E78EB8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63B8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63B8E">
                  <w:t>NA</w:t>
                </w:r>
                <w:proofErr w:type="spellEnd"/>
              </w:sdtContent>
            </w:sdt>
          </w:p>
        </w:tc>
      </w:tr>
      <w:tr w:rsidR="00DA352E" w:rsidRPr="00DA352E" w14:paraId="32E766CD" w14:textId="77777777" w:rsidTr="005A1A39">
        <w:trPr>
          <w:cantSplit/>
        </w:trPr>
        <w:tc>
          <w:tcPr>
            <w:tcW w:w="5000" w:type="pct"/>
          </w:tcPr>
          <w:p w14:paraId="169A276E" w14:textId="52C02127" w:rsidR="00DA352E" w:rsidRPr="00DA352E" w:rsidRDefault="00463B8E" w:rsidP="003365A5">
            <w:pPr>
              <w:pStyle w:val="Tabletextprimarysource"/>
            </w:pPr>
            <w:r>
              <w:t>No report</w:t>
            </w:r>
            <w:r w:rsidR="00DC1FB8">
              <w:t>.</w:t>
            </w:r>
          </w:p>
        </w:tc>
      </w:tr>
      <w:tr w:rsidR="00DA352E" w:rsidRPr="00DA352E" w14:paraId="58317EC5" w14:textId="77777777" w:rsidTr="005A1A39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725F970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63B8E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63B8E">
                  <w:t>—</w:t>
                </w:r>
              </w:sdtContent>
            </w:sdt>
          </w:p>
        </w:tc>
      </w:tr>
      <w:tr w:rsidR="00DA352E" w:rsidRPr="00DA352E" w14:paraId="2DADF6DB" w14:textId="77777777" w:rsidTr="005A1A39">
        <w:trPr>
          <w:cantSplit/>
        </w:trPr>
        <w:tc>
          <w:tcPr>
            <w:tcW w:w="5000" w:type="pct"/>
          </w:tcPr>
          <w:p w14:paraId="7DD93164" w14:textId="77777777" w:rsidR="001F7648" w:rsidRDefault="001F7648" w:rsidP="00B40947">
            <w:pPr>
              <w:pStyle w:val="Tabletextprimarysource"/>
            </w:pPr>
            <w:r>
              <w:t>Summary of additional data:</w:t>
            </w:r>
          </w:p>
          <w:p w14:paraId="528AE22F" w14:textId="6C5A017B" w:rsidR="004971C5" w:rsidRDefault="00863757" w:rsidP="00B40947">
            <w:pPr>
              <w:pStyle w:val="Tabletextprimarysource"/>
            </w:pPr>
            <w:r>
              <w:t>Carcinogenicity classification prioritised for review pending evalu</w:t>
            </w:r>
            <w:r w:rsidR="003E3A9F">
              <w:t>ation of NTP inhalational study.</w:t>
            </w:r>
            <w:r w:rsidR="001F7648">
              <w:t xml:space="preserve"> Animal data on </w:t>
            </w:r>
            <w:r w:rsidR="004971C5">
              <w:t>Sb</w:t>
            </w:r>
            <w:r w:rsidR="001F7648">
              <w:t xml:space="preserve"> and other </w:t>
            </w:r>
            <w:r w:rsidR="004971C5">
              <w:t>Sb</w:t>
            </w:r>
            <w:r w:rsidR="001F7648">
              <w:t xml:space="preserve"> compounds insufficient to evaluate carcinogenic potential.</w:t>
            </w:r>
          </w:p>
          <w:p w14:paraId="351416D1" w14:textId="77777777" w:rsidR="001F7648" w:rsidRDefault="001F7648" w:rsidP="00B40947">
            <w:pPr>
              <w:pStyle w:val="Tabletextprimarysource"/>
            </w:pPr>
            <w:r>
              <w:t>Human data:</w:t>
            </w:r>
          </w:p>
          <w:p w14:paraId="5EBC1F6C" w14:textId="77777777" w:rsidR="00863757" w:rsidRDefault="005C7688" w:rsidP="004971C5">
            <w:pPr>
              <w:pStyle w:val="Tabletextprimarysource"/>
              <w:numPr>
                <w:ilvl w:val="0"/>
                <w:numId w:val="3"/>
              </w:numPr>
            </w:pPr>
            <w:r>
              <w:t>C</w:t>
            </w:r>
            <w:r w:rsidR="001E4C36">
              <w:t xml:space="preserve">orrelation between incidences of colon cancer and high co-exposure to both </w:t>
            </w:r>
            <w:r w:rsidR="004971C5">
              <w:t xml:space="preserve">Pb </w:t>
            </w:r>
            <w:r w:rsidR="001E4C36">
              <w:t xml:space="preserve">and </w:t>
            </w:r>
            <w:r w:rsidR="004971C5">
              <w:t>Sb</w:t>
            </w:r>
            <w:r w:rsidR="001E4C36">
              <w:t xml:space="preserve"> (concentrations not specified) </w:t>
            </w:r>
            <w:r w:rsidR="00714C68">
              <w:t>in s</w:t>
            </w:r>
            <w:r w:rsidR="00863757">
              <w:t xml:space="preserve">tudy of occupational cancer incidences in </w:t>
            </w:r>
            <w:r w:rsidR="00714C68">
              <w:t>art-glass industry workers (n=</w:t>
            </w:r>
            <w:r w:rsidR="00863757">
              <w:t>888 male</w:t>
            </w:r>
            <w:r w:rsidR="00714C68">
              <w:t>s)</w:t>
            </w:r>
            <w:r w:rsidR="003E3A9F">
              <w:t>.</w:t>
            </w:r>
          </w:p>
          <w:p w14:paraId="720E67B8" w14:textId="77777777" w:rsidR="004971C5" w:rsidRPr="00DA352E" w:rsidRDefault="004971C5" w:rsidP="004971C5">
            <w:pPr>
              <w:pStyle w:val="Tabletextprimarysource"/>
            </w:pPr>
          </w:p>
        </w:tc>
      </w:tr>
    </w:tbl>
    <w:p w14:paraId="05E3F086" w14:textId="77777777" w:rsidR="00A20751" w:rsidRPr="004C23F4" w:rsidRDefault="00A20751" w:rsidP="003365A5">
      <w:pPr>
        <w:pStyle w:val="Heading3"/>
      </w:pPr>
      <w:bookmarkStart w:id="3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3"/>
        <w:gridCol w:w="421"/>
        <w:gridCol w:w="717"/>
        <w:gridCol w:w="6405"/>
      </w:tblGrid>
      <w:tr w:rsidR="00226FA7" w:rsidRPr="00263255" w14:paraId="2D14CB7F" w14:textId="77777777" w:rsidTr="000B401E">
        <w:trPr>
          <w:cantSplit/>
          <w:trHeight w:val="393"/>
          <w:tblHeader/>
        </w:trPr>
        <w:tc>
          <w:tcPr>
            <w:tcW w:w="1483" w:type="dxa"/>
            <w:shd w:val="clear" w:color="auto" w:fill="BFBFBF" w:themeFill="background1" w:themeFillShade="BF"/>
            <w:vAlign w:val="center"/>
          </w:tcPr>
          <w:p w14:paraId="148F0AA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4E98E84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5B13174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05" w:type="dxa"/>
            <w:shd w:val="clear" w:color="auto" w:fill="BFBFBF" w:themeFill="background1" w:themeFillShade="BF"/>
            <w:vAlign w:val="center"/>
          </w:tcPr>
          <w:p w14:paraId="0670B67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226FA7" w:rsidRPr="004C23F4" w14:paraId="4ECA12FD" w14:textId="77777777" w:rsidTr="000B401E">
        <w:trPr>
          <w:cantSplit/>
        </w:trPr>
        <w:tc>
          <w:tcPr>
            <w:tcW w:w="1483" w:type="dxa"/>
          </w:tcPr>
          <w:p w14:paraId="11CF9FE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65372A4D" w14:textId="77777777" w:rsidR="004966BF" w:rsidRPr="00CE617F" w:rsidRDefault="00CF50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3EA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105EB8B2" w14:textId="77777777" w:rsidR="004966BF" w:rsidRPr="004C23F4" w:rsidRDefault="001F032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2000, 2015, 2016</w:t>
            </w:r>
          </w:p>
        </w:tc>
        <w:tc>
          <w:tcPr>
            <w:tcW w:w="6405" w:type="dxa"/>
          </w:tcPr>
          <w:p w14:paraId="1CE04DA6" w14:textId="77777777" w:rsidR="001F032B" w:rsidRPr="001F032B" w:rsidRDefault="001F032B" w:rsidP="001F032B">
            <w:pPr>
              <w:pStyle w:val="Tablefont"/>
            </w:pPr>
            <w:r w:rsidRPr="001F032B">
              <w:t>Antimony triacetate (2000):</w:t>
            </w:r>
          </w:p>
          <w:p w14:paraId="640F89A2" w14:textId="77777777" w:rsidR="004966BF" w:rsidRPr="001F032B" w:rsidRDefault="003E3A9F" w:rsidP="00226FA7">
            <w:pPr>
              <w:pStyle w:val="Tablefont"/>
              <w:numPr>
                <w:ilvl w:val="0"/>
                <w:numId w:val="3"/>
              </w:numPr>
            </w:pPr>
            <w:r>
              <w:t>OEL</w:t>
            </w:r>
            <w:r w:rsidR="00573EA0" w:rsidRPr="001F032B">
              <w:t xml:space="preserve"> for antimony trioxide (handling and use: 0.5 mg/m</w:t>
            </w:r>
            <w:r w:rsidR="00573EA0" w:rsidRPr="00226FA7">
              <w:rPr>
                <w:vertAlign w:val="superscript"/>
              </w:rPr>
              <w:t>3</w:t>
            </w:r>
            <w:r w:rsidR="00573EA0" w:rsidRPr="001F032B">
              <w:t xml:space="preserve"> TWA) should be employed in workplaces using antimony triacetate</w:t>
            </w:r>
          </w:p>
          <w:p w14:paraId="431FEBC3" w14:textId="77777777" w:rsidR="001F032B" w:rsidRPr="001F032B" w:rsidRDefault="001F032B" w:rsidP="001F032B">
            <w:pPr>
              <w:pStyle w:val="Tablefont"/>
              <w:rPr>
                <w:rStyle w:val="checkbox"/>
                <w:rFonts w:ascii="Arial" w:hAnsi="Arial"/>
              </w:rPr>
            </w:pPr>
            <w:r w:rsidRPr="001F032B">
              <w:rPr>
                <w:rStyle w:val="checkbox"/>
                <w:rFonts w:ascii="Arial" w:hAnsi="Arial"/>
              </w:rPr>
              <w:t>Antimony trisulfide (</w:t>
            </w:r>
            <w:r>
              <w:rPr>
                <w:rStyle w:val="checkbox"/>
                <w:rFonts w:ascii="Arial" w:hAnsi="Arial"/>
              </w:rPr>
              <w:t>2016)</w:t>
            </w:r>
            <w:r w:rsidRPr="001F032B">
              <w:rPr>
                <w:rStyle w:val="checkbox"/>
                <w:rFonts w:ascii="Arial" w:hAnsi="Arial"/>
              </w:rPr>
              <w:t>:</w:t>
            </w:r>
          </w:p>
          <w:p w14:paraId="3AA45E7F" w14:textId="50CF4A01" w:rsidR="001F032B" w:rsidRPr="001F032B" w:rsidRDefault="001F032B" w:rsidP="00226FA7">
            <w:pPr>
              <w:pStyle w:val="Tablefont"/>
              <w:numPr>
                <w:ilvl w:val="0"/>
                <w:numId w:val="5"/>
              </w:numPr>
              <w:rPr>
                <w:rStyle w:val="checkbox"/>
                <w:rFonts w:ascii="Arial" w:hAnsi="Arial"/>
              </w:rPr>
            </w:pPr>
            <w:r w:rsidRPr="001F032B">
              <w:t>LC</w:t>
            </w:r>
            <w:r w:rsidRPr="00226FA7">
              <w:rPr>
                <w:vertAlign w:val="subscript"/>
              </w:rPr>
              <w:t>50</w:t>
            </w:r>
            <w:r w:rsidR="003E3A9F">
              <w:t xml:space="preserve">: </w:t>
            </w:r>
            <w:r w:rsidRPr="001F032B">
              <w:t>&gt;5</w:t>
            </w:r>
            <w:r w:rsidR="005E0BF8">
              <w:t>,</w:t>
            </w:r>
            <w:r w:rsidRPr="001F032B">
              <w:t>04</w:t>
            </w:r>
            <w:r w:rsidR="005E0BF8">
              <w:t>0</w:t>
            </w:r>
            <w:r w:rsidRPr="001F032B">
              <w:t xml:space="preserve"> mg/</w:t>
            </w:r>
            <w:r w:rsidR="005E0BF8">
              <w:t>m</w:t>
            </w:r>
            <w:r w:rsidR="005E0BF8">
              <w:rPr>
                <w:vertAlign w:val="superscript"/>
              </w:rPr>
              <w:t>3</w:t>
            </w:r>
            <w:r w:rsidRPr="001F032B">
              <w:t xml:space="preserve"> </w:t>
            </w:r>
            <w:r w:rsidR="00226FA7">
              <w:t>(rats, 4 h).</w:t>
            </w:r>
            <w:r w:rsidRPr="001F032B">
              <w:t xml:space="preserve"> Black foci in the lungs of rats </w:t>
            </w:r>
            <w:r w:rsidR="00E800BE">
              <w:t>were</w:t>
            </w:r>
            <w:r w:rsidRPr="001F032B">
              <w:t xml:space="preserve"> observed; however, no deaths or other treatment-related symptoms of toxicity over 15 </w:t>
            </w:r>
            <w:r w:rsidR="00E800BE">
              <w:t>d</w:t>
            </w:r>
            <w:r w:rsidR="00226FA7">
              <w:t xml:space="preserve"> post-treatment</w:t>
            </w:r>
            <w:r w:rsidR="004971C5">
              <w:t>.</w:t>
            </w:r>
          </w:p>
        </w:tc>
      </w:tr>
      <w:tr w:rsidR="00226FA7" w:rsidRPr="004C23F4" w14:paraId="24E571B4" w14:textId="77777777" w:rsidTr="000B401E">
        <w:trPr>
          <w:cantSplit/>
        </w:trPr>
        <w:tc>
          <w:tcPr>
            <w:tcW w:w="1483" w:type="dxa"/>
          </w:tcPr>
          <w:p w14:paraId="3947607B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1" w:type="dxa"/>
          </w:tcPr>
          <w:p w14:paraId="024D3018" w14:textId="77777777" w:rsidR="004966BF" w:rsidRPr="00CE617F" w:rsidRDefault="00CF50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3EA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663AC14A" w14:textId="77777777" w:rsidR="004966BF" w:rsidRPr="00D5454A" w:rsidRDefault="00D545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D5454A"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05" w:type="dxa"/>
          </w:tcPr>
          <w:p w14:paraId="7716130B" w14:textId="77777777" w:rsidR="00573EA0" w:rsidRPr="00573EA0" w:rsidRDefault="00573EA0" w:rsidP="0089480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 xml:space="preserve">Limited evidence for </w:t>
            </w:r>
            <w:r w:rsidR="003E3A9F">
              <w:t>carcinogenicity of Sb</w:t>
            </w:r>
            <w:r>
              <w:rPr>
                <w:vertAlign w:val="subscript"/>
              </w:rPr>
              <w:t>2</w:t>
            </w:r>
            <w:r>
              <w:t>S</w:t>
            </w:r>
            <w:r>
              <w:rPr>
                <w:vertAlign w:val="subscript"/>
              </w:rPr>
              <w:t>3</w:t>
            </w:r>
            <w:r>
              <w:t xml:space="preserve"> in experimental animals</w:t>
            </w:r>
            <w:r w:rsidR="004971C5">
              <w:t>.</w:t>
            </w:r>
          </w:p>
        </w:tc>
      </w:tr>
      <w:tr w:rsidR="00226FA7" w:rsidRPr="004C23F4" w14:paraId="3AA1368E" w14:textId="77777777" w:rsidTr="000B401E">
        <w:trPr>
          <w:cantSplit/>
        </w:trPr>
        <w:tc>
          <w:tcPr>
            <w:tcW w:w="1483" w:type="dxa"/>
          </w:tcPr>
          <w:p w14:paraId="1147BEAA" w14:textId="77777777" w:rsidR="004966BF" w:rsidRPr="00894802" w:rsidRDefault="004966BF" w:rsidP="00224EE2">
            <w:pPr>
              <w:pStyle w:val="Tablefont"/>
            </w:pPr>
            <w:r w:rsidRPr="00894802">
              <w:t>NTP</w:t>
            </w:r>
          </w:p>
        </w:tc>
        <w:tc>
          <w:tcPr>
            <w:tcW w:w="421" w:type="dxa"/>
          </w:tcPr>
          <w:p w14:paraId="086A430C" w14:textId="77777777" w:rsidR="004966BF" w:rsidRPr="00894802" w:rsidRDefault="00CF50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525DB" w:rsidRPr="0089480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6F9ADB2E" w14:textId="77777777" w:rsidR="004966BF" w:rsidRPr="00894802" w:rsidRDefault="00D545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894802"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05" w:type="dxa"/>
          </w:tcPr>
          <w:p w14:paraId="22D759EA" w14:textId="77777777" w:rsidR="004966BF" w:rsidRPr="00894802" w:rsidRDefault="00D525DB" w:rsidP="004971C5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894802">
              <w:t xml:space="preserve">Available human studies </w:t>
            </w:r>
            <w:r w:rsidR="001234D2" w:rsidRPr="00894802">
              <w:t xml:space="preserve">frequently </w:t>
            </w:r>
            <w:r w:rsidRPr="00894802">
              <w:t>do not provide information on the</w:t>
            </w:r>
            <w:r w:rsidR="004971C5">
              <w:t xml:space="preserve"> Sb</w:t>
            </w:r>
            <w:r w:rsidRPr="00894802">
              <w:t xml:space="preserve"> species to which </w:t>
            </w:r>
            <w:r w:rsidR="00A4667B" w:rsidRPr="00894802">
              <w:t>subjects</w:t>
            </w:r>
            <w:r w:rsidRPr="00894802">
              <w:t xml:space="preserve"> were exposed</w:t>
            </w:r>
            <w:r w:rsidR="004971C5">
              <w:t>.</w:t>
            </w:r>
          </w:p>
        </w:tc>
      </w:tr>
      <w:tr w:rsidR="00226FA7" w:rsidRPr="004C23F4" w14:paraId="63228148" w14:textId="77777777" w:rsidTr="000B401E">
        <w:trPr>
          <w:cantSplit/>
        </w:trPr>
        <w:tc>
          <w:tcPr>
            <w:tcW w:w="1483" w:type="dxa"/>
          </w:tcPr>
          <w:p w14:paraId="55B6C98A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605E98CF" w14:textId="77777777" w:rsidR="004966BF" w:rsidRPr="00CE617F" w:rsidRDefault="00CF50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D7F7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281929B2" w14:textId="77777777" w:rsidR="004966BF" w:rsidRPr="004C23F4" w:rsidRDefault="0017060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05" w:type="dxa"/>
          </w:tcPr>
          <w:p w14:paraId="68616C1A" w14:textId="77777777" w:rsidR="003E3A9F" w:rsidRDefault="00A4667B" w:rsidP="0089480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="00AD7F71" w:rsidRPr="00AD7F71">
              <w:rPr>
                <w:rStyle w:val="checkbox"/>
                <w:rFonts w:ascii="Arial" w:hAnsi="Arial" w:cs="Arial"/>
              </w:rPr>
              <w:t>cute ill</w:t>
            </w:r>
            <w:r>
              <w:rPr>
                <w:rStyle w:val="checkbox"/>
                <w:rFonts w:ascii="Arial" w:hAnsi="Arial" w:cs="Arial"/>
              </w:rPr>
              <w:t xml:space="preserve">ness </w:t>
            </w:r>
            <w:r w:rsidR="00B961D6">
              <w:rPr>
                <w:rStyle w:val="checkbox"/>
                <w:rFonts w:ascii="Arial" w:hAnsi="Arial" w:cs="Arial"/>
              </w:rPr>
              <w:t xml:space="preserve">at estimated dose of 0.5 mg/kg </w:t>
            </w:r>
            <w:r>
              <w:rPr>
                <w:rStyle w:val="checkbox"/>
                <w:rFonts w:ascii="Arial" w:hAnsi="Arial" w:cs="Arial"/>
              </w:rPr>
              <w:t>in 70 people</w:t>
            </w:r>
            <w:r w:rsidR="00AD7F71" w:rsidRPr="00AD7F71">
              <w:rPr>
                <w:rStyle w:val="checkbox"/>
                <w:rFonts w:ascii="Arial" w:hAnsi="Arial" w:cs="Arial"/>
              </w:rPr>
              <w:t xml:space="preserve"> after drinking lemonade containing 0.013% antimony</w:t>
            </w:r>
            <w:r w:rsidR="00AD7F71">
              <w:rPr>
                <w:rStyle w:val="checkbox"/>
                <w:rFonts w:ascii="Arial" w:hAnsi="Arial" w:cs="Arial"/>
              </w:rPr>
              <w:t xml:space="preserve">. </w:t>
            </w:r>
          </w:p>
          <w:p w14:paraId="7C7D047F" w14:textId="77777777" w:rsidR="004966BF" w:rsidRPr="004C23F4" w:rsidRDefault="00AD7F71" w:rsidP="003E3A9F">
            <w:pPr>
              <w:pStyle w:val="ListBullet"/>
              <w:numPr>
                <w:ilvl w:val="0"/>
                <w:numId w:val="1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56 people presented burning stomach pains, colic, nausea, and vomiting</w:t>
            </w:r>
            <w:r w:rsidR="00E3225C">
              <w:rPr>
                <w:rStyle w:val="checkbox"/>
                <w:rFonts w:ascii="Arial" w:hAnsi="Arial" w:cs="Arial"/>
              </w:rPr>
              <w:t xml:space="preserve">; </w:t>
            </w:r>
            <w:r w:rsidR="003E3A9F">
              <w:rPr>
                <w:rStyle w:val="checkbox"/>
                <w:rFonts w:ascii="Arial" w:hAnsi="Arial" w:cs="Arial"/>
              </w:rPr>
              <w:t>most recovered within 3 h</w:t>
            </w:r>
            <w:r w:rsidR="004971C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226FA7" w:rsidRPr="004C23F4" w14:paraId="502AA9D7" w14:textId="77777777" w:rsidTr="000B401E">
        <w:trPr>
          <w:cantSplit/>
        </w:trPr>
        <w:tc>
          <w:tcPr>
            <w:tcW w:w="1483" w:type="dxa"/>
          </w:tcPr>
          <w:p w14:paraId="3DC69ED1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07C794D7" w14:textId="77777777" w:rsidR="004966BF" w:rsidRPr="00CE617F" w:rsidRDefault="00CF50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7060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0EA5B893" w14:textId="77777777" w:rsidR="004966BF" w:rsidRPr="004C23F4" w:rsidRDefault="0017060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2009</w:t>
            </w:r>
          </w:p>
        </w:tc>
        <w:tc>
          <w:tcPr>
            <w:tcW w:w="6405" w:type="dxa"/>
          </w:tcPr>
          <w:p w14:paraId="06A6A949" w14:textId="58717D7F" w:rsidR="003E3A9F" w:rsidRPr="003E3A9F" w:rsidRDefault="00226FA7" w:rsidP="00894802">
            <w:pPr>
              <w:pStyle w:val="ListBullet"/>
              <w:rPr>
                <w:rFonts w:cs="Arial"/>
              </w:rPr>
            </w:pPr>
            <w:r>
              <w:t>Dermatosis</w:t>
            </w:r>
            <w:r w:rsidR="00170607">
              <w:t xml:space="preserve"> </w:t>
            </w:r>
            <w:r>
              <w:t xml:space="preserve">from antimony exposure in smelter workers </w:t>
            </w:r>
            <w:r w:rsidR="00170607">
              <w:t>characterised by vesicular or pustular lesion</w:t>
            </w:r>
            <w:r w:rsidR="00447A06">
              <w:t>s</w:t>
            </w:r>
          </w:p>
          <w:p w14:paraId="42B90CBE" w14:textId="14E85A6A" w:rsidR="004966BF" w:rsidRPr="004C23F4" w:rsidRDefault="008B3AE8" w:rsidP="003E3A9F">
            <w:pPr>
              <w:pStyle w:val="ListBullet"/>
              <w:numPr>
                <w:ilvl w:val="0"/>
                <w:numId w:val="13"/>
              </w:numPr>
              <w:rPr>
                <w:rStyle w:val="checkbox"/>
                <w:rFonts w:ascii="Arial" w:hAnsi="Arial" w:cs="Arial"/>
              </w:rPr>
            </w:pPr>
            <w:proofErr w:type="gramStart"/>
            <w:r>
              <w:t>s</w:t>
            </w:r>
            <w:r w:rsidR="00226FA7">
              <w:t>ymptoms</w:t>
            </w:r>
            <w:proofErr w:type="gramEnd"/>
            <w:r w:rsidR="00226FA7">
              <w:t xml:space="preserve"> </w:t>
            </w:r>
            <w:r w:rsidR="00170607">
              <w:t>present</w:t>
            </w:r>
            <w:r w:rsidR="00226FA7">
              <w:t>ed</w:t>
            </w:r>
            <w:r w:rsidR="00170607">
              <w:t xml:space="preserve"> in </w:t>
            </w:r>
            <w:r w:rsidR="00B64AC0">
              <w:t>63%</w:t>
            </w:r>
            <w:r w:rsidR="00170607">
              <w:t xml:space="preserve"> exposed workers</w:t>
            </w:r>
            <w:r w:rsidR="00B64AC0">
              <w:t xml:space="preserve">, </w:t>
            </w:r>
            <w:r w:rsidR="00170607">
              <w:t xml:space="preserve">during summer </w:t>
            </w:r>
            <w:r w:rsidR="00226FA7">
              <w:t>a</w:t>
            </w:r>
            <w:r w:rsidR="00170607">
              <w:t>nd when working near</w:t>
            </w:r>
            <w:r w:rsidR="00226FA7">
              <w:t xml:space="preserve"> hot</w:t>
            </w:r>
            <w:r w:rsidR="00170607">
              <w:t xml:space="preserve"> furnace</w:t>
            </w:r>
            <w:r w:rsidR="00226FA7">
              <w:t>s</w:t>
            </w:r>
            <w:r w:rsidR="004971C5">
              <w:t>.</w:t>
            </w:r>
          </w:p>
        </w:tc>
      </w:tr>
      <w:tr w:rsidR="00226FA7" w:rsidRPr="004C23F4" w14:paraId="71BCA0DE" w14:textId="77777777" w:rsidTr="000B401E">
        <w:trPr>
          <w:cantSplit/>
        </w:trPr>
        <w:tc>
          <w:tcPr>
            <w:tcW w:w="1483" w:type="dxa"/>
          </w:tcPr>
          <w:p w14:paraId="0FC28EA0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1" w:type="dxa"/>
          </w:tcPr>
          <w:p w14:paraId="35E64AB8" w14:textId="77777777" w:rsidR="004966BF" w:rsidRDefault="00CF503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764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5ECD5054" w14:textId="77777777" w:rsidR="004966BF" w:rsidRPr="004C23F4" w:rsidRDefault="0017060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05" w:type="dxa"/>
          </w:tcPr>
          <w:p w14:paraId="058F9E68" w14:textId="77777777" w:rsidR="004966BF" w:rsidRPr="004C23F4" w:rsidRDefault="003636C4" w:rsidP="004971C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Pr="003636C4">
              <w:rPr>
                <w:rStyle w:val="checkbox"/>
                <w:rFonts w:ascii="Arial" w:hAnsi="Arial" w:cs="Arial"/>
              </w:rPr>
              <w:t xml:space="preserve">DLH based on slightly delayed abdominal pain and persistent anorexia </w:t>
            </w:r>
            <w:r>
              <w:rPr>
                <w:rStyle w:val="checkbox"/>
                <w:rFonts w:ascii="Arial" w:hAnsi="Arial" w:cs="Arial"/>
              </w:rPr>
              <w:t>at air concentrations up to 73 mg/</w:t>
            </w:r>
            <w:r w:rsidRPr="003636C4">
              <w:rPr>
                <w:rStyle w:val="checkbox"/>
                <w:rFonts w:ascii="Arial" w:hAnsi="Arial" w:cs="Arial"/>
              </w:rPr>
              <w:t>m</w:t>
            </w:r>
            <w:r w:rsidRPr="003636C4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3636C4">
              <w:rPr>
                <w:rStyle w:val="checkbox"/>
                <w:rFonts w:ascii="Arial" w:hAnsi="Arial" w:cs="Arial"/>
              </w:rPr>
              <w:t xml:space="preserve">in workers </w:t>
            </w:r>
            <w:r>
              <w:rPr>
                <w:rStyle w:val="checkbox"/>
                <w:rFonts w:ascii="Arial" w:hAnsi="Arial" w:cs="Arial"/>
              </w:rPr>
              <w:t xml:space="preserve">briefly </w:t>
            </w:r>
            <w:r w:rsidRPr="003636C4">
              <w:rPr>
                <w:rStyle w:val="checkbox"/>
                <w:rFonts w:ascii="Arial" w:hAnsi="Arial" w:cs="Arial"/>
              </w:rPr>
              <w:t>exposed</w:t>
            </w:r>
            <w:r>
              <w:rPr>
                <w:rStyle w:val="checkbox"/>
                <w:rFonts w:ascii="Arial" w:hAnsi="Arial" w:cs="Arial"/>
              </w:rPr>
              <w:t xml:space="preserve"> to </w:t>
            </w:r>
            <w:r w:rsidR="004971C5">
              <w:rPr>
                <w:rStyle w:val="checkbox"/>
                <w:rFonts w:ascii="Arial" w:hAnsi="Arial" w:cs="Arial"/>
              </w:rPr>
              <w:t>Sb.</w:t>
            </w:r>
          </w:p>
        </w:tc>
      </w:tr>
    </w:tbl>
    <w:bookmarkEnd w:id="3"/>
    <w:p w14:paraId="47CC76D6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2C7895E" w14:textId="77777777" w:rsidTr="00A33F1E">
        <w:trPr>
          <w:trHeight w:val="454"/>
          <w:tblHeader/>
        </w:trPr>
        <w:tc>
          <w:tcPr>
            <w:tcW w:w="6597" w:type="dxa"/>
            <w:vAlign w:val="center"/>
          </w:tcPr>
          <w:p w14:paraId="09F7D0C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4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3111E64" w14:textId="77777777" w:rsidR="002E0D61" w:rsidRPr="00366C38" w:rsidRDefault="00CE69C9" w:rsidP="00C3091E">
                <w:pPr>
                  <w:pStyle w:val="Tablefont"/>
                  <w:keepNext/>
                  <w:keepLines/>
                  <w:spacing w:before="40" w:after="40"/>
                </w:pPr>
                <w:r w:rsidRPr="00366C38">
                  <w:t>Yes</w:t>
                </w:r>
              </w:p>
            </w:tc>
          </w:sdtContent>
        </w:sdt>
      </w:tr>
      <w:tr w:rsidR="008A36CF" w14:paraId="11DC8F6A" w14:textId="77777777" w:rsidTr="00A33F1E">
        <w:trPr>
          <w:trHeight w:val="454"/>
        </w:trPr>
        <w:tc>
          <w:tcPr>
            <w:tcW w:w="6597" w:type="dxa"/>
            <w:vAlign w:val="center"/>
          </w:tcPr>
          <w:p w14:paraId="7BEDA6F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72BAEC4" w14:textId="77777777" w:rsidR="008A36CF" w:rsidRPr="00366C38" w:rsidRDefault="000B401E" w:rsidP="008A36CF">
                <w:pPr>
                  <w:pStyle w:val="Tablefont"/>
                  <w:keepNext/>
                  <w:keepLines/>
                  <w:spacing w:before="40" w:after="40"/>
                </w:pPr>
                <w:r w:rsidRPr="00366C38">
                  <w:t>Insufficient data</w:t>
                </w:r>
              </w:p>
            </w:tc>
          </w:sdtContent>
        </w:sdt>
      </w:tr>
      <w:tr w:rsidR="00F33725" w14:paraId="0114566A" w14:textId="77777777" w:rsidTr="00F34092">
        <w:trPr>
          <w:trHeight w:val="454"/>
        </w:trPr>
        <w:sdt>
          <w:sdtPr>
            <w:rPr>
              <w:b/>
            </w:rPr>
            <w:id w:val="1830936485"/>
            <w:placeholder>
              <w:docPart w:val="A80F71FB0EA7487AAD2C27B06E95E52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0EA8C47" w14:textId="444B90FF" w:rsidR="00F33725" w:rsidRDefault="00F3372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4"/>
    <w:p w14:paraId="0443D317" w14:textId="77777777" w:rsidR="00894802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894802" w:rsidRPr="004C23F4" w14:paraId="4BF68B45" w14:textId="77777777" w:rsidTr="005425EC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3905BDC6" w14:textId="77777777" w:rsidR="00894802" w:rsidRPr="004C23F4" w:rsidRDefault="00894802" w:rsidP="00F83AC6">
            <w:pPr>
              <w:pStyle w:val="Tableheader"/>
            </w:pPr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2C4E1E8B" w14:textId="77777777" w:rsidR="00894802" w:rsidRPr="004C23F4" w:rsidRDefault="00894802" w:rsidP="00F83AC6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>
              <w:tab/>
            </w:r>
          </w:p>
        </w:tc>
      </w:tr>
      <w:tr w:rsidR="00894802" w:rsidRPr="004C23F4" w14:paraId="31B168BF" w14:textId="77777777" w:rsidTr="005425EC">
        <w:trPr>
          <w:cantSplit/>
        </w:trPr>
        <w:tc>
          <w:tcPr>
            <w:tcW w:w="3153" w:type="dxa"/>
          </w:tcPr>
          <w:p w14:paraId="4C49A890" w14:textId="77777777" w:rsidR="00894802" w:rsidRPr="004C23F4" w:rsidRDefault="00894802" w:rsidP="00F83AC6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40D475A1" w14:textId="77777777" w:rsidR="00894802" w:rsidRPr="00DD2F9B" w:rsidRDefault="00894802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5B4C9207" w14:textId="77777777" w:rsidTr="005425EC">
        <w:trPr>
          <w:cantSplit/>
        </w:trPr>
        <w:tc>
          <w:tcPr>
            <w:tcW w:w="3153" w:type="dxa"/>
          </w:tcPr>
          <w:p w14:paraId="7E0C3742" w14:textId="77777777" w:rsidR="00894802" w:rsidRPr="004C23F4" w:rsidRDefault="00894802" w:rsidP="00F83AC6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35B0D0F2" w14:textId="77777777" w:rsidR="00894802" w:rsidRPr="00DD2F9B" w:rsidRDefault="00894802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04327D5A" w14:textId="77777777" w:rsidTr="005425EC">
        <w:trPr>
          <w:cantSplit/>
        </w:trPr>
        <w:tc>
          <w:tcPr>
            <w:tcW w:w="3153" w:type="dxa"/>
          </w:tcPr>
          <w:p w14:paraId="238B06A3" w14:textId="77777777" w:rsidR="00894802" w:rsidRPr="004C23F4" w:rsidRDefault="00894802" w:rsidP="00F83AC6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278A6ADE" w14:textId="77777777" w:rsidR="00894802" w:rsidRPr="00DD2F9B" w:rsidRDefault="00894802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10C416F3" w14:textId="77777777" w:rsidTr="005425EC">
        <w:trPr>
          <w:cantSplit/>
        </w:trPr>
        <w:tc>
          <w:tcPr>
            <w:tcW w:w="3153" w:type="dxa"/>
          </w:tcPr>
          <w:p w14:paraId="1FFF89BD" w14:textId="77777777" w:rsidR="00894802" w:rsidRPr="004C23F4" w:rsidRDefault="00894802" w:rsidP="00F83AC6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2953D94D" w14:textId="77777777" w:rsidR="00894802" w:rsidRPr="00DD2F9B" w:rsidRDefault="00894802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37173C03" w14:textId="77777777" w:rsidTr="005425EC">
        <w:trPr>
          <w:cantSplit/>
        </w:trPr>
        <w:tc>
          <w:tcPr>
            <w:tcW w:w="3153" w:type="dxa"/>
          </w:tcPr>
          <w:p w14:paraId="4DB10FB0" w14:textId="77777777" w:rsidR="00894802" w:rsidRDefault="00894802" w:rsidP="00F83AC6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1CB3C19C" w14:textId="77777777" w:rsidR="00894802" w:rsidRPr="00DD2F9B" w:rsidRDefault="00894802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30924EBF" w14:textId="77777777" w:rsidTr="005425EC">
        <w:trPr>
          <w:cantSplit/>
        </w:trPr>
        <w:tc>
          <w:tcPr>
            <w:tcW w:w="3153" w:type="dxa"/>
          </w:tcPr>
          <w:p w14:paraId="11661DBA" w14:textId="77777777" w:rsidR="00894802" w:rsidRPr="004C23F4" w:rsidRDefault="00894802" w:rsidP="00F83AC6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158F2BDC" w14:textId="77777777" w:rsidR="00894802" w:rsidRPr="00DD2F9B" w:rsidRDefault="005425EC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6C848B6D" w14:textId="77777777" w:rsidTr="005425EC">
        <w:trPr>
          <w:cantSplit/>
        </w:trPr>
        <w:tc>
          <w:tcPr>
            <w:tcW w:w="3153" w:type="dxa"/>
          </w:tcPr>
          <w:p w14:paraId="77E3B539" w14:textId="77777777" w:rsidR="00894802" w:rsidRPr="004C23F4" w:rsidRDefault="00894802" w:rsidP="00F83AC6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75AC429E" w14:textId="77777777" w:rsidR="00894802" w:rsidRPr="00DD2F9B" w:rsidRDefault="00894802" w:rsidP="00F83AC6">
            <w:pPr>
              <w:pStyle w:val="Tablefont"/>
            </w:pPr>
            <w:r>
              <w:t>Carcinogenicity –</w:t>
            </w:r>
            <w:r w:rsidR="005425EC">
              <w:t xml:space="preserve"> </w:t>
            </w:r>
            <w:r>
              <w:t>2</w:t>
            </w:r>
          </w:p>
        </w:tc>
      </w:tr>
      <w:tr w:rsidR="00894802" w:rsidRPr="004C23F4" w14:paraId="09D64F22" w14:textId="77777777" w:rsidTr="005425EC">
        <w:trPr>
          <w:cantSplit/>
        </w:trPr>
        <w:tc>
          <w:tcPr>
            <w:tcW w:w="3153" w:type="dxa"/>
          </w:tcPr>
          <w:p w14:paraId="33E5C152" w14:textId="77777777" w:rsidR="00894802" w:rsidRPr="004C23F4" w:rsidRDefault="00894802" w:rsidP="00F83AC6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10362FD9" w14:textId="77777777" w:rsidR="00894802" w:rsidRPr="00DD2F9B" w:rsidRDefault="00894802" w:rsidP="00F83AC6">
            <w:pPr>
              <w:pStyle w:val="Tablefont"/>
            </w:pPr>
            <w:r>
              <w:t>NA</w:t>
            </w:r>
          </w:p>
        </w:tc>
      </w:tr>
      <w:tr w:rsidR="00894802" w:rsidRPr="004C23F4" w14:paraId="6083667C" w14:textId="77777777" w:rsidTr="005425EC">
        <w:trPr>
          <w:cantSplit/>
        </w:trPr>
        <w:tc>
          <w:tcPr>
            <w:tcW w:w="3153" w:type="dxa"/>
          </w:tcPr>
          <w:p w14:paraId="7DA680C6" w14:textId="77777777" w:rsidR="00894802" w:rsidRDefault="00894802" w:rsidP="00F83AC6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77A71952" w14:textId="77777777" w:rsidR="00894802" w:rsidRPr="00DD2F9B" w:rsidRDefault="005425EC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466444BA" w14:textId="77777777" w:rsidTr="005425EC">
        <w:trPr>
          <w:cantSplit/>
        </w:trPr>
        <w:tc>
          <w:tcPr>
            <w:tcW w:w="3153" w:type="dxa"/>
          </w:tcPr>
          <w:p w14:paraId="2BFF7B17" w14:textId="77777777" w:rsidR="00894802" w:rsidRDefault="00894802" w:rsidP="00F83AC6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0321E53F" w14:textId="77777777" w:rsidR="00894802" w:rsidRPr="00DD2F9B" w:rsidRDefault="00894802" w:rsidP="00F83AC6">
            <w:pPr>
              <w:pStyle w:val="Tablefont"/>
            </w:pPr>
            <w:r w:rsidRPr="000F42C4">
              <w:t>—</w:t>
            </w:r>
          </w:p>
        </w:tc>
      </w:tr>
      <w:tr w:rsidR="00894802" w:rsidRPr="004C23F4" w14:paraId="77BF79B2" w14:textId="77777777" w:rsidTr="005425EC">
        <w:trPr>
          <w:cantSplit/>
        </w:trPr>
        <w:tc>
          <w:tcPr>
            <w:tcW w:w="3153" w:type="dxa"/>
          </w:tcPr>
          <w:p w14:paraId="0FAD7F2C" w14:textId="77777777" w:rsidR="00894802" w:rsidRDefault="00894802" w:rsidP="00F83AC6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0DF47F2C" w14:textId="77777777" w:rsidR="00894802" w:rsidRPr="00DD2F9B" w:rsidRDefault="00894802" w:rsidP="00F83AC6">
            <w:pPr>
              <w:pStyle w:val="Tablefont"/>
              <w:keepNext/>
            </w:pPr>
            <w:r w:rsidRPr="000F42C4">
              <w:t>—</w:t>
            </w:r>
          </w:p>
        </w:tc>
      </w:tr>
    </w:tbl>
    <w:p w14:paraId="07ACA32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4FB7120" w14:textId="77777777" w:rsidR="00A633FB" w:rsidRDefault="00A633FB" w:rsidP="00A633FB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A633FB" w:rsidRPr="004C23F4" w14:paraId="650D2862" w14:textId="77777777" w:rsidTr="0012033B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D2F9252" w14:textId="77777777" w:rsidR="00A633FB" w:rsidRPr="004C23F4" w:rsidRDefault="00A633FB" w:rsidP="0012033B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>
              <w:tab/>
            </w:r>
          </w:p>
        </w:tc>
      </w:tr>
      <w:tr w:rsidR="00A633FB" w:rsidRPr="004C23F4" w14:paraId="286F64B6" w14:textId="77777777" w:rsidTr="0012033B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313"/>
              <w:gridCol w:w="394"/>
              <w:gridCol w:w="2196"/>
              <w:gridCol w:w="701"/>
              <w:gridCol w:w="701"/>
              <w:gridCol w:w="701"/>
              <w:gridCol w:w="701"/>
              <w:gridCol w:w="701"/>
              <w:gridCol w:w="701"/>
              <w:gridCol w:w="701"/>
            </w:tblGrid>
            <w:tr w:rsidR="008D5728" w:rsidRPr="00865F6D" w14:paraId="5366EC42" w14:textId="77777777" w:rsidTr="008D5728">
              <w:trPr>
                <w:trHeight w:val="240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D31437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BB48EF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E9F98D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177276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8EE359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B495EF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E8F267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82791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02D0D3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1FEC0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D5728" w:rsidRPr="00865F6D" w14:paraId="58104C69" w14:textId="77777777" w:rsidTr="008D5728">
              <w:trPr>
                <w:trHeight w:val="342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827805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431BB3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8A9198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005FD2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68A879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13F1BD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2DB9F4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437465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D52DB8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47BC52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D5728" w:rsidRPr="00865F6D" w14:paraId="253217F4" w14:textId="77777777" w:rsidTr="008D5728">
              <w:trPr>
                <w:trHeight w:val="342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5041F2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EA6AD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4CF271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3FDD0B6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3CB307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ACF65F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748AC0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FBEBD9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93C6A9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3931A3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D5728" w:rsidRPr="00865F6D" w14:paraId="5F523F3D" w14:textId="77777777" w:rsidTr="008D5728">
              <w:trPr>
                <w:trHeight w:val="342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CDA809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B4242F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DCDA6C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B40F50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BC6519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7F65A6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6B44A1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34BE97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806220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41331B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D5728" w:rsidRPr="00865F6D" w14:paraId="30F560E1" w14:textId="77777777" w:rsidTr="008D5728">
              <w:trPr>
                <w:trHeight w:val="342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50FC58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EDBF78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D7300B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5ADA7B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7C7B46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91F70F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BFD0FD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C1723E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48A9C9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A6681F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D5728" w:rsidRPr="00865F6D" w14:paraId="0892AD41" w14:textId="77777777" w:rsidTr="008D5728">
              <w:trPr>
                <w:trHeight w:val="342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9255A1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EBDCAE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7DB4DC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9037DD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BBC7E5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F04EEB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106617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29363B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23FEA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2ABC9D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D5728" w:rsidRPr="00865F6D" w14:paraId="6CCE621C" w14:textId="77777777" w:rsidTr="008D5728">
              <w:trPr>
                <w:trHeight w:val="342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D3E66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FBA33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372D24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CB8629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E6A2B2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FC4B4C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18B23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A3802D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791C9C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4B537B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87889" w:rsidRPr="00865F6D" w14:paraId="00BA0713" w14:textId="77777777" w:rsidTr="00075090">
              <w:trPr>
                <w:trHeight w:val="342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96B080" w14:textId="77777777" w:rsidR="00987889" w:rsidRPr="00865F6D" w:rsidRDefault="00987889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FE00BB" w14:textId="77777777" w:rsidR="00987889" w:rsidRPr="00865F6D" w:rsidRDefault="00987889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EE4CC" w14:textId="77777777" w:rsidR="00987889" w:rsidRPr="00865F6D" w:rsidRDefault="00987889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4C17F1" w14:textId="77777777" w:rsidR="00987889" w:rsidRPr="00865F6D" w:rsidRDefault="00987889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3F2402" w14:textId="77777777" w:rsidR="00987889" w:rsidRPr="00865F6D" w:rsidRDefault="00987889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50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55480E" w14:textId="77777777" w:rsidR="00987889" w:rsidRPr="00987889" w:rsidRDefault="00987889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  <w:tr w:rsidR="008D5728" w:rsidRPr="00865F6D" w14:paraId="76024E64" w14:textId="77777777" w:rsidTr="008D5728">
              <w:trPr>
                <w:trHeight w:val="240"/>
              </w:trPr>
              <w:tc>
                <w:tcPr>
                  <w:tcW w:w="1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AE0A0A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C40CEE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30F009" w14:textId="77777777" w:rsidR="00865F6D" w:rsidRPr="00865F6D" w:rsidRDefault="00865F6D" w:rsidP="00865F6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75607C" w14:textId="77777777" w:rsidR="00865F6D" w:rsidRPr="00865F6D" w:rsidRDefault="00865F6D" w:rsidP="00865F6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035F60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6E8FAF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8B140E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8D0AA4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DE2034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863093" w14:textId="77777777" w:rsidR="00865F6D" w:rsidRPr="00865F6D" w:rsidRDefault="00865F6D" w:rsidP="00865F6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5F6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51864E1C" w14:textId="77777777" w:rsidR="00A633FB" w:rsidRPr="004C23F4" w:rsidRDefault="00A633FB" w:rsidP="0012033B">
            <w:pPr>
              <w:pStyle w:val="Tablefont"/>
            </w:pPr>
          </w:p>
        </w:tc>
      </w:tr>
    </w:tbl>
    <w:bookmarkEnd w:id="5"/>
    <w:p w14:paraId="54775A1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C30D16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1C89C4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820C4F6" w14:textId="77777777" w:rsidR="00EB3D1B" w:rsidRDefault="000B401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7DF656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1CEBE77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422C7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5B07100" w14:textId="77777777" w:rsidR="001B79E5" w:rsidRDefault="00987889" w:rsidP="001B79E5">
                <w:pPr>
                  <w:pStyle w:val="Tablefont"/>
                </w:pPr>
                <w:r>
                  <w:t>121.8 (elemental)</w:t>
                </w:r>
              </w:p>
            </w:tc>
          </w:sdtContent>
        </w:sdt>
      </w:tr>
      <w:tr w:rsidR="00A31D99" w:rsidRPr="004C23F4" w14:paraId="24B8376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11A96B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1415D5D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4C4447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33002D" w14:textId="77777777" w:rsidR="00687890" w:rsidRPr="005425EC" w:rsidRDefault="00687890" w:rsidP="00263255">
            <w:pPr>
              <w:pStyle w:val="Tablefont"/>
            </w:pPr>
            <w:r w:rsidRPr="005425EC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9AA54D" w14:textId="77777777" w:rsidR="00687890" w:rsidRPr="005425EC" w:rsidRDefault="005425EC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68B91775" w14:textId="77777777" w:rsidTr="00EA6243">
        <w:trPr>
          <w:cantSplit/>
        </w:trPr>
        <w:tc>
          <w:tcPr>
            <w:tcW w:w="4077" w:type="dxa"/>
            <w:vAlign w:val="center"/>
          </w:tcPr>
          <w:p w14:paraId="3883DD6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D2880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84CAEE2" w14:textId="77777777" w:rsidTr="00EA6243">
        <w:trPr>
          <w:cantSplit/>
        </w:trPr>
        <w:tc>
          <w:tcPr>
            <w:tcW w:w="4077" w:type="dxa"/>
            <w:vAlign w:val="center"/>
          </w:tcPr>
          <w:p w14:paraId="1FC5D61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B23FF8" w14:textId="77777777" w:rsidR="00687890" w:rsidRPr="004C23F4" w:rsidRDefault="005425EC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6F40" w:rsidRPr="004C23F4" w14:paraId="5C1B1E99" w14:textId="77777777" w:rsidTr="00EA6243">
        <w:trPr>
          <w:cantSplit/>
        </w:trPr>
        <w:tc>
          <w:tcPr>
            <w:tcW w:w="4077" w:type="dxa"/>
            <w:vAlign w:val="center"/>
          </w:tcPr>
          <w:p w14:paraId="60DE113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247EB4F" w14:textId="77777777" w:rsidR="00E06F40" w:rsidRPr="00A006A0" w:rsidRDefault="00CF503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A6DD4" w:rsidRPr="005425EC">
                  <w:sym w:font="Wingdings" w:char="F0FC"/>
                </w:r>
              </w:sdtContent>
            </w:sdt>
            <w:r w:rsidR="00E06F40" w:rsidRPr="005425EC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771B8D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0359D8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0CBC64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481520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F7B4D8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3E9437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6CDC7E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2859EEA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D24BEB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5B4D0EA" w14:textId="77777777" w:rsidR="003E3A9F" w:rsidRDefault="003E3A9F" w:rsidP="003E3A9F">
      <w:r>
        <w:t xml:space="preserve">APVMA online resource (2018) - </w:t>
      </w:r>
      <w:proofErr w:type="spellStart"/>
      <w:r w:rsidRPr="00B025E6">
        <w:t>Greenzone</w:t>
      </w:r>
      <w:proofErr w:type="spellEnd"/>
      <w:r w:rsidRPr="00B025E6">
        <w:t xml:space="preserve"> Sock Termite Barrier</w:t>
      </w:r>
      <w:r>
        <w:t xml:space="preserve"> – label documentation. </w:t>
      </w:r>
    </w:p>
    <w:p w14:paraId="24BF6C76" w14:textId="77777777" w:rsidR="000C6A8F" w:rsidRDefault="00684933" w:rsidP="00084859">
      <w:r w:rsidRPr="002022B6">
        <w:t>Deutsche Forschungsgemeinschaft (DFG)</w:t>
      </w:r>
      <w:r>
        <w:t xml:space="preserve"> (2007) </w:t>
      </w:r>
      <w:r w:rsidR="00F41176">
        <w:rPr>
          <w:rFonts w:cs="Arial"/>
          <w:color w:val="1C1D1E"/>
        </w:rPr>
        <w:t>Antimony and its inorganic compounds (inhalable fraction)</w:t>
      </w:r>
      <w:r>
        <w:t xml:space="preserve"> – MAK value documentation.</w:t>
      </w:r>
    </w:p>
    <w:p w14:paraId="5EB0C155" w14:textId="77777777" w:rsidR="003E3A9F" w:rsidRPr="00C205D1" w:rsidRDefault="003E3A9F" w:rsidP="003E3A9F">
      <w:pPr>
        <w:rPr>
          <w:b/>
        </w:rPr>
      </w:pPr>
      <w:r w:rsidRPr="003E3A9F">
        <w:t xml:space="preserve">European Chemicals Agency (ECHA) (2009) Annex </w:t>
      </w:r>
      <w:r>
        <w:t xml:space="preserve">XV dossier Proposal for Harmonised Classification and Labelling </w:t>
      </w:r>
      <w:proofErr w:type="spellStart"/>
      <w:r>
        <w:t>Diantimony</w:t>
      </w:r>
      <w:proofErr w:type="spellEnd"/>
      <w:r>
        <w:t xml:space="preserve"> trioxide.</w:t>
      </w:r>
    </w:p>
    <w:p w14:paraId="3DF5CB3F" w14:textId="77777777" w:rsidR="00F41176" w:rsidRPr="003E3A9F" w:rsidRDefault="00DE319E" w:rsidP="00084859">
      <w:r w:rsidRPr="002022B6">
        <w:t>Health Council of the Netherlands</w:t>
      </w:r>
      <w:r>
        <w:t xml:space="preserve"> (HCOTN) (</w:t>
      </w:r>
      <w:r w:rsidR="004F213D">
        <w:t>2011</w:t>
      </w:r>
      <w:r>
        <w:t xml:space="preserve">) </w:t>
      </w:r>
      <w:r w:rsidR="004F213D" w:rsidRPr="004F213D">
        <w:t>Antimony and antimony compounds</w:t>
      </w:r>
      <w:r w:rsidRPr="005F7416">
        <w:t xml:space="preserve">. Health-based calculated </w:t>
      </w:r>
      <w:r w:rsidRPr="003E3A9F">
        <w:t xml:space="preserve">occupational cancer risk values. The Hague: Health Council of the Netherlands; publication no. </w:t>
      </w:r>
      <w:r w:rsidR="004F213D" w:rsidRPr="003E3A9F">
        <w:t>2011/33</w:t>
      </w:r>
      <w:r w:rsidRPr="003E3A9F">
        <w:t>.</w:t>
      </w:r>
    </w:p>
    <w:p w14:paraId="198302E9" w14:textId="77777777" w:rsidR="003E3A9F" w:rsidRPr="00351FE0" w:rsidRDefault="003E3A9F" w:rsidP="003E3A9F">
      <w:r w:rsidRPr="002022B6">
        <w:t>International Agency for Research on Cancer</w:t>
      </w:r>
      <w:r>
        <w:t xml:space="preserve"> (IARC) (1989) Antimony trioxide and antinomy trisulfide. IARC Monographs on the evaluation of the carcinogenic risk to humans; volume 47.</w:t>
      </w:r>
    </w:p>
    <w:p w14:paraId="52136203" w14:textId="0DFE4A54" w:rsidR="009135F4" w:rsidRDefault="009135F4" w:rsidP="00084859">
      <w:r w:rsidRPr="003E3A9F">
        <w:t xml:space="preserve">National Industrial Chemicals Notification and Assessment Scheme (NICNAS) (2000) Antimony Triacetate: Human health </w:t>
      </w:r>
      <w:sdt>
        <w:sdtPr>
          <w:id w:val="-1295753243"/>
          <w:placeholder>
            <w:docPart w:val="33E16848481F4F0FB1C4D646AD48A19A"/>
          </w:placeholder>
          <w:temporary/>
          <w:showingPlcHdr/>
        </w:sdtPr>
        <w:sdtEndPr/>
        <w:sdtContent>
          <w:r w:rsidRPr="003E3A9F">
            <w:t>tier II</w:t>
          </w:r>
        </w:sdtContent>
      </w:sdt>
      <w:r w:rsidRPr="003E3A9F">
        <w:t xml:space="preserve"> assessment – IMAP report.</w:t>
      </w:r>
    </w:p>
    <w:p w14:paraId="6F7638E0" w14:textId="339845D0" w:rsidR="00706CF7" w:rsidRPr="003E3A9F" w:rsidRDefault="00F30C9E" w:rsidP="00084859">
      <w:r>
        <w:t xml:space="preserve">National Industrial Chemicals Notification and Assessment Scheme (NICNAS) (2015) Antimony oxide (Sb2O3): Human health </w:t>
      </w:r>
      <w:sdt>
        <w:sdtPr>
          <w:id w:val="242461631"/>
          <w:placeholder>
            <w:docPart w:val="9E654B5819BF4994B6232514211DA3D3"/>
          </w:placeholder>
          <w:temporary/>
          <w:showingPlcHdr/>
        </w:sdtPr>
        <w:sdtEndPr/>
        <w:sdtContent>
          <w:r>
            <w:t>tier II</w:t>
          </w:r>
        </w:sdtContent>
      </w:sdt>
      <w:r>
        <w:t xml:space="preserve"> assessment – IMAP report</w:t>
      </w:r>
      <w:r w:rsidR="000473C1" w:rsidRPr="003E3A9F">
        <w:t>.</w:t>
      </w:r>
      <w:r w:rsidR="000473C1" w:rsidDel="000473C1">
        <w:t xml:space="preserve"> </w:t>
      </w:r>
    </w:p>
    <w:p w14:paraId="2DD307A8" w14:textId="77777777" w:rsidR="00706CF7" w:rsidRPr="003E3A9F" w:rsidRDefault="00706CF7" w:rsidP="00706CF7">
      <w:r w:rsidRPr="003E3A9F">
        <w:t xml:space="preserve">National Industrial Chemicals Notification and Assessment Scheme (NICNAS) (2016) Antimony sulfide (Sb2S3): Human health </w:t>
      </w:r>
      <w:sdt>
        <w:sdtPr>
          <w:id w:val="473650947"/>
          <w:placeholder>
            <w:docPart w:val="5A5265A09DCE4211A6C24B9E38F7B6BA"/>
          </w:placeholder>
          <w:temporary/>
          <w:showingPlcHdr/>
        </w:sdtPr>
        <w:sdtEndPr/>
        <w:sdtContent>
          <w:r w:rsidRPr="003E3A9F">
            <w:t>tier II</w:t>
          </w:r>
        </w:sdtContent>
      </w:sdt>
      <w:r w:rsidRPr="003E3A9F">
        <w:t xml:space="preserve"> assessment – IMAP report.</w:t>
      </w:r>
    </w:p>
    <w:p w14:paraId="4CA3DDDD" w14:textId="77777777" w:rsidR="003E3A9F" w:rsidRDefault="003E3A9F" w:rsidP="003E3A9F">
      <w:r>
        <w:t>National Toxicology Program (NTP) (2018) NTP-</w:t>
      </w:r>
      <w:proofErr w:type="spellStart"/>
      <w:r>
        <w:t>RoC</w:t>
      </w:r>
      <w:proofErr w:type="spellEnd"/>
      <w:r>
        <w:t xml:space="preserve"> Revised Draft: Antimony trioxide.</w:t>
      </w:r>
    </w:p>
    <w:p w14:paraId="564C86F8" w14:textId="77777777" w:rsidR="001F7648" w:rsidRPr="003E3A9F" w:rsidRDefault="001F7648" w:rsidP="00084859">
      <w:r w:rsidRPr="003E3A9F">
        <w:t>NIOSH Immediately Dangerous to Life or Health Concentrations (IDLH) (1994) Antimony compounds (as Sb) – IDLH documentation</w:t>
      </w:r>
      <w:r w:rsidR="001071D6" w:rsidRPr="003E3A9F">
        <w:t>.</w:t>
      </w:r>
    </w:p>
    <w:p w14:paraId="50E2C5B7" w14:textId="77777777" w:rsidR="00170607" w:rsidRDefault="001071D6" w:rsidP="00084859">
      <w:r w:rsidRPr="00D86E03">
        <w:t>US Environmental Protection Agency (US EPA)</w:t>
      </w:r>
      <w:r>
        <w:t xml:space="preserve"> </w:t>
      </w:r>
      <w:r w:rsidRPr="002F365B">
        <w:t>(</w:t>
      </w:r>
      <w:r w:rsidR="00036A2E">
        <w:t>1987</w:t>
      </w:r>
      <w:r w:rsidRPr="002F365B">
        <w:t xml:space="preserve">) </w:t>
      </w:r>
      <w:r w:rsidR="00036A2E">
        <w:t>Antimony trioxide –</w:t>
      </w:r>
      <w:r w:rsidRPr="001071D6">
        <w:t xml:space="preserve"> </w:t>
      </w:r>
      <w:r w:rsidRPr="00170607">
        <w:t>Integrated Risk Information System (IRIS)</w:t>
      </w:r>
      <w:r>
        <w:t xml:space="preserve"> documentation.</w:t>
      </w:r>
    </w:p>
    <w:p w14:paraId="26C7CD5B" w14:textId="77777777" w:rsidR="003E3A9F" w:rsidRPr="00351FE0" w:rsidRDefault="003E3A9F"/>
    <w:sectPr w:rsidR="003E3A9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4D22CC" w16cid:durableId="20E185E1"/>
  <w16cid:commentId w16cid:paraId="523CD53C" w16cid:durableId="20E188B3"/>
  <w16cid:commentId w16cid:paraId="02CD3292" w16cid:durableId="20E18955"/>
  <w16cid:commentId w16cid:paraId="2922803C" w16cid:durableId="20E191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8099F" w14:textId="77777777" w:rsidR="004A799A" w:rsidRDefault="004A799A" w:rsidP="00F43AD5">
      <w:pPr>
        <w:spacing w:after="0" w:line="240" w:lineRule="auto"/>
      </w:pPr>
      <w:r>
        <w:separator/>
      </w:r>
    </w:p>
  </w:endnote>
  <w:endnote w:type="continuationSeparator" w:id="0">
    <w:p w14:paraId="43CAF2CB" w14:textId="77777777" w:rsidR="004A799A" w:rsidRDefault="004A799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458FDC5" w14:textId="77777777" w:rsidR="00FA160B" w:rsidRDefault="0057448A" w:rsidP="0034744C">
        <w:pPr>
          <w:pStyle w:val="Footer"/>
          <w:rPr>
            <w:sz w:val="18"/>
            <w:szCs w:val="18"/>
          </w:rPr>
        </w:pPr>
        <w:r w:rsidRPr="0057448A">
          <w:rPr>
            <w:b/>
            <w:sz w:val="18"/>
            <w:szCs w:val="18"/>
          </w:rPr>
          <w:t>Antimony and compounds</w:t>
        </w:r>
        <w:r>
          <w:rPr>
            <w:b/>
            <w:sz w:val="18"/>
            <w:szCs w:val="18"/>
          </w:rPr>
          <w:t xml:space="preserve"> </w:t>
        </w:r>
        <w:r w:rsidR="00FA160B">
          <w:rPr>
            <w:b/>
            <w:sz w:val="18"/>
            <w:szCs w:val="18"/>
          </w:rPr>
          <w:t>(</w:t>
        </w:r>
        <w:r w:rsidRPr="0057448A">
          <w:rPr>
            <w:b/>
            <w:sz w:val="18"/>
            <w:szCs w:val="18"/>
          </w:rPr>
          <w:t>7440-36-0</w:t>
        </w:r>
        <w:proofErr w:type="gramStart"/>
        <w:r w:rsidR="00FA160B">
          <w:rPr>
            <w:b/>
            <w:sz w:val="18"/>
            <w:szCs w:val="18"/>
          </w:rPr>
          <w:t>)</w:t>
        </w:r>
        <w:proofErr w:type="gramEnd"/>
        <w:r w:rsidR="00FA160B" w:rsidRPr="00F43AD5">
          <w:rPr>
            <w:sz w:val="18"/>
            <w:szCs w:val="18"/>
          </w:rPr>
          <w:br/>
          <w:t xml:space="preserve">Safe Work Australia </w:t>
        </w:r>
        <w:r w:rsidR="00FA160B" w:rsidRPr="00F43AD5">
          <w:rPr>
            <w:rFonts w:ascii="Courier New" w:hAnsi="Courier New" w:cs="Courier New"/>
            <w:sz w:val="18"/>
            <w:szCs w:val="18"/>
          </w:rPr>
          <w:t>—</w:t>
        </w:r>
        <w:r w:rsidR="00FA160B" w:rsidRPr="00F43AD5">
          <w:rPr>
            <w:sz w:val="18"/>
            <w:szCs w:val="18"/>
          </w:rPr>
          <w:t xml:space="preserve"> 201</w:t>
        </w:r>
        <w:r w:rsidR="00FA160B">
          <w:rPr>
            <w:sz w:val="18"/>
            <w:szCs w:val="18"/>
          </w:rPr>
          <w:t>9</w:t>
        </w:r>
      </w:p>
      <w:p w14:paraId="650C1873" w14:textId="672C6DCC" w:rsidR="00FA160B" w:rsidRPr="00F43AD5" w:rsidRDefault="00FA160B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F5030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362DF" w14:textId="77777777" w:rsidR="004A799A" w:rsidRDefault="004A799A" w:rsidP="00F43AD5">
      <w:pPr>
        <w:spacing w:after="0" w:line="240" w:lineRule="auto"/>
      </w:pPr>
      <w:r>
        <w:separator/>
      </w:r>
    </w:p>
  </w:footnote>
  <w:footnote w:type="continuationSeparator" w:id="0">
    <w:p w14:paraId="2DFC633E" w14:textId="77777777" w:rsidR="004A799A" w:rsidRDefault="004A799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3773C" w14:textId="77777777" w:rsidR="00FA160B" w:rsidRDefault="00FA160B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F0192B" wp14:editId="4F0237B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D7482" w14:textId="77777777" w:rsidR="00FA160B" w:rsidRDefault="00FA160B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BBACA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D4417"/>
    <w:multiLevelType w:val="hybridMultilevel"/>
    <w:tmpl w:val="BDAE6E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94DA7"/>
    <w:multiLevelType w:val="hybridMultilevel"/>
    <w:tmpl w:val="942E1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5E594F"/>
    <w:multiLevelType w:val="hybridMultilevel"/>
    <w:tmpl w:val="D09A5EA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15252"/>
    <w:multiLevelType w:val="hybridMultilevel"/>
    <w:tmpl w:val="123A80D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A7061DF"/>
    <w:multiLevelType w:val="hybridMultilevel"/>
    <w:tmpl w:val="C93208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86CDE"/>
    <w:multiLevelType w:val="hybridMultilevel"/>
    <w:tmpl w:val="82DA5E3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010001"/>
    <w:multiLevelType w:val="hybridMultilevel"/>
    <w:tmpl w:val="A2B0A2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43A39"/>
    <w:multiLevelType w:val="hybridMultilevel"/>
    <w:tmpl w:val="0E0AE2F2"/>
    <w:lvl w:ilvl="0" w:tplc="0C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3497507C"/>
    <w:multiLevelType w:val="hybridMultilevel"/>
    <w:tmpl w:val="61C2C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27DFC"/>
    <w:multiLevelType w:val="hybridMultilevel"/>
    <w:tmpl w:val="F94EAE3C"/>
    <w:lvl w:ilvl="0" w:tplc="545A5388">
      <w:start w:val="70"/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504F0"/>
    <w:multiLevelType w:val="hybridMultilevel"/>
    <w:tmpl w:val="2BC81F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4512BA"/>
    <w:multiLevelType w:val="hybridMultilevel"/>
    <w:tmpl w:val="023C25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60D3A"/>
    <w:multiLevelType w:val="hybridMultilevel"/>
    <w:tmpl w:val="2DFC88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92F435D"/>
    <w:multiLevelType w:val="hybridMultilevel"/>
    <w:tmpl w:val="5ABC3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D80BCA"/>
    <w:multiLevelType w:val="hybridMultilevel"/>
    <w:tmpl w:val="05EA5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5"/>
  </w:num>
  <w:num w:numId="5">
    <w:abstractNumId w:val="15"/>
  </w:num>
  <w:num w:numId="6">
    <w:abstractNumId w:val="12"/>
  </w:num>
  <w:num w:numId="7">
    <w:abstractNumId w:val="10"/>
  </w:num>
  <w:num w:numId="8">
    <w:abstractNumId w:val="11"/>
  </w:num>
  <w:num w:numId="9">
    <w:abstractNumId w:val="0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  <w:num w:numId="14">
    <w:abstractNumId w:val="13"/>
  </w:num>
  <w:num w:numId="15">
    <w:abstractNumId w:val="8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059"/>
    <w:rsid w:val="00013A22"/>
    <w:rsid w:val="00014C3F"/>
    <w:rsid w:val="00017C82"/>
    <w:rsid w:val="00032B88"/>
    <w:rsid w:val="00036A2E"/>
    <w:rsid w:val="00036F1D"/>
    <w:rsid w:val="00044FF9"/>
    <w:rsid w:val="00046485"/>
    <w:rsid w:val="00046DF5"/>
    <w:rsid w:val="000473C1"/>
    <w:rsid w:val="00052060"/>
    <w:rsid w:val="0005574A"/>
    <w:rsid w:val="00055B44"/>
    <w:rsid w:val="00055FE1"/>
    <w:rsid w:val="00056EC2"/>
    <w:rsid w:val="00060B48"/>
    <w:rsid w:val="00065D18"/>
    <w:rsid w:val="00067F32"/>
    <w:rsid w:val="00071807"/>
    <w:rsid w:val="000803E1"/>
    <w:rsid w:val="00084513"/>
    <w:rsid w:val="00084859"/>
    <w:rsid w:val="00087A68"/>
    <w:rsid w:val="00092D94"/>
    <w:rsid w:val="000A1D01"/>
    <w:rsid w:val="000B0868"/>
    <w:rsid w:val="000B35B1"/>
    <w:rsid w:val="000B3E12"/>
    <w:rsid w:val="000B3E78"/>
    <w:rsid w:val="000B401E"/>
    <w:rsid w:val="000B7B48"/>
    <w:rsid w:val="000C096D"/>
    <w:rsid w:val="000C139A"/>
    <w:rsid w:val="000C2053"/>
    <w:rsid w:val="000C248C"/>
    <w:rsid w:val="000C6A8F"/>
    <w:rsid w:val="000D015D"/>
    <w:rsid w:val="000D291C"/>
    <w:rsid w:val="000E54DD"/>
    <w:rsid w:val="000E5A54"/>
    <w:rsid w:val="000E63D3"/>
    <w:rsid w:val="000E67CF"/>
    <w:rsid w:val="000F42C4"/>
    <w:rsid w:val="0010461E"/>
    <w:rsid w:val="00106D61"/>
    <w:rsid w:val="00106FAA"/>
    <w:rsid w:val="001071D6"/>
    <w:rsid w:val="00107BE8"/>
    <w:rsid w:val="00113443"/>
    <w:rsid w:val="001234D2"/>
    <w:rsid w:val="001269A7"/>
    <w:rsid w:val="00131092"/>
    <w:rsid w:val="00140E6A"/>
    <w:rsid w:val="001435CA"/>
    <w:rsid w:val="00146545"/>
    <w:rsid w:val="00146B75"/>
    <w:rsid w:val="0015266D"/>
    <w:rsid w:val="0015288A"/>
    <w:rsid w:val="00160F47"/>
    <w:rsid w:val="00170607"/>
    <w:rsid w:val="00177CA1"/>
    <w:rsid w:val="00183823"/>
    <w:rsid w:val="00183942"/>
    <w:rsid w:val="001A009E"/>
    <w:rsid w:val="001A1287"/>
    <w:rsid w:val="001A2636"/>
    <w:rsid w:val="001A3859"/>
    <w:rsid w:val="001A3C9D"/>
    <w:rsid w:val="001A43F8"/>
    <w:rsid w:val="001B79E5"/>
    <w:rsid w:val="001C5B40"/>
    <w:rsid w:val="001D56F0"/>
    <w:rsid w:val="001D663B"/>
    <w:rsid w:val="001D7B41"/>
    <w:rsid w:val="001E46DA"/>
    <w:rsid w:val="001E4C36"/>
    <w:rsid w:val="001E7D80"/>
    <w:rsid w:val="001F032B"/>
    <w:rsid w:val="001F4B6C"/>
    <w:rsid w:val="001F62CB"/>
    <w:rsid w:val="001F6ED0"/>
    <w:rsid w:val="001F72E6"/>
    <w:rsid w:val="001F73C5"/>
    <w:rsid w:val="001F7648"/>
    <w:rsid w:val="002046A6"/>
    <w:rsid w:val="00204956"/>
    <w:rsid w:val="00206F7F"/>
    <w:rsid w:val="00213640"/>
    <w:rsid w:val="00221547"/>
    <w:rsid w:val="002216FC"/>
    <w:rsid w:val="00222533"/>
    <w:rsid w:val="00222F30"/>
    <w:rsid w:val="00224EE2"/>
    <w:rsid w:val="00226FA7"/>
    <w:rsid w:val="00227EC7"/>
    <w:rsid w:val="00244AD1"/>
    <w:rsid w:val="002463BC"/>
    <w:rsid w:val="002465CE"/>
    <w:rsid w:val="00255074"/>
    <w:rsid w:val="0025734A"/>
    <w:rsid w:val="00263255"/>
    <w:rsid w:val="002717FD"/>
    <w:rsid w:val="00276494"/>
    <w:rsid w:val="00277B0C"/>
    <w:rsid w:val="00280842"/>
    <w:rsid w:val="002932E6"/>
    <w:rsid w:val="002A4FC5"/>
    <w:rsid w:val="002B1A2C"/>
    <w:rsid w:val="002C34F2"/>
    <w:rsid w:val="002C58FF"/>
    <w:rsid w:val="002C7AFE"/>
    <w:rsid w:val="002D05D2"/>
    <w:rsid w:val="002E0D61"/>
    <w:rsid w:val="002E4C7B"/>
    <w:rsid w:val="002F0CBC"/>
    <w:rsid w:val="00303D5A"/>
    <w:rsid w:val="0030740C"/>
    <w:rsid w:val="00315833"/>
    <w:rsid w:val="003215EE"/>
    <w:rsid w:val="0032187E"/>
    <w:rsid w:val="003224BF"/>
    <w:rsid w:val="00322823"/>
    <w:rsid w:val="003241A8"/>
    <w:rsid w:val="003253F0"/>
    <w:rsid w:val="00331D64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6C4"/>
    <w:rsid w:val="003665AC"/>
    <w:rsid w:val="00366C38"/>
    <w:rsid w:val="00370DBF"/>
    <w:rsid w:val="00386093"/>
    <w:rsid w:val="0038616C"/>
    <w:rsid w:val="003904A4"/>
    <w:rsid w:val="00391841"/>
    <w:rsid w:val="00391B6D"/>
    <w:rsid w:val="0039398F"/>
    <w:rsid w:val="00394922"/>
    <w:rsid w:val="00394ADE"/>
    <w:rsid w:val="003A0E32"/>
    <w:rsid w:val="003A2B94"/>
    <w:rsid w:val="003B387D"/>
    <w:rsid w:val="003B4695"/>
    <w:rsid w:val="003B5FDE"/>
    <w:rsid w:val="003C0D58"/>
    <w:rsid w:val="003C2387"/>
    <w:rsid w:val="003C6875"/>
    <w:rsid w:val="003D4FA3"/>
    <w:rsid w:val="003E0807"/>
    <w:rsid w:val="003E2FE1"/>
    <w:rsid w:val="003E3A9F"/>
    <w:rsid w:val="003E51FB"/>
    <w:rsid w:val="003E6B39"/>
    <w:rsid w:val="003F07E1"/>
    <w:rsid w:val="00400671"/>
    <w:rsid w:val="004030BC"/>
    <w:rsid w:val="00403F7D"/>
    <w:rsid w:val="00403FBE"/>
    <w:rsid w:val="00406785"/>
    <w:rsid w:val="0040739B"/>
    <w:rsid w:val="004079B4"/>
    <w:rsid w:val="004114A2"/>
    <w:rsid w:val="00417A56"/>
    <w:rsid w:val="00420957"/>
    <w:rsid w:val="00422A10"/>
    <w:rsid w:val="0042770B"/>
    <w:rsid w:val="00430179"/>
    <w:rsid w:val="00434FD4"/>
    <w:rsid w:val="004414B5"/>
    <w:rsid w:val="00444482"/>
    <w:rsid w:val="00444B42"/>
    <w:rsid w:val="00445E44"/>
    <w:rsid w:val="00447A06"/>
    <w:rsid w:val="004509E2"/>
    <w:rsid w:val="004515EE"/>
    <w:rsid w:val="004529F0"/>
    <w:rsid w:val="00457A37"/>
    <w:rsid w:val="00460A03"/>
    <w:rsid w:val="00463B8E"/>
    <w:rsid w:val="0046590B"/>
    <w:rsid w:val="00472A11"/>
    <w:rsid w:val="00472AAD"/>
    <w:rsid w:val="00474E33"/>
    <w:rsid w:val="00476803"/>
    <w:rsid w:val="00483549"/>
    <w:rsid w:val="00485BFD"/>
    <w:rsid w:val="00486278"/>
    <w:rsid w:val="004867A2"/>
    <w:rsid w:val="004873F2"/>
    <w:rsid w:val="00490D4C"/>
    <w:rsid w:val="00493A35"/>
    <w:rsid w:val="0049527A"/>
    <w:rsid w:val="004960A4"/>
    <w:rsid w:val="004966BF"/>
    <w:rsid w:val="004971C5"/>
    <w:rsid w:val="00497984"/>
    <w:rsid w:val="004A5088"/>
    <w:rsid w:val="004A5C80"/>
    <w:rsid w:val="004A799A"/>
    <w:rsid w:val="004C1E3F"/>
    <w:rsid w:val="004C23F4"/>
    <w:rsid w:val="004C3475"/>
    <w:rsid w:val="004C58B6"/>
    <w:rsid w:val="004D16A3"/>
    <w:rsid w:val="004D2367"/>
    <w:rsid w:val="004D4AA1"/>
    <w:rsid w:val="004D6D68"/>
    <w:rsid w:val="004E5EDD"/>
    <w:rsid w:val="004F213D"/>
    <w:rsid w:val="004F43F3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385"/>
    <w:rsid w:val="00534B10"/>
    <w:rsid w:val="005425EC"/>
    <w:rsid w:val="005446A2"/>
    <w:rsid w:val="00544D2F"/>
    <w:rsid w:val="0054676A"/>
    <w:rsid w:val="00551BD8"/>
    <w:rsid w:val="00573EA0"/>
    <w:rsid w:val="0057448A"/>
    <w:rsid w:val="0057599F"/>
    <w:rsid w:val="00581055"/>
    <w:rsid w:val="00591E38"/>
    <w:rsid w:val="005A19C5"/>
    <w:rsid w:val="005A1A39"/>
    <w:rsid w:val="005A3034"/>
    <w:rsid w:val="005A462D"/>
    <w:rsid w:val="005A6DD4"/>
    <w:rsid w:val="005B253B"/>
    <w:rsid w:val="005B5903"/>
    <w:rsid w:val="005B76AB"/>
    <w:rsid w:val="005B771D"/>
    <w:rsid w:val="005C0AF9"/>
    <w:rsid w:val="005C1201"/>
    <w:rsid w:val="005C5D16"/>
    <w:rsid w:val="005C7688"/>
    <w:rsid w:val="005D302A"/>
    <w:rsid w:val="005D3193"/>
    <w:rsid w:val="005D4A6E"/>
    <w:rsid w:val="005E0BF8"/>
    <w:rsid w:val="005E6979"/>
    <w:rsid w:val="005E75CB"/>
    <w:rsid w:val="00600E10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E1C"/>
    <w:rsid w:val="00677D9B"/>
    <w:rsid w:val="00684933"/>
    <w:rsid w:val="006867F3"/>
    <w:rsid w:val="00687890"/>
    <w:rsid w:val="006901A2"/>
    <w:rsid w:val="00690368"/>
    <w:rsid w:val="0069079C"/>
    <w:rsid w:val="00690B53"/>
    <w:rsid w:val="00691DCB"/>
    <w:rsid w:val="00695B72"/>
    <w:rsid w:val="006A0B15"/>
    <w:rsid w:val="006B160A"/>
    <w:rsid w:val="006B4E6C"/>
    <w:rsid w:val="006B50B6"/>
    <w:rsid w:val="006D79EA"/>
    <w:rsid w:val="006E5D05"/>
    <w:rsid w:val="006F525F"/>
    <w:rsid w:val="00701053"/>
    <w:rsid w:val="00701507"/>
    <w:rsid w:val="00706CF7"/>
    <w:rsid w:val="00714021"/>
    <w:rsid w:val="00714C68"/>
    <w:rsid w:val="00716A0F"/>
    <w:rsid w:val="00717D45"/>
    <w:rsid w:val="007208F7"/>
    <w:rsid w:val="007218AF"/>
    <w:rsid w:val="00722BFA"/>
    <w:rsid w:val="007346B5"/>
    <w:rsid w:val="007365D1"/>
    <w:rsid w:val="007366DB"/>
    <w:rsid w:val="00740E0E"/>
    <w:rsid w:val="00750212"/>
    <w:rsid w:val="00754539"/>
    <w:rsid w:val="00754779"/>
    <w:rsid w:val="0075716D"/>
    <w:rsid w:val="00765F14"/>
    <w:rsid w:val="00770E31"/>
    <w:rsid w:val="007744E9"/>
    <w:rsid w:val="007770F1"/>
    <w:rsid w:val="00783FB1"/>
    <w:rsid w:val="00785CDD"/>
    <w:rsid w:val="00791847"/>
    <w:rsid w:val="007925F0"/>
    <w:rsid w:val="007932C6"/>
    <w:rsid w:val="007939B3"/>
    <w:rsid w:val="0079509C"/>
    <w:rsid w:val="00796708"/>
    <w:rsid w:val="00796A72"/>
    <w:rsid w:val="007A74B7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B23"/>
    <w:rsid w:val="00804F5A"/>
    <w:rsid w:val="0080552D"/>
    <w:rsid w:val="00810C6D"/>
    <w:rsid w:val="00811914"/>
    <w:rsid w:val="00812887"/>
    <w:rsid w:val="00826F21"/>
    <w:rsid w:val="00832383"/>
    <w:rsid w:val="0083441C"/>
    <w:rsid w:val="00834CC8"/>
    <w:rsid w:val="00835E00"/>
    <w:rsid w:val="00837113"/>
    <w:rsid w:val="00837ED3"/>
    <w:rsid w:val="008412D3"/>
    <w:rsid w:val="008414E4"/>
    <w:rsid w:val="00842FA6"/>
    <w:rsid w:val="00843E21"/>
    <w:rsid w:val="0084508E"/>
    <w:rsid w:val="008478A6"/>
    <w:rsid w:val="00855A41"/>
    <w:rsid w:val="00857A8A"/>
    <w:rsid w:val="00860352"/>
    <w:rsid w:val="008630EE"/>
    <w:rsid w:val="00863757"/>
    <w:rsid w:val="00864D13"/>
    <w:rsid w:val="00865F6D"/>
    <w:rsid w:val="00871CD5"/>
    <w:rsid w:val="008745A2"/>
    <w:rsid w:val="008768A8"/>
    <w:rsid w:val="00877964"/>
    <w:rsid w:val="008815D2"/>
    <w:rsid w:val="0088798F"/>
    <w:rsid w:val="00887E4B"/>
    <w:rsid w:val="008915C8"/>
    <w:rsid w:val="00894802"/>
    <w:rsid w:val="008A36CF"/>
    <w:rsid w:val="008A3BC4"/>
    <w:rsid w:val="008B3AE8"/>
    <w:rsid w:val="008B403C"/>
    <w:rsid w:val="008B7983"/>
    <w:rsid w:val="008C2511"/>
    <w:rsid w:val="008D026D"/>
    <w:rsid w:val="008D23AB"/>
    <w:rsid w:val="008D4B8B"/>
    <w:rsid w:val="008D5728"/>
    <w:rsid w:val="008D5A78"/>
    <w:rsid w:val="008E7B64"/>
    <w:rsid w:val="008F5DCD"/>
    <w:rsid w:val="00900951"/>
    <w:rsid w:val="009118A6"/>
    <w:rsid w:val="009135F4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189"/>
    <w:rsid w:val="00946044"/>
    <w:rsid w:val="0094660B"/>
    <w:rsid w:val="00946A33"/>
    <w:rsid w:val="0095260E"/>
    <w:rsid w:val="009578DD"/>
    <w:rsid w:val="00961124"/>
    <w:rsid w:val="009621B6"/>
    <w:rsid w:val="009633EE"/>
    <w:rsid w:val="00974F2D"/>
    <w:rsid w:val="00977524"/>
    <w:rsid w:val="00977E88"/>
    <w:rsid w:val="00980E17"/>
    <w:rsid w:val="00984920"/>
    <w:rsid w:val="00987889"/>
    <w:rsid w:val="0099303A"/>
    <w:rsid w:val="009971C2"/>
    <w:rsid w:val="009A1254"/>
    <w:rsid w:val="009A4980"/>
    <w:rsid w:val="009B2FF2"/>
    <w:rsid w:val="009B336A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1B4"/>
    <w:rsid w:val="00A33F1E"/>
    <w:rsid w:val="00A357BA"/>
    <w:rsid w:val="00A35ADC"/>
    <w:rsid w:val="00A402A3"/>
    <w:rsid w:val="00A4667B"/>
    <w:rsid w:val="00A53681"/>
    <w:rsid w:val="00A60E79"/>
    <w:rsid w:val="00A633D4"/>
    <w:rsid w:val="00A633FB"/>
    <w:rsid w:val="00A6461A"/>
    <w:rsid w:val="00A8333C"/>
    <w:rsid w:val="00A83F11"/>
    <w:rsid w:val="00A84504"/>
    <w:rsid w:val="00A8672F"/>
    <w:rsid w:val="00A87094"/>
    <w:rsid w:val="00A93057"/>
    <w:rsid w:val="00A968B0"/>
    <w:rsid w:val="00AA0280"/>
    <w:rsid w:val="00AA1CFA"/>
    <w:rsid w:val="00AB20F4"/>
    <w:rsid w:val="00AB2672"/>
    <w:rsid w:val="00AB2817"/>
    <w:rsid w:val="00AB43C4"/>
    <w:rsid w:val="00AC32E7"/>
    <w:rsid w:val="00AC3A9F"/>
    <w:rsid w:val="00AC6D2F"/>
    <w:rsid w:val="00AD2357"/>
    <w:rsid w:val="00AD566C"/>
    <w:rsid w:val="00AD7F71"/>
    <w:rsid w:val="00AE2745"/>
    <w:rsid w:val="00AE2F64"/>
    <w:rsid w:val="00AE59C1"/>
    <w:rsid w:val="00AF42CB"/>
    <w:rsid w:val="00AF44DE"/>
    <w:rsid w:val="00AF483F"/>
    <w:rsid w:val="00AF5E07"/>
    <w:rsid w:val="00AF5F06"/>
    <w:rsid w:val="00B00A25"/>
    <w:rsid w:val="00B025E6"/>
    <w:rsid w:val="00B05CC3"/>
    <w:rsid w:val="00B1422A"/>
    <w:rsid w:val="00B1765C"/>
    <w:rsid w:val="00B20468"/>
    <w:rsid w:val="00B213C4"/>
    <w:rsid w:val="00B24265"/>
    <w:rsid w:val="00B246E3"/>
    <w:rsid w:val="00B40947"/>
    <w:rsid w:val="00B40C60"/>
    <w:rsid w:val="00B479A9"/>
    <w:rsid w:val="00B52EDF"/>
    <w:rsid w:val="00B5413D"/>
    <w:rsid w:val="00B60A7D"/>
    <w:rsid w:val="00B62890"/>
    <w:rsid w:val="00B64873"/>
    <w:rsid w:val="00B64AC0"/>
    <w:rsid w:val="00B71188"/>
    <w:rsid w:val="00B76A41"/>
    <w:rsid w:val="00B846C7"/>
    <w:rsid w:val="00B87D4C"/>
    <w:rsid w:val="00B93646"/>
    <w:rsid w:val="00B961D6"/>
    <w:rsid w:val="00BA0B38"/>
    <w:rsid w:val="00BA1DBB"/>
    <w:rsid w:val="00BA4510"/>
    <w:rsid w:val="00BA529A"/>
    <w:rsid w:val="00BA5996"/>
    <w:rsid w:val="00BB2BB0"/>
    <w:rsid w:val="00BB2ECD"/>
    <w:rsid w:val="00BB612A"/>
    <w:rsid w:val="00BC7595"/>
    <w:rsid w:val="00BC79D0"/>
    <w:rsid w:val="00BD499F"/>
    <w:rsid w:val="00BD56DE"/>
    <w:rsid w:val="00BF2406"/>
    <w:rsid w:val="00C06E43"/>
    <w:rsid w:val="00C06FF1"/>
    <w:rsid w:val="00C16315"/>
    <w:rsid w:val="00C205D1"/>
    <w:rsid w:val="00C3091E"/>
    <w:rsid w:val="00C32137"/>
    <w:rsid w:val="00C40FF1"/>
    <w:rsid w:val="00C419E2"/>
    <w:rsid w:val="00C5020E"/>
    <w:rsid w:val="00C57452"/>
    <w:rsid w:val="00C61EDF"/>
    <w:rsid w:val="00C6239D"/>
    <w:rsid w:val="00C64C54"/>
    <w:rsid w:val="00C6594B"/>
    <w:rsid w:val="00C67FFB"/>
    <w:rsid w:val="00C7155E"/>
    <w:rsid w:val="00C71D1E"/>
    <w:rsid w:val="00C71D7D"/>
    <w:rsid w:val="00C74658"/>
    <w:rsid w:val="00C74833"/>
    <w:rsid w:val="00C777DA"/>
    <w:rsid w:val="00C850A0"/>
    <w:rsid w:val="00C85A86"/>
    <w:rsid w:val="00C978F0"/>
    <w:rsid w:val="00CA58FE"/>
    <w:rsid w:val="00CB1CB1"/>
    <w:rsid w:val="00CB6BC1"/>
    <w:rsid w:val="00CB6CB8"/>
    <w:rsid w:val="00CC0499"/>
    <w:rsid w:val="00CC1A68"/>
    <w:rsid w:val="00CC2123"/>
    <w:rsid w:val="00CD2BFD"/>
    <w:rsid w:val="00CE5AD6"/>
    <w:rsid w:val="00CE617F"/>
    <w:rsid w:val="00CE69C9"/>
    <w:rsid w:val="00CE78EF"/>
    <w:rsid w:val="00CF37FF"/>
    <w:rsid w:val="00CF5030"/>
    <w:rsid w:val="00D01C5C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1CFC"/>
    <w:rsid w:val="00D52573"/>
    <w:rsid w:val="00D525DB"/>
    <w:rsid w:val="00D53046"/>
    <w:rsid w:val="00D5454A"/>
    <w:rsid w:val="00D60107"/>
    <w:rsid w:val="00D668E6"/>
    <w:rsid w:val="00D70670"/>
    <w:rsid w:val="00D74D80"/>
    <w:rsid w:val="00D76624"/>
    <w:rsid w:val="00D817CF"/>
    <w:rsid w:val="00D87570"/>
    <w:rsid w:val="00D91CB9"/>
    <w:rsid w:val="00D93021"/>
    <w:rsid w:val="00D97989"/>
    <w:rsid w:val="00D97D8D"/>
    <w:rsid w:val="00DA34D9"/>
    <w:rsid w:val="00DA352E"/>
    <w:rsid w:val="00DC1FB8"/>
    <w:rsid w:val="00DC71DD"/>
    <w:rsid w:val="00DC7694"/>
    <w:rsid w:val="00DC7857"/>
    <w:rsid w:val="00DD0FAD"/>
    <w:rsid w:val="00DD1BF6"/>
    <w:rsid w:val="00DD2F9B"/>
    <w:rsid w:val="00DD7F99"/>
    <w:rsid w:val="00DE2513"/>
    <w:rsid w:val="00DE26E8"/>
    <w:rsid w:val="00DE319E"/>
    <w:rsid w:val="00DE6AA3"/>
    <w:rsid w:val="00DF6F36"/>
    <w:rsid w:val="00E0084C"/>
    <w:rsid w:val="00E025AB"/>
    <w:rsid w:val="00E02B23"/>
    <w:rsid w:val="00E06F40"/>
    <w:rsid w:val="00E07CE8"/>
    <w:rsid w:val="00E13AAE"/>
    <w:rsid w:val="00E26A07"/>
    <w:rsid w:val="00E3225C"/>
    <w:rsid w:val="00E32595"/>
    <w:rsid w:val="00E33FD0"/>
    <w:rsid w:val="00E37CFD"/>
    <w:rsid w:val="00E41A26"/>
    <w:rsid w:val="00E46BCB"/>
    <w:rsid w:val="00E51CAF"/>
    <w:rsid w:val="00E60F04"/>
    <w:rsid w:val="00E62AAC"/>
    <w:rsid w:val="00E67C2F"/>
    <w:rsid w:val="00E67EF5"/>
    <w:rsid w:val="00E751D4"/>
    <w:rsid w:val="00E767B1"/>
    <w:rsid w:val="00E800BE"/>
    <w:rsid w:val="00E804EA"/>
    <w:rsid w:val="00E80A71"/>
    <w:rsid w:val="00E82337"/>
    <w:rsid w:val="00E83AA6"/>
    <w:rsid w:val="00E92499"/>
    <w:rsid w:val="00E949AF"/>
    <w:rsid w:val="00E96077"/>
    <w:rsid w:val="00EA0A06"/>
    <w:rsid w:val="00EA6243"/>
    <w:rsid w:val="00EA74AB"/>
    <w:rsid w:val="00EB3D1B"/>
    <w:rsid w:val="00ED16B9"/>
    <w:rsid w:val="00ED1D89"/>
    <w:rsid w:val="00ED3AE9"/>
    <w:rsid w:val="00ED634C"/>
    <w:rsid w:val="00ED66BC"/>
    <w:rsid w:val="00EE140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0C9E"/>
    <w:rsid w:val="00F3119E"/>
    <w:rsid w:val="00F33725"/>
    <w:rsid w:val="00F41176"/>
    <w:rsid w:val="00F41561"/>
    <w:rsid w:val="00F43AD5"/>
    <w:rsid w:val="00F4402E"/>
    <w:rsid w:val="00F47265"/>
    <w:rsid w:val="00F56DD0"/>
    <w:rsid w:val="00F6491C"/>
    <w:rsid w:val="00F67BBB"/>
    <w:rsid w:val="00F77253"/>
    <w:rsid w:val="00F87D92"/>
    <w:rsid w:val="00F90AA7"/>
    <w:rsid w:val="00F92498"/>
    <w:rsid w:val="00F9496B"/>
    <w:rsid w:val="00F970C9"/>
    <w:rsid w:val="00FA06A8"/>
    <w:rsid w:val="00FA160B"/>
    <w:rsid w:val="00FA3DF5"/>
    <w:rsid w:val="00FA741F"/>
    <w:rsid w:val="00FB30D5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A0AE04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Paragraph">
    <w:name w:val="List Paragraph"/>
    <w:basedOn w:val="Normal"/>
    <w:uiPriority w:val="34"/>
    <w:qFormat/>
    <w:rsid w:val="00BB2ECD"/>
    <w:pPr>
      <w:ind w:left="720"/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1C5B40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B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5B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5B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5B1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894802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3E16848481F4F0FB1C4D646AD48A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93063-DB18-4E89-9DF8-0A57DA138057}"/>
      </w:docPartPr>
      <w:docPartBody>
        <w:p w:rsidR="00BF067F" w:rsidRDefault="008C4571" w:rsidP="008C4571">
          <w:pPr>
            <w:pStyle w:val="33E16848481F4F0FB1C4D646AD48A19A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5A5265A09DCE4211A6C24B9E38F7B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D9E5A-631F-4967-B340-19B2BF6602D8}"/>
      </w:docPartPr>
      <w:docPartBody>
        <w:p w:rsidR="008D666D" w:rsidRDefault="006145FD" w:rsidP="006145FD">
          <w:pPr>
            <w:pStyle w:val="5A5265A09DCE4211A6C24B9E38F7B6BA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A80F71FB0EA7487AAD2C27B06E95E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89FA5-B06C-4D04-9116-C1FAF74DC57B}"/>
      </w:docPartPr>
      <w:docPartBody>
        <w:p w:rsidR="00340D6E" w:rsidRDefault="008D666D" w:rsidP="008D666D">
          <w:pPr>
            <w:pStyle w:val="A80F71FB0EA7487AAD2C27B06E95E52D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9E654B5819BF4994B6232514211DA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E50E6-23D8-439C-A150-5D063FDDDC0B}"/>
      </w:docPartPr>
      <w:docPartBody>
        <w:p w:rsidR="0029475D" w:rsidRDefault="00340D6E" w:rsidP="00340D6E">
          <w:pPr>
            <w:pStyle w:val="9E654B5819BF4994B6232514211DA3D3"/>
          </w:pPr>
          <w:r>
            <w:rPr>
              <w:color w:val="00B050"/>
            </w:rPr>
            <w:t>tier 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29475D"/>
    <w:rsid w:val="00340D6E"/>
    <w:rsid w:val="004C5F10"/>
    <w:rsid w:val="004C7545"/>
    <w:rsid w:val="00600EE3"/>
    <w:rsid w:val="006145FD"/>
    <w:rsid w:val="00860D7C"/>
    <w:rsid w:val="0086598D"/>
    <w:rsid w:val="008C4571"/>
    <w:rsid w:val="008D666D"/>
    <w:rsid w:val="008E54C2"/>
    <w:rsid w:val="00BF067F"/>
    <w:rsid w:val="00D21A9F"/>
    <w:rsid w:val="00D2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666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8D88B09A16E4FFD90CB44ECBFABE572">
    <w:name w:val="28D88B09A16E4FFD90CB44ECBFABE572"/>
    <w:rsid w:val="0086598D"/>
  </w:style>
  <w:style w:type="paragraph" w:customStyle="1" w:styleId="4ED1EB3758084571B129DA4BAF9809A2">
    <w:name w:val="4ED1EB3758084571B129DA4BAF9809A2"/>
    <w:rsid w:val="0086598D"/>
  </w:style>
  <w:style w:type="paragraph" w:customStyle="1" w:styleId="27B09B573A124BA3819A888B0FE3DDC0">
    <w:name w:val="27B09B573A124BA3819A888B0FE3DDC0"/>
    <w:rsid w:val="008C4571"/>
  </w:style>
  <w:style w:type="paragraph" w:customStyle="1" w:styleId="27C5154E300A4A73AF51ADD662EA3C19">
    <w:name w:val="27C5154E300A4A73AF51ADD662EA3C19"/>
    <w:rsid w:val="008C4571"/>
  </w:style>
  <w:style w:type="paragraph" w:customStyle="1" w:styleId="78A1EBE8AE364CBC85DA31BB911B11FC">
    <w:name w:val="78A1EBE8AE364CBC85DA31BB911B11FC"/>
    <w:rsid w:val="008C4571"/>
  </w:style>
  <w:style w:type="paragraph" w:customStyle="1" w:styleId="9D9B2A50512647A191B3750222505773">
    <w:name w:val="9D9B2A50512647A191B3750222505773"/>
    <w:rsid w:val="008C4571"/>
  </w:style>
  <w:style w:type="paragraph" w:customStyle="1" w:styleId="F3F3E1E7EAB443A3BC3019132A37B494">
    <w:name w:val="F3F3E1E7EAB443A3BC3019132A37B494"/>
    <w:rsid w:val="008C4571"/>
  </w:style>
  <w:style w:type="paragraph" w:customStyle="1" w:styleId="96CC03394BC649D39B3CAA89AE6FDF00">
    <w:name w:val="96CC03394BC649D39B3CAA89AE6FDF00"/>
    <w:rsid w:val="008C4571"/>
  </w:style>
  <w:style w:type="paragraph" w:customStyle="1" w:styleId="45FB14FAB53A4B0B8AFE971E476ABF76">
    <w:name w:val="45FB14FAB53A4B0B8AFE971E476ABF76"/>
    <w:rsid w:val="008C4571"/>
  </w:style>
  <w:style w:type="paragraph" w:customStyle="1" w:styleId="33E16848481F4F0FB1C4D646AD48A19A">
    <w:name w:val="33E16848481F4F0FB1C4D646AD48A19A"/>
    <w:rsid w:val="008C4571"/>
  </w:style>
  <w:style w:type="paragraph" w:customStyle="1" w:styleId="F1BD29A7CCF440A6AB7F326D34FEBAAD">
    <w:name w:val="F1BD29A7CCF440A6AB7F326D34FEBAAD"/>
    <w:rsid w:val="008C4571"/>
  </w:style>
  <w:style w:type="paragraph" w:customStyle="1" w:styleId="ED51A016E7B44A20BC5E8890B0070786">
    <w:name w:val="ED51A016E7B44A20BC5E8890B0070786"/>
    <w:rsid w:val="008C4571"/>
  </w:style>
  <w:style w:type="paragraph" w:customStyle="1" w:styleId="B7704B29D7F64CDA86DBDCEDBC5B0537">
    <w:name w:val="B7704B29D7F64CDA86DBDCEDBC5B0537"/>
    <w:rsid w:val="008C4571"/>
  </w:style>
  <w:style w:type="paragraph" w:customStyle="1" w:styleId="651F06EFD0864B6387E1568DD15B80C1">
    <w:name w:val="651F06EFD0864B6387E1568DD15B80C1"/>
    <w:rsid w:val="008C4571"/>
  </w:style>
  <w:style w:type="paragraph" w:customStyle="1" w:styleId="62DA15318D8F4BF0B819D07678A2F3BB">
    <w:name w:val="62DA15318D8F4BF0B819D07678A2F3BB"/>
    <w:rsid w:val="008C4571"/>
  </w:style>
  <w:style w:type="paragraph" w:customStyle="1" w:styleId="4D889F7E70AF4CD7ABA5CF0966FD90DC">
    <w:name w:val="4D889F7E70AF4CD7ABA5CF0966FD90DC"/>
    <w:rsid w:val="008C4571"/>
  </w:style>
  <w:style w:type="paragraph" w:customStyle="1" w:styleId="D74EB519408E45168E7733C74336DFDA">
    <w:name w:val="D74EB519408E45168E7733C74336DFDA"/>
    <w:rsid w:val="008C4571"/>
  </w:style>
  <w:style w:type="paragraph" w:customStyle="1" w:styleId="A8E8F9F5930046F8BCDAED6651DEA057">
    <w:name w:val="A8E8F9F5930046F8BCDAED6651DEA057"/>
    <w:rsid w:val="008C4571"/>
  </w:style>
  <w:style w:type="paragraph" w:customStyle="1" w:styleId="7A9C10E12D754542BAB35A4A65709481">
    <w:name w:val="7A9C10E12D754542BAB35A4A65709481"/>
    <w:rsid w:val="008C4571"/>
  </w:style>
  <w:style w:type="paragraph" w:customStyle="1" w:styleId="959BF22BEC8643E785AB0F1218E28C05">
    <w:name w:val="959BF22BEC8643E785AB0F1218E28C05"/>
    <w:rsid w:val="008C4571"/>
  </w:style>
  <w:style w:type="paragraph" w:customStyle="1" w:styleId="87F0E9BD5A3C4F7CBF8A70F8F9A0B99B">
    <w:name w:val="87F0E9BD5A3C4F7CBF8A70F8F9A0B99B"/>
    <w:rsid w:val="008C4571"/>
  </w:style>
  <w:style w:type="paragraph" w:customStyle="1" w:styleId="4A0EE710B10D47208FEA872EA5EA23C0">
    <w:name w:val="4A0EE710B10D47208FEA872EA5EA23C0"/>
    <w:rsid w:val="008C4571"/>
  </w:style>
  <w:style w:type="paragraph" w:customStyle="1" w:styleId="B0AAEDDF98E84951900EDC37AA09FDE1">
    <w:name w:val="B0AAEDDF98E84951900EDC37AA09FDE1"/>
    <w:rsid w:val="00BF067F"/>
  </w:style>
  <w:style w:type="paragraph" w:customStyle="1" w:styleId="5A5265A09DCE4211A6C24B9E38F7B6BA">
    <w:name w:val="5A5265A09DCE4211A6C24B9E38F7B6BA"/>
    <w:rsid w:val="006145FD"/>
  </w:style>
  <w:style w:type="paragraph" w:customStyle="1" w:styleId="A80F71FB0EA7487AAD2C27B06E95E52D">
    <w:name w:val="A80F71FB0EA7487AAD2C27B06E95E52D"/>
    <w:rsid w:val="008D666D"/>
  </w:style>
  <w:style w:type="paragraph" w:customStyle="1" w:styleId="6E8AAF12D4C540138B086E624618EC27">
    <w:name w:val="6E8AAF12D4C540138B086E624618EC27"/>
    <w:rsid w:val="00340D6E"/>
  </w:style>
  <w:style w:type="paragraph" w:customStyle="1" w:styleId="9E654B5819BF4994B6232514211DA3D3">
    <w:name w:val="9E654B5819BF4994B6232514211DA3D3"/>
    <w:rsid w:val="00340D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FFC20-732E-4FA9-9BFD-EF50EC97F469}"/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bf54d604-3e62-4e70-ba33-9e9084b96a66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06B15-A077-413B-8783-FEEA638A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6B00DCBB.dotm</Template>
  <TotalTime>211</TotalTime>
  <Pages>7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23</cp:revision>
  <cp:lastPrinted>2018-10-22T22:41:00Z</cp:lastPrinted>
  <dcterms:created xsi:type="dcterms:W3CDTF">2019-07-05T04:53:00Z</dcterms:created>
  <dcterms:modified xsi:type="dcterms:W3CDTF">2019-08-12T23:55:00Z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