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B9A6C45" w14:textId="77777777" w:rsidR="00BD499F" w:rsidRPr="004C23F4" w:rsidRDefault="0040466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Anisidine &amp; o-, p- isomers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4203B63A" w14:textId="77777777" w:rsidTr="00B76A41">
        <w:trPr>
          <w:cantSplit/>
          <w:tblHeader/>
        </w:trPr>
        <w:tc>
          <w:tcPr>
            <w:tcW w:w="4077" w:type="dxa"/>
          </w:tcPr>
          <w:p w14:paraId="4E388A9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A291EBD" w14:textId="77777777" w:rsidR="00D8637A" w:rsidRDefault="00404661" w:rsidP="00B76A41">
            <w:pPr>
              <w:pStyle w:val="Tablefont"/>
            </w:pPr>
            <w:r w:rsidRPr="00404661">
              <w:t>29191-52-4</w:t>
            </w:r>
            <w:r w:rsidR="00FC5B39">
              <w:t xml:space="preserve"> (</w:t>
            </w:r>
            <w:proofErr w:type="spellStart"/>
            <w:r w:rsidR="00FC5B39">
              <w:t>Anisidine</w:t>
            </w:r>
            <w:proofErr w:type="spellEnd"/>
            <w:r w:rsidR="00FC5B39">
              <w:t xml:space="preserve">) </w:t>
            </w:r>
          </w:p>
          <w:p w14:paraId="468D23BC" w14:textId="77777777" w:rsidR="00D8637A" w:rsidRDefault="00C03D01" w:rsidP="00B76A41">
            <w:pPr>
              <w:pStyle w:val="Tablefont"/>
            </w:pPr>
            <w:r>
              <w:t>90-04-0</w:t>
            </w:r>
            <w:r w:rsidR="00FC5B39">
              <w:t xml:space="preserve"> (</w:t>
            </w:r>
            <w:r w:rsidR="00FC5B39" w:rsidRPr="00E41688">
              <w:rPr>
                <w:i/>
              </w:rPr>
              <w:t>o</w:t>
            </w:r>
            <w:r w:rsidR="00FC5B39">
              <w:t>-</w:t>
            </w:r>
            <w:proofErr w:type="spellStart"/>
            <w:r w:rsidR="00FC5B39">
              <w:t>Anisidine</w:t>
            </w:r>
            <w:proofErr w:type="spellEnd"/>
            <w:r w:rsidR="00FC5B39">
              <w:t>)</w:t>
            </w:r>
          </w:p>
          <w:p w14:paraId="2FA0AC6E" w14:textId="77777777" w:rsidR="00F43AD5" w:rsidRPr="00717D45" w:rsidRDefault="00C03D01" w:rsidP="00B76A41">
            <w:pPr>
              <w:pStyle w:val="Tablefont"/>
            </w:pPr>
            <w:r>
              <w:t>104-94-9</w:t>
            </w:r>
            <w:r w:rsidR="00FC5B39">
              <w:t xml:space="preserve"> (</w:t>
            </w:r>
            <w:r w:rsidR="00FC5B39" w:rsidRPr="00E41688">
              <w:rPr>
                <w:i/>
              </w:rPr>
              <w:t>p</w:t>
            </w:r>
            <w:r w:rsidR="00FC5B39">
              <w:t>-</w:t>
            </w:r>
            <w:proofErr w:type="spellStart"/>
            <w:r w:rsidR="00FC5B39">
              <w:t>Anisidine</w:t>
            </w:r>
            <w:proofErr w:type="spellEnd"/>
            <w:r w:rsidR="00FC5B39">
              <w:t>)</w:t>
            </w:r>
          </w:p>
        </w:tc>
      </w:tr>
      <w:tr w:rsidR="00F43AD5" w:rsidRPr="004C23F4" w14:paraId="5C4D99AF" w14:textId="77777777" w:rsidTr="00B76A41">
        <w:trPr>
          <w:cantSplit/>
        </w:trPr>
        <w:tc>
          <w:tcPr>
            <w:tcW w:w="4077" w:type="dxa"/>
          </w:tcPr>
          <w:p w14:paraId="2372A6B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0736812" w14:textId="77777777" w:rsidR="00F43AD5" w:rsidRPr="00946FF6" w:rsidRDefault="00E41688" w:rsidP="00B76A41">
            <w:pPr>
              <w:pStyle w:val="Tablefont"/>
              <w:rPr>
                <w:lang w:val="it-IT"/>
              </w:rPr>
            </w:pPr>
            <w:r w:rsidRPr="00946FF6">
              <w:rPr>
                <w:lang w:val="it-IT"/>
              </w:rPr>
              <w:t>Benzenamine, aminoanisole, methoxyaniline</w:t>
            </w:r>
          </w:p>
          <w:p w14:paraId="666C31FC" w14:textId="77777777" w:rsidR="00E41688" w:rsidRPr="00946FF6" w:rsidRDefault="00E41688" w:rsidP="00B76A41">
            <w:pPr>
              <w:pStyle w:val="Tablefont"/>
              <w:rPr>
                <w:lang w:val="it-IT"/>
              </w:rPr>
            </w:pPr>
            <w:r w:rsidRPr="00946FF6">
              <w:rPr>
                <w:i/>
                <w:lang w:val="it-IT"/>
              </w:rPr>
              <w:t>o- isomer:</w:t>
            </w:r>
            <w:r w:rsidRPr="00946FF6">
              <w:rPr>
                <w:lang w:val="it-IT"/>
              </w:rPr>
              <w:t xml:space="preserve"> 2-aminoanisole, 2-methoxyaniline</w:t>
            </w:r>
          </w:p>
          <w:p w14:paraId="5FC67A45" w14:textId="77777777" w:rsidR="00E41688" w:rsidRPr="00717D45" w:rsidRDefault="00E41688" w:rsidP="00B76A41">
            <w:pPr>
              <w:pStyle w:val="Tablefont"/>
            </w:pPr>
            <w:r w:rsidRPr="00E41688">
              <w:rPr>
                <w:i/>
              </w:rPr>
              <w:t>p-isomer:</w:t>
            </w:r>
            <w:r>
              <w:t xml:space="preserve"> 4-aminoanisole, 4-m</w:t>
            </w:r>
            <w:r w:rsidRPr="00E41688">
              <w:t>ethoxyaniline</w:t>
            </w:r>
          </w:p>
        </w:tc>
      </w:tr>
      <w:tr w:rsidR="00F43AD5" w:rsidRPr="004C23F4" w14:paraId="61CD47C5" w14:textId="77777777" w:rsidTr="00B76A41">
        <w:trPr>
          <w:cantSplit/>
        </w:trPr>
        <w:tc>
          <w:tcPr>
            <w:tcW w:w="4077" w:type="dxa"/>
          </w:tcPr>
          <w:p w14:paraId="280DA8A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F0B5BCB" w14:textId="77777777" w:rsidR="00F43AD5" w:rsidRPr="00717D45" w:rsidRDefault="00E41688" w:rsidP="00B76A41">
            <w:pPr>
              <w:pStyle w:val="Tablefont"/>
            </w:pPr>
            <w:r w:rsidRPr="00E41688">
              <w:t>C</w:t>
            </w:r>
            <w:r w:rsidRPr="00E41688">
              <w:rPr>
                <w:vertAlign w:val="subscript"/>
              </w:rPr>
              <w:t>7</w:t>
            </w:r>
            <w:r w:rsidRPr="00E41688">
              <w:t>H</w:t>
            </w:r>
            <w:r w:rsidRPr="00E41688">
              <w:rPr>
                <w:vertAlign w:val="subscript"/>
              </w:rPr>
              <w:t>9</w:t>
            </w:r>
            <w:r w:rsidRPr="00E41688">
              <w:t>NO</w:t>
            </w:r>
          </w:p>
        </w:tc>
      </w:tr>
      <w:tr w:rsidR="00F43AD5" w:rsidRPr="004C23F4" w14:paraId="34ED7FDC" w14:textId="77777777" w:rsidTr="00B76A41">
        <w:trPr>
          <w:cantSplit/>
        </w:trPr>
        <w:tc>
          <w:tcPr>
            <w:tcW w:w="4077" w:type="dxa"/>
          </w:tcPr>
          <w:p w14:paraId="1B47464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85FF959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164EDB10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F7E54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A69E5DC" w14:textId="77777777" w:rsidTr="00AA5B5A">
        <w:trPr>
          <w:cantSplit/>
          <w:tblHeader/>
        </w:trPr>
        <w:tc>
          <w:tcPr>
            <w:tcW w:w="4005" w:type="dxa"/>
            <w:vAlign w:val="center"/>
          </w:tcPr>
          <w:p w14:paraId="6A36BADE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0ABD07B" w14:textId="77777777" w:rsidR="002C7AFE" w:rsidRPr="00EB3D1B" w:rsidRDefault="007F7E54" w:rsidP="00017C82">
            <w:pPr>
              <w:pStyle w:val="Tablefont"/>
              <w:rPr>
                <w:b/>
              </w:rPr>
            </w:pPr>
            <w:r w:rsidRPr="007F7E54">
              <w:rPr>
                <w:b/>
              </w:rPr>
              <w:t>0.</w:t>
            </w:r>
            <w:r>
              <w:rPr>
                <w:b/>
              </w:rPr>
              <w:t>0</w:t>
            </w:r>
            <w:r w:rsidRPr="007F7E54">
              <w:rPr>
                <w:b/>
              </w:rPr>
              <w:t>1 ppm (0.</w:t>
            </w:r>
            <w:r>
              <w:rPr>
                <w:b/>
              </w:rPr>
              <w:t>0</w:t>
            </w:r>
            <w:r w:rsidRPr="007F7E54">
              <w:rPr>
                <w:b/>
              </w:rPr>
              <w:t>5 mg/m</w:t>
            </w:r>
            <w:r w:rsidRPr="007F7E54">
              <w:rPr>
                <w:b/>
                <w:vertAlign w:val="superscript"/>
              </w:rPr>
              <w:t>3</w:t>
            </w:r>
            <w:r w:rsidRPr="007F7E54">
              <w:rPr>
                <w:b/>
              </w:rPr>
              <w:t>)</w:t>
            </w:r>
          </w:p>
        </w:tc>
      </w:tr>
      <w:tr w:rsidR="002C7AFE" w:rsidRPr="004C23F4" w14:paraId="24E8EA63" w14:textId="77777777" w:rsidTr="00AA5B5A">
        <w:trPr>
          <w:cantSplit/>
        </w:trPr>
        <w:tc>
          <w:tcPr>
            <w:tcW w:w="4005" w:type="dxa"/>
            <w:vAlign w:val="center"/>
          </w:tcPr>
          <w:p w14:paraId="7BA4075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EBA1C9F" w14:textId="77777777" w:rsidR="002C7AFE" w:rsidRPr="00EB3D1B" w:rsidRDefault="0071295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D6DF906" w14:textId="77777777" w:rsidTr="00AA5B5A">
        <w:trPr>
          <w:cantSplit/>
        </w:trPr>
        <w:tc>
          <w:tcPr>
            <w:tcW w:w="4005" w:type="dxa"/>
            <w:vAlign w:val="center"/>
          </w:tcPr>
          <w:p w14:paraId="16749DA7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2D0C04D" w14:textId="77777777" w:rsidR="002C7AFE" w:rsidRPr="00EB3D1B" w:rsidRDefault="0071295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E8A6AC0" w14:textId="77777777" w:rsidTr="00AA5B5A">
        <w:trPr>
          <w:cantSplit/>
        </w:trPr>
        <w:tc>
          <w:tcPr>
            <w:tcW w:w="4005" w:type="dxa"/>
          </w:tcPr>
          <w:p w14:paraId="2EF75E1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2762EA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62E10BB1" w14:textId="77777777" w:rsidR="002C7AFE" w:rsidRPr="00D765C0" w:rsidRDefault="00AA5B5A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1B</w:t>
            </w:r>
            <w:r w:rsidR="00F773DE">
              <w:rPr>
                <w:b/>
              </w:rPr>
              <w:t>;</w:t>
            </w:r>
            <w:r w:rsidR="002762EA" w:rsidRPr="00D765C0">
              <w:rPr>
                <w:b/>
              </w:rPr>
              <w:t xml:space="preserve"> Sk.</w:t>
            </w:r>
          </w:p>
        </w:tc>
      </w:tr>
      <w:tr w:rsidR="002C7AFE" w:rsidRPr="004C23F4" w14:paraId="53BC472C" w14:textId="77777777" w:rsidTr="00AA5B5A">
        <w:trPr>
          <w:cantSplit/>
        </w:trPr>
        <w:tc>
          <w:tcPr>
            <w:tcW w:w="4005" w:type="dxa"/>
            <w:vAlign w:val="center"/>
          </w:tcPr>
          <w:p w14:paraId="3D34F145" w14:textId="0B441A5D" w:rsidR="00F10C97" w:rsidRPr="002C58FF" w:rsidRDefault="00921DE7" w:rsidP="00E52455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3318A69B" w14:textId="77777777" w:rsidR="002C7AFE" w:rsidRPr="00EB3D1B" w:rsidRDefault="0071295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E52455" w:rsidRPr="004C23F4" w14:paraId="53B9D2F3" w14:textId="77777777" w:rsidTr="00E52455">
        <w:trPr>
          <w:cantSplit/>
        </w:trPr>
        <w:tc>
          <w:tcPr>
            <w:tcW w:w="4005" w:type="dxa"/>
          </w:tcPr>
          <w:p w14:paraId="02829E63" w14:textId="0975C781" w:rsidR="00E52455" w:rsidRDefault="00E52455" w:rsidP="00E52455">
            <w:pPr>
              <w:pStyle w:val="Tablerowright"/>
            </w:pPr>
            <w:r>
              <w:t>Sampling and analysis:</w:t>
            </w:r>
          </w:p>
        </w:tc>
        <w:tc>
          <w:tcPr>
            <w:tcW w:w="5021" w:type="dxa"/>
          </w:tcPr>
          <w:p w14:paraId="6DBB5E7C" w14:textId="77777777" w:rsidR="00E52455" w:rsidRPr="00E52455" w:rsidRDefault="00E52455" w:rsidP="00E52455">
            <w:pPr>
              <w:pStyle w:val="Tablefont"/>
            </w:pPr>
            <w:r w:rsidRPr="00E52455">
              <w:t>The recommended value is readily quantifiable through cur</w:t>
            </w:r>
            <w:bookmarkStart w:id="0" w:name="_GoBack"/>
            <w:bookmarkEnd w:id="0"/>
            <w:r w:rsidRPr="00E52455">
              <w:t xml:space="preserve">rently available sampling and analysis techniques. </w:t>
            </w:r>
          </w:p>
          <w:p w14:paraId="6802EFE3" w14:textId="77777777" w:rsidR="00E52455" w:rsidRDefault="00E52455" w:rsidP="00017C82">
            <w:pPr>
              <w:pStyle w:val="Tablefont"/>
              <w:rPr>
                <w:b/>
              </w:rPr>
            </w:pPr>
          </w:p>
        </w:tc>
      </w:tr>
    </w:tbl>
    <w:p w14:paraId="79034C08" w14:textId="77777777" w:rsidR="00AA5B5A" w:rsidRPr="003365A5" w:rsidRDefault="00AA5B5A" w:rsidP="00AA5B5A">
      <w:pPr>
        <w:pStyle w:val="Heading2"/>
      </w:pPr>
      <w:r>
        <w:t>Recommendation and basis for workplace exposure standard</w:t>
      </w:r>
    </w:p>
    <w:p w14:paraId="0E88C213" w14:textId="2FE8DE4E" w:rsidR="00AA5B5A" w:rsidRPr="00AA5B5A" w:rsidRDefault="00AA5B5A" w:rsidP="00AA5B5A">
      <w:pPr>
        <w:rPr>
          <w:rFonts w:cs="Arial"/>
        </w:rPr>
      </w:pPr>
      <w:r w:rsidRPr="00AA5B5A">
        <w:rPr>
          <w:rFonts w:cs="Arial"/>
        </w:rPr>
        <w:t>A</w:t>
      </w:r>
      <w:r w:rsidR="00754D53">
        <w:rPr>
          <w:rFonts w:cs="Arial"/>
        </w:rPr>
        <w:t>n interim</w:t>
      </w:r>
      <w:r w:rsidRPr="00AA5B5A">
        <w:rPr>
          <w:rFonts w:cs="Arial"/>
        </w:rPr>
        <w:t xml:space="preserve"> TWA of 0.01 ppm (0.05 mg/m</w:t>
      </w:r>
      <w:r w:rsidRPr="00CB1FD2">
        <w:rPr>
          <w:rFonts w:cs="Arial"/>
          <w:vertAlign w:val="superscript"/>
        </w:rPr>
        <w:t>3</w:t>
      </w:r>
      <w:r w:rsidRPr="00AA5B5A">
        <w:rPr>
          <w:rFonts w:cs="Arial"/>
        </w:rPr>
        <w:t xml:space="preserve">) </w:t>
      </w:r>
      <w:proofErr w:type="gramStart"/>
      <w:r w:rsidRPr="00AA5B5A">
        <w:rPr>
          <w:rFonts w:cs="Arial"/>
        </w:rPr>
        <w:t>is recommended</w:t>
      </w:r>
      <w:proofErr w:type="gramEnd"/>
      <w:r w:rsidRPr="00AA5B5A">
        <w:rPr>
          <w:rFonts w:cs="Arial"/>
        </w:rPr>
        <w:t xml:space="preserve"> to protect for </w:t>
      </w:r>
      <w:r w:rsidR="00754D53">
        <w:rPr>
          <w:rFonts w:cs="Arial"/>
        </w:rPr>
        <w:t>cancer</w:t>
      </w:r>
      <w:r w:rsidR="00EB67D1">
        <w:rPr>
          <w:rFonts w:cs="Arial"/>
        </w:rPr>
        <w:t>s</w:t>
      </w:r>
      <w:r w:rsidR="00D16DCF">
        <w:rPr>
          <w:rFonts w:cs="Arial"/>
        </w:rPr>
        <w:t xml:space="preserve"> </w:t>
      </w:r>
      <w:r w:rsidR="00754D53">
        <w:rPr>
          <w:rFonts w:cs="Arial"/>
        </w:rPr>
        <w:t xml:space="preserve">in exposed workers. It is also considered </w:t>
      </w:r>
      <w:proofErr w:type="gramStart"/>
      <w:r w:rsidR="00754D53">
        <w:rPr>
          <w:rFonts w:cs="Arial"/>
        </w:rPr>
        <w:t>to be protective</w:t>
      </w:r>
      <w:proofErr w:type="gramEnd"/>
      <w:r w:rsidR="00754D53">
        <w:rPr>
          <w:rFonts w:cs="Arial"/>
        </w:rPr>
        <w:t xml:space="preserve"> for acute effects including</w:t>
      </w:r>
      <w:r w:rsidRPr="00AA5B5A">
        <w:rPr>
          <w:rFonts w:cs="Arial"/>
        </w:rPr>
        <w:t xml:space="preserve"> </w:t>
      </w:r>
      <w:proofErr w:type="spellStart"/>
      <w:r w:rsidRPr="00AA5B5A">
        <w:rPr>
          <w:rFonts w:cs="Arial"/>
        </w:rPr>
        <w:t>methemoglobinemia</w:t>
      </w:r>
      <w:proofErr w:type="spellEnd"/>
      <w:r w:rsidRPr="00AA5B5A">
        <w:rPr>
          <w:rFonts w:cs="Arial"/>
        </w:rPr>
        <w:t xml:space="preserve"> and anoxi</w:t>
      </w:r>
      <w:r w:rsidR="00352B8B">
        <w:rPr>
          <w:rFonts w:cs="Arial"/>
        </w:rPr>
        <w:t>c</w:t>
      </w:r>
      <w:r w:rsidRPr="00AA5B5A">
        <w:rPr>
          <w:rFonts w:cs="Arial"/>
        </w:rPr>
        <w:t xml:space="preserve"> effects in exposed workers. </w:t>
      </w:r>
    </w:p>
    <w:p w14:paraId="2F8A0D6C" w14:textId="77777777" w:rsidR="00AA5B5A" w:rsidRPr="004C23F4" w:rsidRDefault="00AA5B5A" w:rsidP="00AA5B5A">
      <w:pPr>
        <w:rPr>
          <w:rFonts w:cs="Arial"/>
        </w:rPr>
      </w:pPr>
      <w:r w:rsidRPr="00AA5B5A">
        <w:rPr>
          <w:rFonts w:cs="Arial"/>
        </w:rPr>
        <w:t>Insufficient data exists to perform a risk-based assessment</w:t>
      </w:r>
      <w:r w:rsidR="00754D53">
        <w:rPr>
          <w:rFonts w:cs="Arial"/>
        </w:rPr>
        <w:t>.</w:t>
      </w:r>
      <w:r w:rsidRPr="00AA5B5A">
        <w:rPr>
          <w:rFonts w:cs="Arial"/>
        </w:rPr>
        <w:t xml:space="preserve"> </w:t>
      </w:r>
      <w:r w:rsidR="00754D53">
        <w:rPr>
          <w:rFonts w:cs="Arial"/>
        </w:rPr>
        <w:t>I</w:t>
      </w:r>
      <w:r w:rsidRPr="00AA5B5A">
        <w:rPr>
          <w:rFonts w:cs="Arial"/>
        </w:rPr>
        <w:t xml:space="preserve">t </w:t>
      </w:r>
      <w:proofErr w:type="gramStart"/>
      <w:r w:rsidRPr="00AA5B5A">
        <w:rPr>
          <w:rFonts w:cs="Arial"/>
        </w:rPr>
        <w:t>is recommended</w:t>
      </w:r>
      <w:proofErr w:type="gramEnd"/>
      <w:r w:rsidRPr="00AA5B5A">
        <w:rPr>
          <w:rFonts w:cs="Arial"/>
        </w:rPr>
        <w:t xml:space="preserve"> that a priority review </w:t>
      </w:r>
      <w:r w:rsidR="00754D53">
        <w:rPr>
          <w:rFonts w:cs="Arial"/>
        </w:rPr>
        <w:t xml:space="preserve">of additional data sources </w:t>
      </w:r>
      <w:r w:rsidRPr="00AA5B5A">
        <w:rPr>
          <w:rFonts w:cs="Arial"/>
        </w:rPr>
        <w:t xml:space="preserve">be undertaken at the next scheduled review. </w:t>
      </w:r>
    </w:p>
    <w:p w14:paraId="5E31BCC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5230DC2" w14:textId="1B8B20EB" w:rsidR="00C56B39" w:rsidRPr="004C1942" w:rsidRDefault="00AA5B5A" w:rsidP="00CB1FD2">
      <w:proofErr w:type="spellStart"/>
      <w:r w:rsidRPr="00FC5B39">
        <w:rPr>
          <w:rFonts w:cs="Arial"/>
          <w:shd w:val="clear" w:color="auto" w:fill="FFFFFF"/>
        </w:rPr>
        <w:t>Anisidine</w:t>
      </w:r>
      <w:proofErr w:type="spellEnd"/>
      <w:r w:rsidRPr="00FC5B39">
        <w:rPr>
          <w:rFonts w:cs="Arial"/>
          <w:shd w:val="clear" w:color="auto" w:fill="FFFFFF"/>
        </w:rPr>
        <w:t xml:space="preserve"> is used as an intermediate in </w:t>
      </w:r>
      <w:proofErr w:type="gramStart"/>
      <w:r w:rsidRPr="00FC5B39">
        <w:rPr>
          <w:rFonts w:cs="Arial"/>
          <w:shd w:val="clear" w:color="auto" w:fill="FFFFFF"/>
        </w:rPr>
        <w:t>Azo</w:t>
      </w:r>
      <w:proofErr w:type="gramEnd"/>
      <w:r w:rsidRPr="00FC5B39">
        <w:rPr>
          <w:rFonts w:cs="Arial"/>
          <w:shd w:val="clear" w:color="auto" w:fill="FFFFFF"/>
        </w:rPr>
        <w:t xml:space="preserve"> dyestuff production and in laboratory testing.</w:t>
      </w:r>
      <w:r w:rsidRPr="00F773DE">
        <w:t xml:space="preserve"> </w:t>
      </w:r>
      <w:r w:rsidR="00A929A9" w:rsidRPr="00AA5B5A">
        <w:t>The evidence deri</w:t>
      </w:r>
      <w:r w:rsidRPr="00AA5B5A">
        <w:t>ved from animal studies suggest</w:t>
      </w:r>
      <w:r w:rsidR="001C37FD">
        <w:t>s</w:t>
      </w:r>
      <w:r w:rsidR="00A929A9" w:rsidRPr="00AA5B5A">
        <w:t xml:space="preserve"> that </w:t>
      </w:r>
      <w:r w:rsidR="000E58BE" w:rsidRPr="00AA5B5A">
        <w:rPr>
          <w:i/>
        </w:rPr>
        <w:t>o</w:t>
      </w:r>
      <w:r w:rsidR="000E58BE" w:rsidRPr="00AA5B5A">
        <w:t>-</w:t>
      </w:r>
      <w:proofErr w:type="spellStart"/>
      <w:r w:rsidR="000E58BE" w:rsidRPr="00AA5B5A">
        <w:t>anisidine</w:t>
      </w:r>
      <w:proofErr w:type="spellEnd"/>
      <w:r w:rsidR="000E58BE" w:rsidRPr="00AA5B5A">
        <w:t xml:space="preserve">, </w:t>
      </w:r>
      <w:r w:rsidR="0042153F" w:rsidRPr="00AA5B5A">
        <w:t xml:space="preserve">and </w:t>
      </w:r>
      <w:r w:rsidR="000E58BE" w:rsidRPr="00AA5B5A">
        <w:rPr>
          <w:i/>
        </w:rPr>
        <w:t>p</w:t>
      </w:r>
      <w:r w:rsidR="000E58BE" w:rsidRPr="00AA5B5A">
        <w:t>-</w:t>
      </w:r>
      <w:proofErr w:type="spellStart"/>
      <w:r w:rsidR="000E58BE" w:rsidRPr="00AA5B5A">
        <w:t>anisidine</w:t>
      </w:r>
      <w:proofErr w:type="spellEnd"/>
      <w:r w:rsidR="000E58BE" w:rsidRPr="00AA5B5A">
        <w:t xml:space="preserve"> </w:t>
      </w:r>
      <w:r w:rsidR="0042153F" w:rsidRPr="00AA5B5A">
        <w:t>have</w:t>
      </w:r>
      <w:r w:rsidR="000E58BE" w:rsidRPr="00AA5B5A">
        <w:t xml:space="preserve"> carcinogenic </w:t>
      </w:r>
      <w:r w:rsidR="00A929A9" w:rsidRPr="00AA5B5A">
        <w:t>potential for humans</w:t>
      </w:r>
      <w:r w:rsidR="001C4428" w:rsidRPr="00AA5B5A">
        <w:t>, with the</w:t>
      </w:r>
      <w:r w:rsidR="001C4428" w:rsidRPr="004C1942">
        <w:t xml:space="preserve"> evidence stronger for </w:t>
      </w:r>
      <w:r w:rsidR="001C4428" w:rsidRPr="004C1942">
        <w:rPr>
          <w:i/>
        </w:rPr>
        <w:t>o</w:t>
      </w:r>
      <w:r w:rsidR="001C4428" w:rsidRPr="004C1942">
        <w:t>-</w:t>
      </w:r>
      <w:proofErr w:type="spellStart"/>
      <w:r w:rsidR="001C4428" w:rsidRPr="004C1942">
        <w:t>anisidine</w:t>
      </w:r>
      <w:proofErr w:type="spellEnd"/>
      <w:r>
        <w:t xml:space="preserve">. </w:t>
      </w:r>
      <w:r w:rsidR="004C1942" w:rsidRPr="004C1942">
        <w:rPr>
          <w:rFonts w:cs="Arial"/>
        </w:rPr>
        <w:t>The mode of action f</w:t>
      </w:r>
      <w:r w:rsidR="00754D53">
        <w:rPr>
          <w:rFonts w:cs="Arial"/>
        </w:rPr>
        <w:t>or carcinogenicity is</w:t>
      </w:r>
      <w:r w:rsidR="004C1942" w:rsidRPr="004C1942">
        <w:rPr>
          <w:rFonts w:cs="Arial"/>
        </w:rPr>
        <w:t xml:space="preserve"> genotoxic </w:t>
      </w:r>
      <w:r w:rsidR="00191A1D" w:rsidRPr="004C1942">
        <w:t>(</w:t>
      </w:r>
      <w:r w:rsidR="00A5194F" w:rsidRPr="004C1942">
        <w:t>ACGHIH, 2018, DFG, 2005; SCOEL, 2010)</w:t>
      </w:r>
      <w:r w:rsidR="004C1942" w:rsidRPr="004C1942">
        <w:t>.</w:t>
      </w:r>
    </w:p>
    <w:p w14:paraId="1CD3968F" w14:textId="4CCC6E3F" w:rsidR="000E58BE" w:rsidRPr="00C56B39" w:rsidRDefault="001C37FD" w:rsidP="00C56B39">
      <w:pPr>
        <w:pStyle w:val="ListBullet"/>
        <w:numPr>
          <w:ilvl w:val="0"/>
          <w:numId w:val="0"/>
        </w:numPr>
      </w:pPr>
      <w:proofErr w:type="gramStart"/>
      <w:r>
        <w:t>O</w:t>
      </w:r>
      <w:r w:rsidR="004C1942" w:rsidRPr="004C1942">
        <w:t>-</w:t>
      </w:r>
      <w:proofErr w:type="spellStart"/>
      <w:r w:rsidR="004C1942" w:rsidRPr="004C1942">
        <w:t>anisidine</w:t>
      </w:r>
      <w:proofErr w:type="spellEnd"/>
      <w:r w:rsidR="004C1942" w:rsidRPr="004C1942">
        <w:t>,</w:t>
      </w:r>
      <w:proofErr w:type="gramEnd"/>
      <w:r w:rsidR="004C1942" w:rsidRPr="004C1942">
        <w:t xml:space="preserve"> and p-</w:t>
      </w:r>
      <w:proofErr w:type="spellStart"/>
      <w:r w:rsidR="004C1942" w:rsidRPr="004C1942">
        <w:t>anisidine</w:t>
      </w:r>
      <w:proofErr w:type="spellEnd"/>
      <w:r w:rsidR="004C1942" w:rsidRPr="004C1942">
        <w:t xml:space="preserve"> </w:t>
      </w:r>
      <w:r w:rsidR="004C1942" w:rsidRPr="00C56B39">
        <w:t>are</w:t>
      </w:r>
      <w:r w:rsidR="00754D53">
        <w:t xml:space="preserve"> characterised as</w:t>
      </w:r>
      <w:r w:rsidR="000E58BE" w:rsidRPr="004C1942">
        <w:t xml:space="preserve"> non-t</w:t>
      </w:r>
      <w:r w:rsidR="00AA5B5A">
        <w:t xml:space="preserve">hreshold </w:t>
      </w:r>
      <w:r w:rsidR="00754D53">
        <w:t xml:space="preserve">based </w:t>
      </w:r>
      <w:r w:rsidR="00AA5B5A">
        <w:t>genotoxic carcinogen</w:t>
      </w:r>
      <w:r w:rsidR="00754D53">
        <w:t>s</w:t>
      </w:r>
      <w:r w:rsidR="00AA5B5A">
        <w:t xml:space="preserve">. </w:t>
      </w:r>
      <w:r w:rsidR="000E58BE" w:rsidRPr="004C1942">
        <w:t xml:space="preserve">Currently, no suitable exposure-response functions are available to </w:t>
      </w:r>
      <w:r w:rsidR="00754D53">
        <w:t>calculate</w:t>
      </w:r>
      <w:r w:rsidR="000E58BE" w:rsidRPr="004C1942">
        <w:t xml:space="preserve"> a risk-based value in relation to cancer </w:t>
      </w:r>
      <w:r w:rsidR="00754D53">
        <w:t xml:space="preserve">as the </w:t>
      </w:r>
      <w:r w:rsidR="000E58BE" w:rsidRPr="004C1942">
        <w:t>critical effect</w:t>
      </w:r>
      <w:r w:rsidR="00754D53">
        <w:t>.</w:t>
      </w:r>
      <w:r w:rsidR="000E58BE" w:rsidRPr="004C1942">
        <w:t xml:space="preserve"> </w:t>
      </w:r>
      <w:r w:rsidR="00754D53">
        <w:t>T</w:t>
      </w:r>
      <w:r w:rsidR="000E58BE" w:rsidRPr="004C1942">
        <w:t>herefore</w:t>
      </w:r>
      <w:r w:rsidR="00754D53">
        <w:t>,</w:t>
      </w:r>
      <w:r w:rsidR="000E58BE" w:rsidRPr="004C1942">
        <w:t xml:space="preserve"> an int</w:t>
      </w:r>
      <w:r w:rsidR="00AA5B5A">
        <w:t xml:space="preserve">erim TWA </w:t>
      </w:r>
      <w:proofErr w:type="gramStart"/>
      <w:r w:rsidR="00EB67D1">
        <w:t>is</w:t>
      </w:r>
      <w:r w:rsidR="00AA5B5A">
        <w:t xml:space="preserve"> recommended</w:t>
      </w:r>
      <w:proofErr w:type="gramEnd"/>
      <w:r w:rsidR="00AA5B5A">
        <w:t xml:space="preserve">. </w:t>
      </w:r>
      <w:r w:rsidR="000E58BE" w:rsidRPr="004C1942">
        <w:t xml:space="preserve">The interim TWA </w:t>
      </w:r>
      <w:proofErr w:type="gramStart"/>
      <w:r w:rsidR="000E58BE" w:rsidRPr="007D1015">
        <w:t>was derived</w:t>
      </w:r>
      <w:proofErr w:type="gramEnd"/>
      <w:r w:rsidR="000E58BE" w:rsidRPr="007D1015">
        <w:t xml:space="preserve"> based</w:t>
      </w:r>
      <w:r w:rsidR="000E58BE" w:rsidRPr="004C1942">
        <w:t xml:space="preserve"> on </w:t>
      </w:r>
      <w:r w:rsidR="00754D53">
        <w:t>applying</w:t>
      </w:r>
      <w:r w:rsidR="000E58BE" w:rsidRPr="004C1942">
        <w:t xml:space="preserve"> an uncertainty factor of 10 to the current TWA </w:t>
      </w:r>
      <w:r w:rsidR="00730167">
        <w:t xml:space="preserve">to </w:t>
      </w:r>
      <w:r w:rsidR="000E58BE" w:rsidRPr="004C1942">
        <w:t xml:space="preserve">account for non-threshold effects. The resulting </w:t>
      </w:r>
      <w:r w:rsidR="00AD16AC">
        <w:t>TWA</w:t>
      </w:r>
      <w:r w:rsidR="000E58BE" w:rsidRPr="004C1942">
        <w:t xml:space="preserve"> of 0.</w:t>
      </w:r>
      <w:r w:rsidR="004C1942" w:rsidRPr="00C56B39">
        <w:t>0</w:t>
      </w:r>
      <w:r w:rsidR="000E58BE" w:rsidRPr="004C1942">
        <w:t xml:space="preserve">1 ppm is </w:t>
      </w:r>
      <w:r w:rsidR="00EB67D1">
        <w:t xml:space="preserve">associated with a minimal cancer risk and </w:t>
      </w:r>
      <w:proofErr w:type="gramStart"/>
      <w:r w:rsidR="00EB67D1">
        <w:t xml:space="preserve">is </w:t>
      </w:r>
      <w:r w:rsidR="000E58BE" w:rsidRPr="004C1942">
        <w:t>considered</w:t>
      </w:r>
      <w:proofErr w:type="gramEnd"/>
      <w:r w:rsidR="000E58BE" w:rsidRPr="004C1942">
        <w:t xml:space="preserve"> low enough to </w:t>
      </w:r>
      <w:r w:rsidR="00754D53">
        <w:t>protect</w:t>
      </w:r>
      <w:r w:rsidR="000E58BE" w:rsidRPr="004C1942">
        <w:t xml:space="preserve"> for acute exposure effects</w:t>
      </w:r>
      <w:r w:rsidR="00754D53">
        <w:t xml:space="preserve"> including </w:t>
      </w:r>
      <w:proofErr w:type="spellStart"/>
      <w:r w:rsidR="00754D53" w:rsidRPr="00754D53">
        <w:t>methemoglobinemia</w:t>
      </w:r>
      <w:proofErr w:type="spellEnd"/>
      <w:r w:rsidR="00754D53" w:rsidRPr="00754D53">
        <w:t xml:space="preserve"> and anoxia</w:t>
      </w:r>
      <w:r w:rsidR="000E58BE" w:rsidRPr="004C1942">
        <w:t>.</w:t>
      </w:r>
      <w:r w:rsidR="000E58BE" w:rsidRPr="000E58BE">
        <w:t xml:space="preserve"> </w:t>
      </w:r>
    </w:p>
    <w:p w14:paraId="7C439F92" w14:textId="77777777" w:rsidR="004529F0" w:rsidRPr="004C23F4" w:rsidRDefault="004529F0" w:rsidP="000E58BE">
      <w:pPr>
        <w:pStyle w:val="Heading2"/>
      </w:pPr>
      <w:r>
        <w:lastRenderedPageBreak/>
        <w:t>Recommendation for notations</w:t>
      </w:r>
    </w:p>
    <w:p w14:paraId="494DAA03" w14:textId="58D97A74" w:rsidR="007412E0" w:rsidRDefault="007412E0" w:rsidP="007412E0">
      <w:pPr>
        <w:rPr>
          <w:rFonts w:cs="Arial"/>
        </w:rPr>
      </w:pPr>
      <w:proofErr w:type="gramStart"/>
      <w:r w:rsidRPr="007412E0">
        <w:rPr>
          <w:rFonts w:cs="Arial"/>
          <w:i/>
        </w:rPr>
        <w:t>o</w:t>
      </w:r>
      <w:r>
        <w:rPr>
          <w:rFonts w:cs="Arial"/>
        </w:rPr>
        <w:t>-</w:t>
      </w:r>
      <w:proofErr w:type="spellStart"/>
      <w:r>
        <w:rPr>
          <w:rFonts w:cs="Arial"/>
        </w:rPr>
        <w:t>A</w:t>
      </w:r>
      <w:r w:rsidRPr="007412E0">
        <w:rPr>
          <w:rFonts w:cs="Arial"/>
        </w:rPr>
        <w:t>nisidine</w:t>
      </w:r>
      <w:proofErr w:type="spellEnd"/>
      <w:proofErr w:type="gramEnd"/>
      <w:r w:rsidRPr="007412E0">
        <w:rPr>
          <w:rFonts w:cs="Arial"/>
        </w:rPr>
        <w:t xml:space="preserve"> </w:t>
      </w:r>
      <w:r w:rsidR="00754D53">
        <w:rPr>
          <w:rFonts w:cs="Arial"/>
        </w:rPr>
        <w:t>is</w:t>
      </w:r>
      <w:r w:rsidRPr="007412E0">
        <w:rPr>
          <w:rFonts w:cs="Arial"/>
        </w:rPr>
        <w:t xml:space="preserve"> classified as a category 1</w:t>
      </w:r>
      <w:r>
        <w:rPr>
          <w:rFonts w:cs="Arial"/>
        </w:rPr>
        <w:t>B</w:t>
      </w:r>
      <w:r w:rsidRPr="007412E0">
        <w:rPr>
          <w:rFonts w:cs="Arial"/>
        </w:rPr>
        <w:t xml:space="preserve"> carcinogen according to the Globally Harmoni</w:t>
      </w:r>
      <w:r w:rsidR="00CB1FD2">
        <w:rPr>
          <w:rFonts w:cs="Arial"/>
        </w:rPr>
        <w:t>z</w:t>
      </w:r>
      <w:r w:rsidRPr="007412E0">
        <w:rPr>
          <w:rFonts w:cs="Arial"/>
        </w:rPr>
        <w:t xml:space="preserve">ed System of Classification and Labelling on Chemicals (GHS). </w:t>
      </w:r>
    </w:p>
    <w:p w14:paraId="4380063D" w14:textId="77777777" w:rsidR="00EC1512" w:rsidRPr="007412E0" w:rsidRDefault="00EC1512" w:rsidP="007412E0">
      <w:pPr>
        <w:rPr>
          <w:rFonts w:cs="Arial"/>
        </w:rPr>
      </w:pPr>
      <w:proofErr w:type="gramStart"/>
      <w:r>
        <w:rPr>
          <w:rFonts w:cs="Arial"/>
          <w:i/>
        </w:rPr>
        <w:t>p</w:t>
      </w:r>
      <w:r>
        <w:rPr>
          <w:rFonts w:cs="Arial"/>
        </w:rPr>
        <w:t>-</w:t>
      </w:r>
      <w:proofErr w:type="spellStart"/>
      <w:r>
        <w:rPr>
          <w:rFonts w:cs="Arial"/>
        </w:rPr>
        <w:t>A</w:t>
      </w:r>
      <w:r w:rsidRPr="007412E0">
        <w:rPr>
          <w:rFonts w:cs="Arial"/>
        </w:rPr>
        <w:t>nisidine</w:t>
      </w:r>
      <w:proofErr w:type="spellEnd"/>
      <w:proofErr w:type="gramEnd"/>
      <w:r>
        <w:rPr>
          <w:rFonts w:cs="Arial"/>
        </w:rPr>
        <w:t xml:space="preserve"> has demonstrated carcinogenicity in animals with unknown potential in humans. A review of the literature </w:t>
      </w:r>
      <w:proofErr w:type="gramStart"/>
      <w:r>
        <w:rPr>
          <w:rFonts w:cs="Arial"/>
        </w:rPr>
        <w:t>is recommended</w:t>
      </w:r>
      <w:proofErr w:type="gramEnd"/>
      <w:r>
        <w:rPr>
          <w:rFonts w:cs="Arial"/>
        </w:rPr>
        <w:t xml:space="preserve"> to establish a classification for carcinogenicity. </w:t>
      </w:r>
    </w:p>
    <w:p w14:paraId="217C2123" w14:textId="77777777" w:rsidR="007412E0" w:rsidRDefault="007412E0" w:rsidP="007412E0">
      <w:pPr>
        <w:rPr>
          <w:rFonts w:cs="Arial"/>
        </w:rPr>
      </w:pPr>
      <w:proofErr w:type="spellStart"/>
      <w:r>
        <w:rPr>
          <w:rFonts w:cs="Arial"/>
        </w:rPr>
        <w:t>A</w:t>
      </w:r>
      <w:r w:rsidRPr="007412E0">
        <w:rPr>
          <w:rFonts w:cs="Arial"/>
        </w:rPr>
        <w:t>nisidine</w:t>
      </w:r>
      <w:proofErr w:type="spellEnd"/>
      <w:r w:rsidRPr="007412E0">
        <w:rPr>
          <w:rFonts w:cs="Arial"/>
        </w:rPr>
        <w:t xml:space="preserve"> </w:t>
      </w:r>
      <w:r w:rsidR="007F032A">
        <w:rPr>
          <w:rFonts w:cs="Arial"/>
        </w:rPr>
        <w:t>(and isomers)</w:t>
      </w:r>
      <w:r w:rsidR="00EC1512" w:rsidRPr="007412E0">
        <w:rPr>
          <w:rFonts w:cs="Arial"/>
        </w:rPr>
        <w:t xml:space="preserve"> </w:t>
      </w:r>
      <w:proofErr w:type="gramStart"/>
      <w:r w:rsidR="00754D53">
        <w:rPr>
          <w:rFonts w:cs="Arial"/>
        </w:rPr>
        <w:t>are not classified</w:t>
      </w:r>
      <w:proofErr w:type="gramEnd"/>
      <w:r w:rsidR="00754D53">
        <w:rPr>
          <w:rFonts w:cs="Arial"/>
        </w:rPr>
        <w:t xml:space="preserve"> as</w:t>
      </w:r>
      <w:r w:rsidRPr="007412E0">
        <w:rPr>
          <w:rFonts w:cs="Arial"/>
        </w:rPr>
        <w:t xml:space="preserve"> skin </w:t>
      </w:r>
      <w:r w:rsidR="00754D53">
        <w:rPr>
          <w:rFonts w:cs="Arial"/>
        </w:rPr>
        <w:t xml:space="preserve">sensitisers </w:t>
      </w:r>
      <w:r>
        <w:rPr>
          <w:rFonts w:cs="Arial"/>
        </w:rPr>
        <w:t xml:space="preserve">or respiratory </w:t>
      </w:r>
      <w:r w:rsidRPr="007412E0">
        <w:rPr>
          <w:rFonts w:cs="Arial"/>
        </w:rPr>
        <w:t>sensitiser</w:t>
      </w:r>
      <w:r w:rsidR="00754D53">
        <w:rPr>
          <w:rFonts w:cs="Arial"/>
        </w:rPr>
        <w:t>s</w:t>
      </w:r>
      <w:r w:rsidRPr="007412E0">
        <w:rPr>
          <w:rFonts w:cs="Arial"/>
        </w:rPr>
        <w:t xml:space="preserve"> according to the GHS. </w:t>
      </w:r>
    </w:p>
    <w:p w14:paraId="3210006D" w14:textId="6DCA581D" w:rsidR="007412E0" w:rsidRPr="007412E0" w:rsidRDefault="007412E0" w:rsidP="007412E0">
      <w:pPr>
        <w:rPr>
          <w:rFonts w:cs="Arial"/>
        </w:rPr>
      </w:pPr>
      <w:r w:rsidRPr="007412E0">
        <w:rPr>
          <w:rFonts w:cs="Arial"/>
        </w:rPr>
        <w:t xml:space="preserve">A skin notation </w:t>
      </w:r>
      <w:proofErr w:type="gramStart"/>
      <w:r w:rsidR="00754D53">
        <w:rPr>
          <w:rFonts w:cs="Arial"/>
        </w:rPr>
        <w:t>is</w:t>
      </w:r>
      <w:r w:rsidRPr="007412E0">
        <w:rPr>
          <w:rFonts w:cs="Arial"/>
        </w:rPr>
        <w:t xml:space="preserve"> </w:t>
      </w:r>
      <w:r w:rsidR="00191A1D">
        <w:rPr>
          <w:rFonts w:cs="Arial"/>
        </w:rPr>
        <w:t>recommended</w:t>
      </w:r>
      <w:proofErr w:type="gramEnd"/>
      <w:r w:rsidRPr="007412E0">
        <w:rPr>
          <w:rFonts w:cs="Arial"/>
        </w:rPr>
        <w:t xml:space="preserve"> based on evidence </w:t>
      </w:r>
      <w:r w:rsidR="00191A1D">
        <w:rPr>
          <w:rFonts w:cs="Arial"/>
        </w:rPr>
        <w:t>suggesting</w:t>
      </w:r>
      <w:r w:rsidR="003636C3">
        <w:rPr>
          <w:rFonts w:cs="Arial"/>
        </w:rPr>
        <w:t xml:space="preserve"> potential dermal absorption and adverse systemic effects in </w:t>
      </w:r>
      <w:r w:rsidR="00A02049">
        <w:rPr>
          <w:rFonts w:cs="Arial"/>
        </w:rPr>
        <w:t>humans</w:t>
      </w:r>
      <w:r w:rsidR="003636C3">
        <w:rPr>
          <w:rFonts w:cs="Arial"/>
        </w:rPr>
        <w:t>.</w:t>
      </w:r>
    </w:p>
    <w:p w14:paraId="2AED1EBB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5C0AA3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B4E3E3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9F27DD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3B4CB9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1A447D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6D2D78E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17D8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17D86">
                  <w:t xml:space="preserve">TWA: 0.1 ppm </w:t>
                </w:r>
                <w:r w:rsidR="00615B0E">
                  <w:t>(</w:t>
                </w:r>
                <w:r w:rsidR="00917D86">
                  <w:t>0.5 mg/m</w:t>
                </w:r>
                <w:r w:rsidR="00917D86">
                  <w:rPr>
                    <w:vertAlign w:val="superscript"/>
                  </w:rPr>
                  <w:t>3</w:t>
                </w:r>
                <w:r w:rsidR="00615B0E">
                  <w:t>)</w:t>
                </w:r>
              </w:sdtContent>
            </w:sdt>
          </w:p>
        </w:tc>
      </w:tr>
      <w:tr w:rsidR="00C978F0" w:rsidRPr="00DA352E" w14:paraId="508656D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63DF9C" w14:textId="77777777" w:rsidR="00C978F0" w:rsidRPr="00A966F8" w:rsidRDefault="00A966F8" w:rsidP="003365A5">
            <w:pPr>
              <w:pStyle w:val="Tabletextprimarysource"/>
              <w:rPr>
                <w:i/>
              </w:rPr>
            </w:pPr>
            <w:r>
              <w:t xml:space="preserve">Applies to </w:t>
            </w:r>
            <w:r>
              <w:rPr>
                <w:i/>
              </w:rPr>
              <w:t>o-</w:t>
            </w:r>
            <w:r w:rsidR="00917D86">
              <w:t xml:space="preserve"> </w:t>
            </w:r>
            <w:r>
              <w:t xml:space="preserve">and </w:t>
            </w:r>
            <w:r>
              <w:rPr>
                <w:i/>
              </w:rPr>
              <w:t>p-</w:t>
            </w:r>
            <w:r w:rsidR="002762EA">
              <w:t xml:space="preserve"> isomers. </w:t>
            </w:r>
          </w:p>
        </w:tc>
      </w:tr>
      <w:tr w:rsidR="00C978F0" w:rsidRPr="00DA352E" w14:paraId="37595EC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BE308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17D8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419632442"/>
                    <w:placeholder>
                      <w:docPart w:val="4F65D602DA1241ED8E9AEB86C32E5B27"/>
                    </w:placeholder>
                  </w:sdtPr>
                  <w:sdtEndPr/>
                  <w:sdtContent>
                    <w:r w:rsidR="00615B0E">
                      <w:t>TLV-TWA: 0.1 ppm (0.5 mg/m</w:t>
                    </w:r>
                    <w:r w:rsidR="00615B0E">
                      <w:rPr>
                        <w:vertAlign w:val="superscript"/>
                      </w:rPr>
                      <w:t>3</w:t>
                    </w:r>
                    <w:r w:rsidR="00615B0E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728A717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A95ABB1" w14:textId="77777777" w:rsidR="00C978F0" w:rsidRDefault="00917D86" w:rsidP="00615B0E">
            <w:pPr>
              <w:pStyle w:val="Tabletextprimarysource"/>
            </w:pPr>
            <w:r>
              <w:t xml:space="preserve">TLV-TWA recommended for the </w:t>
            </w:r>
            <w:r w:rsidRPr="00E539FC">
              <w:rPr>
                <w:i/>
              </w:rPr>
              <w:t>o</w:t>
            </w:r>
            <w:r>
              <w:t xml:space="preserve">- and </w:t>
            </w:r>
            <w:r w:rsidRPr="00E539FC">
              <w:rPr>
                <w:i/>
              </w:rPr>
              <w:t>p</w:t>
            </w:r>
            <w:r w:rsidR="00E539FC">
              <w:t>-</w:t>
            </w:r>
            <w:r>
              <w:t xml:space="preserve"> isomers </w:t>
            </w:r>
            <w:r w:rsidR="00615B0E">
              <w:t xml:space="preserve">to minimise the risk of </w:t>
            </w:r>
            <w:proofErr w:type="spellStart"/>
            <w:r w:rsidR="00615B0E">
              <w:t>methemoglobinemia</w:t>
            </w:r>
            <w:proofErr w:type="spellEnd"/>
            <w:r w:rsidR="00615B0E">
              <w:t xml:space="preserve"> and anoxia in exposed workers.</w:t>
            </w:r>
          </w:p>
          <w:p w14:paraId="75610E1D" w14:textId="77777777" w:rsidR="00615B0E" w:rsidRDefault="00615B0E" w:rsidP="00615B0E">
            <w:pPr>
              <w:pStyle w:val="Tabletextprimarysource"/>
            </w:pPr>
            <w:r>
              <w:t>Summary of data:</w:t>
            </w:r>
          </w:p>
          <w:p w14:paraId="2767600E" w14:textId="77777777" w:rsidR="00615B0E" w:rsidRDefault="00615B0E" w:rsidP="00615B0E">
            <w:pPr>
              <w:pStyle w:val="Tabletextprimarysource"/>
            </w:pPr>
            <w:r>
              <w:t>Human data:</w:t>
            </w:r>
          </w:p>
          <w:p w14:paraId="43DCB3C1" w14:textId="77777777" w:rsidR="00615B0E" w:rsidRDefault="00A83A47" w:rsidP="003368E0">
            <w:pPr>
              <w:pStyle w:val="ListBullet"/>
              <w:ind w:left="720"/>
            </w:pPr>
            <w:r>
              <w:t xml:space="preserve">Exposure </w:t>
            </w:r>
            <w:r w:rsidR="002762EA">
              <w:t>0.4 ppm (</w:t>
            </w:r>
            <w:r w:rsidR="00754D53">
              <w:t xml:space="preserve">airborne; </w:t>
            </w:r>
            <w:r w:rsidR="002762EA">
              <w:t xml:space="preserve">3.5 h/d for 6 </w:t>
            </w:r>
            <w:proofErr w:type="spellStart"/>
            <w:r w:rsidR="002762EA" w:rsidRPr="00B05D8C">
              <w:t>mo</w:t>
            </w:r>
            <w:proofErr w:type="spellEnd"/>
            <w:r w:rsidR="002762EA" w:rsidRPr="00B05D8C">
              <w:t>)</w:t>
            </w:r>
            <w:r w:rsidR="007565E2">
              <w:t xml:space="preserve"> </w:t>
            </w:r>
            <w:r w:rsidR="001C77F7">
              <w:t>produced</w:t>
            </w:r>
            <w:r w:rsidR="007565E2">
              <w:t xml:space="preserve"> no anaemia or chronic poisoning</w:t>
            </w:r>
            <w:r>
              <w:t xml:space="preserve"> in workers</w:t>
            </w:r>
            <w:r w:rsidR="00754D53">
              <w:t>;</w:t>
            </w:r>
            <w:r w:rsidR="00797842">
              <w:t xml:space="preserve"> headache and vertigo reported</w:t>
            </w:r>
          </w:p>
          <w:p w14:paraId="04E8D593" w14:textId="77777777" w:rsidR="00A83A47" w:rsidRDefault="00A83A47" w:rsidP="003368E0">
            <w:pPr>
              <w:pStyle w:val="ListBullet"/>
              <w:ind w:left="720"/>
            </w:pPr>
            <w:r>
              <w:t xml:space="preserve">Reported a previously recommended </w:t>
            </w:r>
            <w:proofErr w:type="gramStart"/>
            <w:r w:rsidR="004C1942">
              <w:t>10 ppm</w:t>
            </w:r>
            <w:proofErr w:type="gramEnd"/>
            <w:r w:rsidR="004C1942">
              <w:t xml:space="preserve"> </w:t>
            </w:r>
            <w:r w:rsidR="002762EA">
              <w:t xml:space="preserve">OEL </w:t>
            </w:r>
            <w:r w:rsidR="004C1942">
              <w:t xml:space="preserve">for </w:t>
            </w:r>
            <w:proofErr w:type="spellStart"/>
            <w:r w:rsidR="004C1942">
              <w:t>anisidine</w:t>
            </w:r>
            <w:proofErr w:type="spellEnd"/>
            <w:r w:rsidR="004C1942">
              <w:t xml:space="preserve"> and isomers</w:t>
            </w:r>
            <w:r w:rsidR="00F40F35">
              <w:t xml:space="preserve"> for the prevention of cyanosis</w:t>
            </w:r>
            <w:r w:rsidR="00754D53">
              <w:t>.</w:t>
            </w:r>
          </w:p>
          <w:p w14:paraId="73560F70" w14:textId="77777777" w:rsidR="00754D53" w:rsidRDefault="00754D53" w:rsidP="00A83A47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479B2DE1" w14:textId="77777777" w:rsidR="00A83A47" w:rsidRDefault="00A83A47" w:rsidP="00A83A47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273BE3B0" w14:textId="77777777" w:rsidR="008A7B12" w:rsidRDefault="003636C3" w:rsidP="003368E0">
            <w:pPr>
              <w:pStyle w:val="ListBullet"/>
              <w:ind w:left="720"/>
            </w:pPr>
            <w:r>
              <w:t>Skin notation warranted as likely</w:t>
            </w:r>
            <w:r w:rsidR="008A7B12">
              <w:t xml:space="preserve"> absorbed through </w:t>
            </w:r>
            <w:r w:rsidR="00AA5B5A">
              <w:t xml:space="preserve">skin </w:t>
            </w:r>
            <w:r>
              <w:t>with adverse systemic effects (no further information)</w:t>
            </w:r>
          </w:p>
          <w:p w14:paraId="3F9A8D56" w14:textId="7DF3B846" w:rsidR="008A7B12" w:rsidRDefault="008A7B12" w:rsidP="003368E0">
            <w:pPr>
              <w:pStyle w:val="ListBullet"/>
              <w:ind w:left="720"/>
            </w:pPr>
            <w:r>
              <w:t>Mice e</w:t>
            </w:r>
            <w:r w:rsidR="00754D53">
              <w:t>xposed to concentrations of 10</w:t>
            </w:r>
            <w:r w:rsidR="00EB67D1">
              <w:t>–</w:t>
            </w:r>
            <w:r>
              <w:t>30 mg/m</w:t>
            </w:r>
            <w:r>
              <w:rPr>
                <w:vertAlign w:val="superscript"/>
              </w:rPr>
              <w:t>3</w:t>
            </w:r>
            <w:r w:rsidR="00590004">
              <w:t xml:space="preserve"> present</w:t>
            </w:r>
            <w:r w:rsidR="00D55792">
              <w:t>ed</w:t>
            </w:r>
            <w:r w:rsidR="00590004">
              <w:t xml:space="preserve"> decreased exci</w:t>
            </w:r>
            <w:r w:rsidR="00754D53">
              <w:t xml:space="preserve">tability of nerves after 1 </w:t>
            </w:r>
            <w:proofErr w:type="spellStart"/>
            <w:r w:rsidR="00754D53">
              <w:t>mo</w:t>
            </w:r>
            <w:proofErr w:type="spellEnd"/>
            <w:r w:rsidR="00590004">
              <w:t xml:space="preserve"> exposure</w:t>
            </w:r>
          </w:p>
          <w:p w14:paraId="272CF123" w14:textId="77777777" w:rsidR="00A83A47" w:rsidRDefault="002762EA" w:rsidP="003368E0">
            <w:pPr>
              <w:pStyle w:val="ListBullet"/>
              <w:ind w:left="720"/>
            </w:pPr>
            <w:r>
              <w:t>S</w:t>
            </w:r>
            <w:r w:rsidR="00A83A47">
              <w:t>tudy on mice and rats fed 5,000 mg/kg</w:t>
            </w:r>
            <w:r w:rsidR="008A7B12">
              <w:t xml:space="preserve"> </w:t>
            </w:r>
            <w:r w:rsidR="008A7B12" w:rsidRPr="00E539FC">
              <w:rPr>
                <w:i/>
              </w:rPr>
              <w:t>o</w:t>
            </w:r>
            <w:r w:rsidR="008A7B12">
              <w:t>-</w:t>
            </w:r>
            <w:proofErr w:type="spellStart"/>
            <w:r w:rsidR="008A7B12">
              <w:t>anisidine</w:t>
            </w:r>
            <w:proofErr w:type="spellEnd"/>
            <w:r w:rsidR="008A7B12">
              <w:t xml:space="preserve"> hydrochloride for 103 </w:t>
            </w:r>
            <w:proofErr w:type="spellStart"/>
            <w:r>
              <w:t>wk</w:t>
            </w:r>
            <w:proofErr w:type="spellEnd"/>
            <w:r w:rsidR="008A7B12">
              <w:t xml:space="preserve"> reported significant increase in transitional cell carcinomas of the urinary bladder </w:t>
            </w:r>
          </w:p>
          <w:p w14:paraId="022B9DD7" w14:textId="77777777" w:rsidR="008A7B12" w:rsidRDefault="00754D53" w:rsidP="003368E0">
            <w:pPr>
              <w:pStyle w:val="ListBullet"/>
              <w:numPr>
                <w:ilvl w:val="0"/>
                <w:numId w:val="18"/>
              </w:numPr>
            </w:pPr>
            <w:proofErr w:type="gramStart"/>
            <w:r>
              <w:t>a</w:t>
            </w:r>
            <w:r w:rsidR="001F620D">
              <w:t>uthors</w:t>
            </w:r>
            <w:proofErr w:type="gramEnd"/>
            <w:r w:rsidR="001F620D">
              <w:t xml:space="preserve"> recommended </w:t>
            </w:r>
            <w:r w:rsidR="00CA4342">
              <w:t>1 mg/m</w:t>
            </w:r>
            <w:r w:rsidR="001F620D">
              <w:rPr>
                <w:vertAlign w:val="superscript"/>
              </w:rPr>
              <w:t>3</w:t>
            </w:r>
            <w:r w:rsidR="001F620D">
              <w:t xml:space="preserve"> </w:t>
            </w:r>
            <w:r w:rsidR="00CA4342">
              <w:t xml:space="preserve">as </w:t>
            </w:r>
            <w:r w:rsidR="001F620D">
              <w:t>a</w:t>
            </w:r>
            <w:r w:rsidR="00CA4342">
              <w:t xml:space="preserve"> maximal concentration for workers</w:t>
            </w:r>
            <w:r>
              <w:t>.</w:t>
            </w:r>
          </w:p>
          <w:p w14:paraId="5E52F794" w14:textId="77777777" w:rsidR="00754D53" w:rsidRDefault="00754D53" w:rsidP="001F620D">
            <w:pPr>
              <w:pStyle w:val="ListBullet"/>
              <w:numPr>
                <w:ilvl w:val="0"/>
                <w:numId w:val="0"/>
              </w:numPr>
            </w:pPr>
          </w:p>
          <w:p w14:paraId="2FF0C4A2" w14:textId="77777777" w:rsidR="001C77F7" w:rsidRDefault="001C77F7" w:rsidP="001F620D">
            <w:pPr>
              <w:pStyle w:val="ListBullet"/>
              <w:numPr>
                <w:ilvl w:val="0"/>
                <w:numId w:val="0"/>
              </w:numPr>
            </w:pPr>
            <w:proofErr w:type="spellStart"/>
            <w:r>
              <w:t>Genotoxicity</w:t>
            </w:r>
            <w:proofErr w:type="spellEnd"/>
            <w:r>
              <w:t xml:space="preserve"> data:</w:t>
            </w:r>
          </w:p>
          <w:p w14:paraId="42B4397E" w14:textId="77777777" w:rsidR="001F620D" w:rsidRDefault="001F620D" w:rsidP="00CB1FD2">
            <w:pPr>
              <w:pStyle w:val="ListBullet"/>
              <w:ind w:left="720"/>
            </w:pPr>
            <w:proofErr w:type="spellStart"/>
            <w:r>
              <w:t>Anisidine</w:t>
            </w:r>
            <w:proofErr w:type="spellEnd"/>
            <w:r>
              <w:t xml:space="preserve">, </w:t>
            </w:r>
            <w:r w:rsidRPr="00E539FC">
              <w:rPr>
                <w:i/>
              </w:rPr>
              <w:t>o</w:t>
            </w:r>
            <w:r>
              <w:t xml:space="preserve">-, </w:t>
            </w:r>
            <w:r w:rsidRPr="00E539FC">
              <w:rPr>
                <w:i/>
              </w:rPr>
              <w:t>p</w:t>
            </w:r>
            <w:r>
              <w:t xml:space="preserve">- and </w:t>
            </w:r>
            <w:proofErr w:type="spellStart"/>
            <w:r>
              <w:t>anisidine</w:t>
            </w:r>
            <w:proofErr w:type="spellEnd"/>
            <w:r>
              <w:t xml:space="preserve"> hydrochloride positive in the </w:t>
            </w:r>
            <w:r w:rsidRPr="001F620D">
              <w:rPr>
                <w:i/>
              </w:rPr>
              <w:t>Salmonella</w:t>
            </w:r>
            <w:r>
              <w:t xml:space="preserve"> assay</w:t>
            </w:r>
          </w:p>
          <w:p w14:paraId="170E6AEC" w14:textId="77777777" w:rsidR="00CA4342" w:rsidRDefault="001F620D" w:rsidP="00CB1FD2">
            <w:pPr>
              <w:pStyle w:val="ListBullet"/>
              <w:ind w:left="720"/>
            </w:pPr>
            <w:proofErr w:type="gramStart"/>
            <w:r w:rsidRPr="00E539FC">
              <w:rPr>
                <w:i/>
              </w:rPr>
              <w:t>o</w:t>
            </w:r>
            <w:r>
              <w:t>-</w:t>
            </w:r>
            <w:proofErr w:type="gramEnd"/>
            <w:r>
              <w:t xml:space="preserve">, </w:t>
            </w:r>
            <w:r w:rsidRPr="00E539FC">
              <w:rPr>
                <w:i/>
              </w:rPr>
              <w:t>p</w:t>
            </w:r>
            <w:r>
              <w:t xml:space="preserve">- </w:t>
            </w:r>
            <w:r w:rsidR="002762EA">
              <w:t xml:space="preserve">isomers </w:t>
            </w:r>
            <w:r>
              <w:t>were positive in cultured Chinese hamster ovary cells for both increased frequencies of chromosomal aberrations and sister-chromatid exchanges.</w:t>
            </w:r>
          </w:p>
          <w:p w14:paraId="1F28928A" w14:textId="77777777" w:rsidR="00754D53" w:rsidRPr="00754D53" w:rsidRDefault="00754D53" w:rsidP="00754D53">
            <w:pPr>
              <w:pStyle w:val="ListBullet"/>
              <w:numPr>
                <w:ilvl w:val="0"/>
                <w:numId w:val="0"/>
              </w:numPr>
              <w:spacing w:before="0" w:after="80"/>
              <w:ind w:left="360" w:hanging="360"/>
              <w:contextualSpacing w:val="0"/>
            </w:pPr>
          </w:p>
        </w:tc>
      </w:tr>
      <w:tr w:rsidR="00C978F0" w:rsidRPr="00DA352E" w14:paraId="64CD79D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42F474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E7AAE">
                  <w:t>1998</w:t>
                </w:r>
                <w:r w:rsidR="00906B7C">
                  <w:t>/2005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E7AAE">
                  <w:t>NA</w:t>
                </w:r>
              </w:sdtContent>
            </w:sdt>
          </w:p>
        </w:tc>
      </w:tr>
      <w:tr w:rsidR="00C978F0" w:rsidRPr="00DA352E" w14:paraId="5402852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C7A577" w14:textId="77777777" w:rsidR="00C978F0" w:rsidRDefault="008E7AAE" w:rsidP="003365A5">
            <w:pPr>
              <w:pStyle w:val="Tabletextprimarysource"/>
            </w:pPr>
            <w:r>
              <w:t xml:space="preserve">No MAK recommended for either </w:t>
            </w:r>
            <w:r>
              <w:rPr>
                <w:i/>
              </w:rPr>
              <w:t xml:space="preserve">o- </w:t>
            </w:r>
            <w:r>
              <w:t xml:space="preserve">and </w:t>
            </w:r>
            <w:r>
              <w:rPr>
                <w:i/>
              </w:rPr>
              <w:t>p-</w:t>
            </w:r>
            <w:r>
              <w:t xml:space="preserve"> isomers due to evidence </w:t>
            </w:r>
            <w:r w:rsidR="00754D53">
              <w:t>of contribution to</w:t>
            </w:r>
            <w:r>
              <w:t xml:space="preserve"> carcinogenic risk</w:t>
            </w:r>
            <w:r w:rsidR="00A929A9">
              <w:t xml:space="preserve"> and a genotoxic mechanism </w:t>
            </w:r>
            <w:proofErr w:type="gramStart"/>
            <w:r w:rsidR="00A929A9">
              <w:t>cannot be disregarded</w:t>
            </w:r>
            <w:proofErr w:type="gramEnd"/>
            <w:r>
              <w:t>.</w:t>
            </w:r>
          </w:p>
          <w:p w14:paraId="3B238BD7" w14:textId="77777777" w:rsidR="00754D53" w:rsidRDefault="00754D53" w:rsidP="003365A5">
            <w:pPr>
              <w:pStyle w:val="Tabletextprimarysource"/>
            </w:pPr>
          </w:p>
          <w:p w14:paraId="5DB88721" w14:textId="77777777" w:rsidR="008E7AAE" w:rsidRDefault="008E7AAE" w:rsidP="003365A5">
            <w:pPr>
              <w:pStyle w:val="Tabletextprimarysource"/>
            </w:pPr>
            <w:r>
              <w:t>Summary of additional data:</w:t>
            </w:r>
          </w:p>
          <w:p w14:paraId="0B24D688" w14:textId="654023A7" w:rsidR="008E7AAE" w:rsidRDefault="008E7AAE" w:rsidP="003368E0">
            <w:pPr>
              <w:pStyle w:val="ListBullet"/>
              <w:ind w:left="720"/>
            </w:pPr>
            <w:r>
              <w:t xml:space="preserve">Previous MAK of 0.1 ppm </w:t>
            </w:r>
            <w:r w:rsidR="002762EA">
              <w:t>(</w:t>
            </w:r>
            <w:r>
              <w:t>until 1995</w:t>
            </w:r>
            <w:r w:rsidR="002762EA">
              <w:t>)</w:t>
            </w:r>
            <w:r>
              <w:t xml:space="preserve"> derived on basis o</w:t>
            </w:r>
            <w:r w:rsidR="00D55792">
              <w:t xml:space="preserve">f </w:t>
            </w:r>
            <w:proofErr w:type="spellStart"/>
            <w:r w:rsidR="00D55792">
              <w:t>haematotoxic</w:t>
            </w:r>
            <w:r w:rsidR="00B05D8C">
              <w:t>ity</w:t>
            </w:r>
            <w:proofErr w:type="spellEnd"/>
          </w:p>
          <w:p w14:paraId="1F46D535" w14:textId="77777777" w:rsidR="00A929A9" w:rsidRDefault="002762EA" w:rsidP="003368E0">
            <w:pPr>
              <w:pStyle w:val="ListBullet"/>
              <w:ind w:left="720"/>
            </w:pPr>
            <w:r>
              <w:rPr>
                <w:i/>
              </w:rPr>
              <w:t xml:space="preserve">p </w:t>
            </w:r>
            <w:r w:rsidR="00906B7C">
              <w:t>-</w:t>
            </w:r>
            <w:r>
              <w:t>isomer</w:t>
            </w:r>
            <w:r w:rsidR="00906B7C">
              <w:t xml:space="preserve">: reported </w:t>
            </w:r>
            <w:r>
              <w:t xml:space="preserve">urinary bladder, preputial gland and liver </w:t>
            </w:r>
            <w:r w:rsidR="00906B7C">
              <w:t>tumours in mice (no further information)</w:t>
            </w:r>
          </w:p>
          <w:p w14:paraId="7B6E15C3" w14:textId="7A96C337" w:rsidR="001C4428" w:rsidRDefault="001C4428" w:rsidP="003368E0">
            <w:pPr>
              <w:pStyle w:val="ListBullet"/>
              <w:ind w:left="720"/>
            </w:pPr>
            <w:r>
              <w:t>Sugg</w:t>
            </w:r>
            <w:r w:rsidR="00D16DCF">
              <w:t xml:space="preserve">ested </w:t>
            </w:r>
            <w:proofErr w:type="spellStart"/>
            <w:r w:rsidR="00D16DCF">
              <w:t>haematotoxic</w:t>
            </w:r>
            <w:r w:rsidR="00B05D8C">
              <w:t>ity</w:t>
            </w:r>
            <w:proofErr w:type="spellEnd"/>
            <w:r w:rsidR="00D16DCF">
              <w:t xml:space="preserve"> prerequisite for </w:t>
            </w:r>
            <w:r>
              <w:t>development of tissue damage and tumours</w:t>
            </w:r>
          </w:p>
          <w:p w14:paraId="4945CCEE" w14:textId="77777777" w:rsidR="008E7AAE" w:rsidRDefault="008E7AAE" w:rsidP="003368E0">
            <w:pPr>
              <w:pStyle w:val="ListBullet"/>
              <w:ind w:left="720"/>
            </w:pPr>
            <w:r>
              <w:t>M</w:t>
            </w:r>
            <w:r w:rsidR="00BB323E">
              <w:t xml:space="preserve">utagenic in </w:t>
            </w:r>
            <w:r w:rsidRPr="008E7AAE">
              <w:t>thymidine kinase test with mouse lymphoma cells</w:t>
            </w:r>
          </w:p>
          <w:p w14:paraId="15D3A04E" w14:textId="77777777" w:rsidR="006B1140" w:rsidRDefault="006B1140" w:rsidP="003368E0">
            <w:pPr>
              <w:pStyle w:val="ListBullet"/>
              <w:ind w:left="720"/>
            </w:pPr>
            <w:proofErr w:type="spellStart"/>
            <w:r>
              <w:t>Genotoxicity</w:t>
            </w:r>
            <w:proofErr w:type="spellEnd"/>
            <w:r>
              <w:t xml:space="preserve"> demonstrated in host mediated </w:t>
            </w:r>
            <w:r w:rsidRPr="006B1140">
              <w:rPr>
                <w:i/>
              </w:rPr>
              <w:t>Escherichia coli</w:t>
            </w:r>
            <w:r>
              <w:t xml:space="preserve"> assay in mice</w:t>
            </w:r>
          </w:p>
          <w:p w14:paraId="72B97BA4" w14:textId="77777777" w:rsidR="001C77F7" w:rsidRDefault="001C77F7" w:rsidP="003368E0">
            <w:pPr>
              <w:pStyle w:val="ListBullet"/>
              <w:ind w:left="720"/>
            </w:pPr>
            <w:proofErr w:type="spellStart"/>
            <w:r>
              <w:t>Genotoxicity</w:t>
            </w:r>
            <w:proofErr w:type="spellEnd"/>
            <w:r>
              <w:t xml:space="preserve"> not observed in</w:t>
            </w:r>
            <w:r w:rsidR="006B1140">
              <w:t xml:space="preserve"> all other</w:t>
            </w:r>
            <w:r>
              <w:t xml:space="preserve"> </w:t>
            </w:r>
            <w:r>
              <w:rPr>
                <w:i/>
              </w:rPr>
              <w:t xml:space="preserve">in vivo </w:t>
            </w:r>
            <w:r w:rsidR="00193D9F">
              <w:t>studies</w:t>
            </w:r>
            <w:r w:rsidR="002762EA">
              <w:t>.</w:t>
            </w:r>
          </w:p>
          <w:p w14:paraId="50C94255" w14:textId="77777777" w:rsidR="00D16DCF" w:rsidRPr="008E7AAE" w:rsidRDefault="00D16DCF" w:rsidP="00D16DCF">
            <w:pPr>
              <w:pStyle w:val="ListBullet"/>
              <w:numPr>
                <w:ilvl w:val="0"/>
                <w:numId w:val="0"/>
              </w:numPr>
              <w:spacing w:before="0" w:after="80"/>
              <w:ind w:left="360" w:hanging="360"/>
              <w:contextualSpacing w:val="0"/>
            </w:pPr>
          </w:p>
        </w:tc>
      </w:tr>
      <w:tr w:rsidR="00C978F0" w:rsidRPr="00DA352E" w14:paraId="6B9C522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FBC086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2258F">
                  <w:t>20</w:t>
                </w:r>
                <w:r w:rsidR="000F15C0">
                  <w:t>1</w:t>
                </w:r>
                <w:r w:rsidR="0092258F">
                  <w:t>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92258F">
                  <w:t>NA</w:t>
                </w:r>
              </w:sdtContent>
            </w:sdt>
          </w:p>
        </w:tc>
      </w:tr>
      <w:tr w:rsidR="00C978F0" w:rsidRPr="00DA352E" w14:paraId="390C6AF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709900A" w14:textId="77777777" w:rsidR="00193D9F" w:rsidRDefault="00193D9F" w:rsidP="0092258F">
            <w:pPr>
              <w:pStyle w:val="Tabletextprimarysource"/>
            </w:pPr>
            <w:r>
              <w:t xml:space="preserve">The setting of a health-based </w:t>
            </w:r>
            <w:r w:rsidR="002762EA">
              <w:t>OEL</w:t>
            </w:r>
            <w:r>
              <w:t xml:space="preserve"> is not possible due </w:t>
            </w:r>
            <w:r w:rsidR="00BB323E">
              <w:t xml:space="preserve">to </w:t>
            </w:r>
            <w:r>
              <w:t>evidence of carcinogenicity and insufficient evidence to support a threshold.</w:t>
            </w:r>
          </w:p>
          <w:p w14:paraId="74E7CE09" w14:textId="77777777" w:rsidR="00D16DCF" w:rsidRDefault="00D16DCF" w:rsidP="0092258F">
            <w:pPr>
              <w:pStyle w:val="Tabletextprimarysource"/>
            </w:pPr>
          </w:p>
          <w:p w14:paraId="7BD81984" w14:textId="77777777" w:rsidR="00193D9F" w:rsidRPr="00193D9F" w:rsidRDefault="00193D9F" w:rsidP="0092258F">
            <w:pPr>
              <w:pStyle w:val="Tabletextprimarysource"/>
            </w:pPr>
            <w:r>
              <w:t>Summary of additional data:</w:t>
            </w:r>
          </w:p>
          <w:p w14:paraId="2C57CCAC" w14:textId="77777777" w:rsidR="00C978F0" w:rsidRDefault="002762EA" w:rsidP="003368E0">
            <w:pPr>
              <w:pStyle w:val="ListBullet"/>
              <w:ind w:left="720"/>
            </w:pPr>
            <w:r>
              <w:t>NOEL: 80 mg/kg/d (rat,</w:t>
            </w:r>
            <w:r w:rsidR="00193D9F">
              <w:t xml:space="preserve"> 28 d)</w:t>
            </w:r>
          </w:p>
          <w:p w14:paraId="3F53B5BB" w14:textId="77777777" w:rsidR="00797842" w:rsidRDefault="00797842" w:rsidP="003368E0">
            <w:pPr>
              <w:pStyle w:val="ListBullet"/>
              <w:ind w:left="720"/>
            </w:pPr>
            <w:r>
              <w:t>Acute inhalation study: 2.17 and 3.87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2762EA">
              <w:t>(rats, 4 h)</w:t>
            </w:r>
            <w:r>
              <w:t xml:space="preserve"> demonstrated impaired movement, changes in respiration and reflexes, cyan</w:t>
            </w:r>
            <w:r w:rsidR="002762EA">
              <w:t>osis and bloody nasal discharge with</w:t>
            </w:r>
            <w:r>
              <w:t xml:space="preserve"> </w:t>
            </w:r>
            <w:r w:rsidR="002762EA">
              <w:t>effects reversible after 8 d</w:t>
            </w:r>
          </w:p>
          <w:p w14:paraId="096F9935" w14:textId="77777777" w:rsidR="00193D9F" w:rsidRDefault="00193D9F" w:rsidP="003368E0">
            <w:pPr>
              <w:pStyle w:val="ListBullet"/>
              <w:ind w:left="720"/>
            </w:pPr>
            <w:r>
              <w:t>No specific d</w:t>
            </w:r>
            <w:r w:rsidR="00D16DCF">
              <w:t>ata on skin absorption;</w:t>
            </w:r>
            <w:r>
              <w:t xml:space="preserve"> structurally related aromatic amines</w:t>
            </w:r>
            <w:r w:rsidR="00797842">
              <w:t xml:space="preserve"> </w:t>
            </w:r>
            <w:r w:rsidR="002762EA">
              <w:t xml:space="preserve">easily </w:t>
            </w:r>
            <w:r w:rsidR="00797842">
              <w:t xml:space="preserve">penetrate the skin </w:t>
            </w:r>
          </w:p>
          <w:p w14:paraId="19554AAB" w14:textId="77777777" w:rsidR="00797842" w:rsidRDefault="00797842" w:rsidP="003368E0">
            <w:pPr>
              <w:pStyle w:val="ListBullet"/>
              <w:ind w:left="720"/>
            </w:pPr>
            <w:r>
              <w:t>Considered genotoxic, but mutagenicity data inconsistent</w:t>
            </w:r>
            <w:r w:rsidR="002762EA">
              <w:t>.</w:t>
            </w:r>
          </w:p>
          <w:p w14:paraId="781E2F60" w14:textId="77777777" w:rsidR="00D16DCF" w:rsidRPr="00DA352E" w:rsidRDefault="00D16DCF" w:rsidP="00D16DCF">
            <w:pPr>
              <w:pStyle w:val="ListBullet"/>
              <w:numPr>
                <w:ilvl w:val="0"/>
                <w:numId w:val="0"/>
              </w:numPr>
              <w:spacing w:before="0" w:after="80"/>
              <w:ind w:left="360" w:hanging="360"/>
              <w:contextualSpacing w:val="0"/>
            </w:pPr>
          </w:p>
        </w:tc>
      </w:tr>
      <w:tr w:rsidR="00DA352E" w:rsidRPr="00DA352E" w14:paraId="1003AEA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71422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C77F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1C77F7">
                  <w:t>NA</w:t>
                </w:r>
                <w:proofErr w:type="spellEnd"/>
              </w:sdtContent>
            </w:sdt>
          </w:p>
        </w:tc>
      </w:tr>
      <w:tr w:rsidR="00DA352E" w:rsidRPr="00DA352E" w14:paraId="11D28E9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84F35DE" w14:textId="77777777" w:rsidR="00DA352E" w:rsidRPr="00DA352E" w:rsidRDefault="008F50A2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46C5FC3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5B61EB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C77F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1C77F7">
                  <w:t>NA</w:t>
                </w:r>
                <w:proofErr w:type="spellEnd"/>
              </w:sdtContent>
            </w:sdt>
          </w:p>
        </w:tc>
      </w:tr>
      <w:tr w:rsidR="00DA352E" w:rsidRPr="00DA352E" w14:paraId="00D0B9D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6AD095" w14:textId="77777777" w:rsidR="00DA352E" w:rsidRPr="00DA352E" w:rsidRDefault="008F50A2" w:rsidP="003365A5">
            <w:pPr>
              <w:pStyle w:val="Tabletextprimarysource"/>
            </w:pPr>
            <w:r>
              <w:t>No report</w:t>
            </w:r>
          </w:p>
        </w:tc>
      </w:tr>
    </w:tbl>
    <w:p w14:paraId="62768BE0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101D6FA6" w14:textId="77777777" w:rsidTr="008F50A2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78E10C9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6CAD81C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757B53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5AD09CD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414D37A" w14:textId="77777777" w:rsidTr="008F50A2">
        <w:trPr>
          <w:cantSplit/>
        </w:trPr>
        <w:tc>
          <w:tcPr>
            <w:tcW w:w="1497" w:type="dxa"/>
          </w:tcPr>
          <w:p w14:paraId="5450E5BB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3E8A1A24" w14:textId="77777777" w:rsidR="004966BF" w:rsidRPr="00CE617F" w:rsidRDefault="00E5245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9784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3199D6F" w14:textId="77777777" w:rsidR="004966BF" w:rsidRPr="004C23F4" w:rsidRDefault="0079784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4" w:type="dxa"/>
          </w:tcPr>
          <w:p w14:paraId="18B99AAC" w14:textId="77777777" w:rsidR="004966BF" w:rsidRDefault="00797842" w:rsidP="00797842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797842">
              <w:rPr>
                <w:rStyle w:val="checkbox"/>
                <w:rFonts w:ascii="Arial" w:hAnsi="Arial" w:cs="Arial"/>
              </w:rPr>
              <w:t>onsidered skin absorption could be a significant source of exposure</w:t>
            </w:r>
          </w:p>
          <w:p w14:paraId="236F68D1" w14:textId="77777777" w:rsidR="00797842" w:rsidRPr="004C23F4" w:rsidRDefault="008F50A2" w:rsidP="00677E5F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Possibly</w:t>
            </w:r>
            <w:r w:rsidR="00677E5F" w:rsidRPr="00677E5F">
              <w:rPr>
                <w:rStyle w:val="checkbox"/>
                <w:rFonts w:ascii="Arial" w:hAnsi="Arial" w:cs="Arial"/>
              </w:rPr>
              <w:t xml:space="preserve"> carcinogenic </w:t>
            </w:r>
            <w:proofErr w:type="gramStart"/>
            <w:r w:rsidR="00BB323E" w:rsidRPr="00677E5F">
              <w:rPr>
                <w:rStyle w:val="checkbox"/>
                <w:rFonts w:ascii="Arial" w:hAnsi="Arial" w:cs="Arial"/>
              </w:rPr>
              <w:t>cannot be excluded</w:t>
            </w:r>
            <w:proofErr w:type="gramEnd"/>
            <w:r w:rsidR="00BB323E" w:rsidRPr="00677E5F">
              <w:rPr>
                <w:rStyle w:val="checkbox"/>
                <w:rFonts w:ascii="Arial" w:hAnsi="Arial" w:cs="Arial"/>
              </w:rPr>
              <w:t xml:space="preserve"> </w:t>
            </w:r>
            <w:r w:rsidR="00677E5F" w:rsidRPr="00677E5F">
              <w:rPr>
                <w:rStyle w:val="checkbox"/>
                <w:rFonts w:ascii="Arial" w:hAnsi="Arial" w:cs="Arial"/>
              </w:rPr>
              <w:t>following long-term repeate</w:t>
            </w:r>
            <w:r w:rsidR="00677E5F">
              <w:rPr>
                <w:rStyle w:val="checkbox"/>
                <w:rFonts w:ascii="Arial" w:hAnsi="Arial" w:cs="Arial"/>
              </w:rPr>
              <w:t>d exposure and a</w:t>
            </w:r>
            <w:r w:rsidR="007F032A">
              <w:rPr>
                <w:rStyle w:val="checkbox"/>
                <w:rFonts w:ascii="Arial" w:hAnsi="Arial" w:cs="Arial"/>
              </w:rPr>
              <w:t xml:space="preserve"> genotoxic mode of action.</w:t>
            </w:r>
          </w:p>
        </w:tc>
      </w:tr>
    </w:tbl>
    <w:bookmarkEnd w:id="1"/>
    <w:p w14:paraId="2E018F9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753895AC" w14:textId="77777777" w:rsidTr="002762EA">
        <w:trPr>
          <w:trHeight w:val="454"/>
          <w:tblHeader/>
        </w:trPr>
        <w:tc>
          <w:tcPr>
            <w:tcW w:w="6609" w:type="dxa"/>
            <w:vAlign w:val="center"/>
          </w:tcPr>
          <w:p w14:paraId="0CEF5EE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56181709" w14:textId="77777777" w:rsidR="002E0D61" w:rsidRDefault="007F7E5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0D806680" w14:textId="77777777" w:rsidTr="002762EA">
        <w:trPr>
          <w:trHeight w:val="454"/>
        </w:trPr>
        <w:tc>
          <w:tcPr>
            <w:tcW w:w="6609" w:type="dxa"/>
            <w:vAlign w:val="center"/>
          </w:tcPr>
          <w:p w14:paraId="16D2ECC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34D293E4" w14:textId="77777777" w:rsidR="008A36CF" w:rsidRDefault="007F7E5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4C2C4FF3" w14:textId="77777777" w:rsidTr="002762E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11E8F9B8" w14:textId="77777777" w:rsidR="008A36CF" w:rsidRPr="006901A2" w:rsidRDefault="007F7E5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31C0CAA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5C17B149" w14:textId="77777777" w:rsidTr="002762EA">
        <w:trPr>
          <w:trHeight w:val="454"/>
        </w:trPr>
        <w:tc>
          <w:tcPr>
            <w:tcW w:w="6609" w:type="dxa"/>
            <w:vAlign w:val="center"/>
          </w:tcPr>
          <w:p w14:paraId="5B03F5D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 xml:space="preserve">Is a cancer slope factor or </w:t>
            </w:r>
            <w:proofErr w:type="gramStart"/>
            <w:r w:rsidRPr="008A36CF">
              <w:t>inhalation unit risk value</w:t>
            </w:r>
            <w:proofErr w:type="gramEnd"/>
            <w:r w:rsidRPr="008A36CF">
              <w:t xml:space="preserve">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41FB2DC5" w14:textId="77777777" w:rsidR="008A36CF" w:rsidRDefault="007F7E5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2"/>
    <w:p w14:paraId="13F92BB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633C78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90FD2EA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F1B525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AF93A65" w14:textId="77777777" w:rsidTr="00812887">
        <w:trPr>
          <w:cantSplit/>
        </w:trPr>
        <w:tc>
          <w:tcPr>
            <w:tcW w:w="3227" w:type="dxa"/>
          </w:tcPr>
          <w:p w14:paraId="6B7B392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14D3BBA" w14:textId="77777777" w:rsidR="00687890" w:rsidRPr="00DD2F9B" w:rsidRDefault="00A929A9" w:rsidP="00DD2F9B">
            <w:pPr>
              <w:pStyle w:val="Tablefont"/>
            </w:pPr>
            <w:proofErr w:type="gramStart"/>
            <w:r>
              <w:rPr>
                <w:i/>
              </w:rPr>
              <w:t>o</w:t>
            </w:r>
            <w:r>
              <w:t>-</w:t>
            </w:r>
            <w:proofErr w:type="spellStart"/>
            <w:r>
              <w:t>Anisidine</w:t>
            </w:r>
            <w:proofErr w:type="spellEnd"/>
            <w:proofErr w:type="gramEnd"/>
            <w:r>
              <w:t xml:space="preserve">: </w:t>
            </w:r>
            <w:proofErr w:type="spellStart"/>
            <w:r w:rsidR="00E119EA">
              <w:t>Carc</w:t>
            </w:r>
            <w:proofErr w:type="spellEnd"/>
            <w:r w:rsidR="00E119EA">
              <w:t>. 1B; Sk</w:t>
            </w:r>
            <w:r w:rsidR="00BB323E">
              <w:t>in</w:t>
            </w:r>
            <w:r w:rsidR="00E119EA">
              <w:t>.</w:t>
            </w:r>
          </w:p>
        </w:tc>
      </w:tr>
      <w:tr w:rsidR="007925F0" w:rsidRPr="00946FF6" w14:paraId="64F9A834" w14:textId="77777777" w:rsidTr="00812887">
        <w:trPr>
          <w:cantSplit/>
        </w:trPr>
        <w:tc>
          <w:tcPr>
            <w:tcW w:w="3227" w:type="dxa"/>
          </w:tcPr>
          <w:p w14:paraId="0641F6D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BA7F1F2" w14:textId="77777777" w:rsidR="007925F0" w:rsidRPr="00946FF6" w:rsidRDefault="00922B4F" w:rsidP="00DD2F9B">
            <w:pPr>
              <w:pStyle w:val="Tablefont"/>
              <w:rPr>
                <w:lang w:val="it-IT"/>
              </w:rPr>
            </w:pPr>
            <w:r w:rsidRPr="00946FF6">
              <w:rPr>
                <w:i/>
                <w:lang w:val="it-IT"/>
              </w:rPr>
              <w:t>o</w:t>
            </w:r>
            <w:r w:rsidRPr="00946FF6">
              <w:rPr>
                <w:lang w:val="it-IT"/>
              </w:rPr>
              <w:t xml:space="preserve">-Anisidine: </w:t>
            </w:r>
            <w:r w:rsidR="00E119EA" w:rsidRPr="00946FF6">
              <w:rPr>
                <w:lang w:val="it-IT"/>
              </w:rPr>
              <w:t>Carcinogenicity –</w:t>
            </w:r>
            <w:r w:rsidR="00BB323E" w:rsidRPr="00946FF6">
              <w:rPr>
                <w:lang w:val="it-IT"/>
              </w:rPr>
              <w:t xml:space="preserve"> </w:t>
            </w:r>
            <w:r w:rsidR="00AA5B5A" w:rsidRPr="00946FF6">
              <w:rPr>
                <w:lang w:val="it-IT"/>
              </w:rPr>
              <w:t xml:space="preserve">category </w:t>
            </w:r>
            <w:r w:rsidR="00E119EA" w:rsidRPr="00946FF6">
              <w:rPr>
                <w:lang w:val="it-IT"/>
              </w:rPr>
              <w:t>1B</w:t>
            </w:r>
          </w:p>
        </w:tc>
      </w:tr>
      <w:tr w:rsidR="00AF483F" w:rsidRPr="00946FF6" w14:paraId="3564B27A" w14:textId="77777777" w:rsidTr="00812887">
        <w:trPr>
          <w:cantSplit/>
        </w:trPr>
        <w:tc>
          <w:tcPr>
            <w:tcW w:w="3227" w:type="dxa"/>
          </w:tcPr>
          <w:p w14:paraId="58B6C42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6910B20" w14:textId="6EEF2271" w:rsidR="00AF483F" w:rsidRPr="00946FF6" w:rsidRDefault="007412E0" w:rsidP="00DD2F9B">
            <w:pPr>
              <w:pStyle w:val="Tablefont"/>
              <w:rPr>
                <w:lang w:val="it-IT"/>
              </w:rPr>
            </w:pPr>
            <w:r w:rsidRPr="00946FF6">
              <w:rPr>
                <w:i/>
                <w:lang w:val="it-IT"/>
              </w:rPr>
              <w:t>o</w:t>
            </w:r>
            <w:r w:rsidRPr="00946FF6">
              <w:rPr>
                <w:lang w:val="it-IT"/>
              </w:rPr>
              <w:t>-Anisidine: Carc</w:t>
            </w:r>
            <w:r w:rsidR="00442D4D" w:rsidRPr="00946FF6">
              <w:rPr>
                <w:lang w:val="it-IT"/>
              </w:rPr>
              <w:t>. Cat. 1B</w:t>
            </w:r>
          </w:p>
        </w:tc>
      </w:tr>
      <w:tr w:rsidR="00687890" w:rsidRPr="00946FF6" w14:paraId="6901D3C5" w14:textId="77777777" w:rsidTr="00812887">
        <w:trPr>
          <w:cantSplit/>
        </w:trPr>
        <w:tc>
          <w:tcPr>
            <w:tcW w:w="3227" w:type="dxa"/>
          </w:tcPr>
          <w:p w14:paraId="731FC2D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483A29B" w14:textId="77777777" w:rsidR="00687890" w:rsidRPr="00946FF6" w:rsidRDefault="00AA5B5A" w:rsidP="00DD2F9B">
            <w:pPr>
              <w:pStyle w:val="Tablefont"/>
              <w:rPr>
                <w:lang w:val="it-IT"/>
              </w:rPr>
            </w:pPr>
            <w:r w:rsidRPr="00946FF6">
              <w:rPr>
                <w:i/>
                <w:lang w:val="it-IT"/>
              </w:rPr>
              <w:t>o</w:t>
            </w:r>
            <w:r w:rsidRPr="00946FF6">
              <w:rPr>
                <w:lang w:val="it-IT"/>
              </w:rPr>
              <w:t>-Anisidine: Carcinogenicity – category 1B</w:t>
            </w:r>
          </w:p>
        </w:tc>
      </w:tr>
      <w:tr w:rsidR="00E41A26" w:rsidRPr="004C23F4" w14:paraId="6DA84AF7" w14:textId="77777777" w:rsidTr="00812887">
        <w:trPr>
          <w:cantSplit/>
        </w:trPr>
        <w:tc>
          <w:tcPr>
            <w:tcW w:w="3227" w:type="dxa"/>
          </w:tcPr>
          <w:p w14:paraId="0626270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0B2FD33" w14:textId="77777777" w:rsidR="00E41A26" w:rsidRPr="00DD2F9B" w:rsidRDefault="00D16DC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7ADA897" w14:textId="77777777" w:rsidTr="00812887">
        <w:trPr>
          <w:cantSplit/>
        </w:trPr>
        <w:tc>
          <w:tcPr>
            <w:tcW w:w="3227" w:type="dxa"/>
          </w:tcPr>
          <w:p w14:paraId="6C50E3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64162BA" w14:textId="77777777" w:rsidR="00906B7C" w:rsidRDefault="00906B7C" w:rsidP="00906B7C">
            <w:pPr>
              <w:pStyle w:val="ListBullet"/>
              <w:numPr>
                <w:ilvl w:val="0"/>
                <w:numId w:val="0"/>
              </w:numPr>
            </w:pPr>
            <w:r>
              <w:rPr>
                <w:i/>
              </w:rPr>
              <w:t>o</w:t>
            </w:r>
            <w:r>
              <w:t>-</w:t>
            </w:r>
            <w:proofErr w:type="spellStart"/>
            <w:r>
              <w:t>Anisidine</w:t>
            </w:r>
            <w:proofErr w:type="spellEnd"/>
            <w:r>
              <w:t>: Carcinogenicity –A3; Skin</w:t>
            </w:r>
          </w:p>
          <w:p w14:paraId="45757F9E" w14:textId="77777777" w:rsidR="002E0D61" w:rsidRPr="00DD2F9B" w:rsidRDefault="00906B7C" w:rsidP="00906B7C">
            <w:pPr>
              <w:pStyle w:val="ListBullet"/>
              <w:numPr>
                <w:ilvl w:val="0"/>
                <w:numId w:val="0"/>
              </w:numPr>
            </w:pPr>
            <w:r>
              <w:rPr>
                <w:i/>
              </w:rPr>
              <w:t>p</w:t>
            </w:r>
            <w:r>
              <w:t>-</w:t>
            </w:r>
            <w:proofErr w:type="spellStart"/>
            <w:r>
              <w:t>Anisidine</w:t>
            </w:r>
            <w:proofErr w:type="spellEnd"/>
            <w:r>
              <w:t>: Carcinogenicity –A4; Skin</w:t>
            </w:r>
          </w:p>
        </w:tc>
      </w:tr>
      <w:tr w:rsidR="002E0D61" w:rsidRPr="004C23F4" w14:paraId="10EB3341" w14:textId="77777777" w:rsidTr="00812887">
        <w:trPr>
          <w:cantSplit/>
        </w:trPr>
        <w:tc>
          <w:tcPr>
            <w:tcW w:w="3227" w:type="dxa"/>
          </w:tcPr>
          <w:p w14:paraId="6C297AAD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0E54262D" w14:textId="77777777" w:rsidR="00922B4F" w:rsidRPr="00946FF6" w:rsidRDefault="00922B4F" w:rsidP="00906B7C">
            <w:pPr>
              <w:pStyle w:val="ListBullet"/>
              <w:numPr>
                <w:ilvl w:val="0"/>
                <w:numId w:val="0"/>
              </w:numPr>
              <w:rPr>
                <w:lang w:val="it-IT"/>
              </w:rPr>
            </w:pPr>
            <w:r w:rsidRPr="00946FF6">
              <w:rPr>
                <w:i/>
                <w:lang w:val="it-IT"/>
              </w:rPr>
              <w:t>o</w:t>
            </w:r>
            <w:r w:rsidRPr="00946FF6">
              <w:rPr>
                <w:lang w:val="it-IT"/>
              </w:rPr>
              <w:t>-Anisidine: Carcinogenicity –</w:t>
            </w:r>
            <w:r w:rsidR="00BB323E" w:rsidRPr="00946FF6">
              <w:rPr>
                <w:lang w:val="it-IT"/>
              </w:rPr>
              <w:t xml:space="preserve"> </w:t>
            </w:r>
            <w:r w:rsidRPr="00946FF6">
              <w:rPr>
                <w:lang w:val="it-IT"/>
              </w:rPr>
              <w:t>2; H (skin)</w:t>
            </w:r>
          </w:p>
          <w:p w14:paraId="4D495268" w14:textId="77777777" w:rsidR="002E0D61" w:rsidRPr="00922B4F" w:rsidRDefault="00922B4F" w:rsidP="00906B7C">
            <w:pPr>
              <w:pStyle w:val="ListBullet"/>
              <w:numPr>
                <w:ilvl w:val="0"/>
                <w:numId w:val="0"/>
              </w:numPr>
            </w:pPr>
            <w:r>
              <w:rPr>
                <w:i/>
              </w:rPr>
              <w:t>p</w:t>
            </w:r>
            <w:r>
              <w:t>-</w:t>
            </w:r>
            <w:proofErr w:type="spellStart"/>
            <w:r>
              <w:t>Anisidine</w:t>
            </w:r>
            <w:proofErr w:type="spellEnd"/>
            <w:r>
              <w:t>: Carcinogenicity –</w:t>
            </w:r>
            <w:r w:rsidR="00BB323E">
              <w:t xml:space="preserve"> </w:t>
            </w:r>
            <w:r>
              <w:t>3</w:t>
            </w:r>
            <w:r w:rsidRPr="00E119EA">
              <w:t>B</w:t>
            </w:r>
            <w:r>
              <w:t>; H (skin)</w:t>
            </w:r>
          </w:p>
        </w:tc>
      </w:tr>
      <w:tr w:rsidR="002E0D61" w:rsidRPr="004C23F4" w14:paraId="497FF278" w14:textId="77777777" w:rsidTr="00812887">
        <w:trPr>
          <w:cantSplit/>
        </w:trPr>
        <w:tc>
          <w:tcPr>
            <w:tcW w:w="3227" w:type="dxa"/>
          </w:tcPr>
          <w:p w14:paraId="2A1A056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34F0502" w14:textId="77777777" w:rsidR="002E0D61" w:rsidRPr="00DD2F9B" w:rsidRDefault="00906B7C" w:rsidP="00DD2F9B">
            <w:pPr>
              <w:pStyle w:val="Tablefont"/>
            </w:pPr>
            <w:r>
              <w:rPr>
                <w:i/>
              </w:rPr>
              <w:t>o</w:t>
            </w:r>
            <w:r>
              <w:t>-</w:t>
            </w:r>
            <w:proofErr w:type="spellStart"/>
            <w:r>
              <w:t>Anisidine</w:t>
            </w:r>
            <w:proofErr w:type="spellEnd"/>
            <w:r>
              <w:t xml:space="preserve">: </w:t>
            </w:r>
            <w:r w:rsidR="00A929A9">
              <w:t>Carcinogenicity –</w:t>
            </w:r>
            <w:r w:rsidR="00BB323E">
              <w:t xml:space="preserve"> </w:t>
            </w:r>
            <w:r w:rsidR="00A929A9">
              <w:t>B</w:t>
            </w:r>
          </w:p>
        </w:tc>
      </w:tr>
      <w:tr w:rsidR="002E0D61" w:rsidRPr="004C23F4" w14:paraId="37540BA5" w14:textId="77777777" w:rsidTr="00812887">
        <w:trPr>
          <w:cantSplit/>
        </w:trPr>
        <w:tc>
          <w:tcPr>
            <w:tcW w:w="3227" w:type="dxa"/>
          </w:tcPr>
          <w:p w14:paraId="4C85D02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48EDA28" w14:textId="77777777" w:rsidR="002E0D61" w:rsidRPr="00DD2F9B" w:rsidRDefault="00D16DCF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702B4C87" w14:textId="77777777" w:rsidTr="00812887">
        <w:trPr>
          <w:cantSplit/>
        </w:trPr>
        <w:tc>
          <w:tcPr>
            <w:tcW w:w="3227" w:type="dxa"/>
          </w:tcPr>
          <w:p w14:paraId="2E4F8DF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D06DC9B" w14:textId="77777777" w:rsidR="00BB323E" w:rsidRDefault="00BB323E" w:rsidP="00BB323E">
            <w:pPr>
              <w:pStyle w:val="ListBullet"/>
              <w:numPr>
                <w:ilvl w:val="0"/>
                <w:numId w:val="0"/>
              </w:numPr>
            </w:pPr>
            <w:r>
              <w:rPr>
                <w:i/>
              </w:rPr>
              <w:t>o</w:t>
            </w:r>
            <w:r>
              <w:t>-</w:t>
            </w:r>
            <w:proofErr w:type="spellStart"/>
            <w:r>
              <w:t>Anisidine</w:t>
            </w:r>
            <w:proofErr w:type="spellEnd"/>
            <w:r>
              <w:t>: Carcinogenicity – Group 2B</w:t>
            </w:r>
          </w:p>
          <w:p w14:paraId="4B49FAE7" w14:textId="77777777" w:rsidR="00386093" w:rsidRPr="00DD2F9B" w:rsidRDefault="00BB323E" w:rsidP="00BB323E">
            <w:pPr>
              <w:pStyle w:val="ListBullet"/>
              <w:numPr>
                <w:ilvl w:val="0"/>
                <w:numId w:val="0"/>
              </w:numPr>
            </w:pPr>
            <w:r>
              <w:rPr>
                <w:i/>
              </w:rPr>
              <w:t>p</w:t>
            </w:r>
            <w:r>
              <w:t>-</w:t>
            </w:r>
            <w:proofErr w:type="spellStart"/>
            <w:r>
              <w:t>Anisidine</w:t>
            </w:r>
            <w:proofErr w:type="spellEnd"/>
            <w:r>
              <w:t>: Carcinogenicity – Group 3</w:t>
            </w:r>
          </w:p>
        </w:tc>
      </w:tr>
      <w:tr w:rsidR="00386093" w:rsidRPr="004C23F4" w14:paraId="3595B3C3" w14:textId="77777777" w:rsidTr="00812887">
        <w:trPr>
          <w:cantSplit/>
        </w:trPr>
        <w:tc>
          <w:tcPr>
            <w:tcW w:w="3227" w:type="dxa"/>
          </w:tcPr>
          <w:p w14:paraId="4823C45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F30FE3A" w14:textId="77777777" w:rsidR="00386093" w:rsidRPr="00DD2F9B" w:rsidRDefault="00D16DCF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3"/>
    <w:p w14:paraId="4B1E1EA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D89B15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DEA596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665794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D0EA0B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828"/>
              <w:gridCol w:w="1128"/>
              <w:gridCol w:w="1128"/>
              <w:gridCol w:w="2726"/>
            </w:tblGrid>
            <w:tr w:rsidR="00C56B39" w:rsidRPr="00C56B39" w14:paraId="5C6149B6" w14:textId="77777777" w:rsidTr="00CB1FD2">
              <w:trPr>
                <w:trHeight w:val="347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73CE1C" w14:textId="77777777" w:rsidR="00C56B39" w:rsidRPr="00C56B39" w:rsidRDefault="00C56B39" w:rsidP="00C56B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FB6C2FD" w14:textId="77777777" w:rsidR="00C56B39" w:rsidRPr="00C56B39" w:rsidRDefault="00C56B39" w:rsidP="00C56B3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63544E" w14:textId="77777777" w:rsidR="00C56B39" w:rsidRPr="00C56B39" w:rsidRDefault="00C56B39" w:rsidP="00C56B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A5F97F" w14:textId="77777777" w:rsidR="00C56B39" w:rsidRPr="00C56B39" w:rsidRDefault="00C56B39" w:rsidP="00C56B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56B39" w:rsidRPr="00C56B39" w14:paraId="6890D002" w14:textId="77777777" w:rsidTr="00CB1FD2">
              <w:trPr>
                <w:trHeight w:val="347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55BD63" w14:textId="77777777" w:rsidR="00C56B39" w:rsidRPr="00C56B39" w:rsidRDefault="00C56B39" w:rsidP="00C56B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4F3284" w14:textId="77777777" w:rsidR="00C56B39" w:rsidRPr="00C56B39" w:rsidRDefault="00C56B39" w:rsidP="00C56B3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51CA98" w14:textId="77777777" w:rsidR="00C56B39" w:rsidRPr="00C56B39" w:rsidRDefault="00C56B39" w:rsidP="00C56B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D5FE7C" w14:textId="77777777" w:rsidR="00C56B39" w:rsidRPr="00C56B39" w:rsidRDefault="00C56B39" w:rsidP="00C56B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56B39" w:rsidRPr="00C56B39" w14:paraId="6CAF92A8" w14:textId="77777777" w:rsidTr="00CB1FD2">
              <w:trPr>
                <w:trHeight w:val="347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88CB66" w14:textId="77777777" w:rsidR="00C56B39" w:rsidRPr="00C56B39" w:rsidRDefault="00C56B39" w:rsidP="00C56B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EFC666" w14:textId="77777777" w:rsidR="00C56B39" w:rsidRPr="00C56B39" w:rsidRDefault="00C56B39" w:rsidP="00C56B3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9AEF53" w14:textId="77777777" w:rsidR="00C56B39" w:rsidRPr="00C56B39" w:rsidRDefault="00C56B39" w:rsidP="00C56B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DC2CCC" w14:textId="77777777" w:rsidR="00C56B39" w:rsidRPr="00C56B39" w:rsidRDefault="00C56B39" w:rsidP="00C56B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56B39" w:rsidRPr="00C56B39" w14:paraId="63DDD0AD" w14:textId="77777777" w:rsidTr="00CB1FD2">
              <w:trPr>
                <w:trHeight w:val="347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9A1D4F" w14:textId="77777777" w:rsidR="00C56B39" w:rsidRPr="00C56B39" w:rsidRDefault="00C56B39" w:rsidP="00C56B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63374B" w14:textId="77777777" w:rsidR="00C56B39" w:rsidRPr="00C56B39" w:rsidRDefault="00C56B39" w:rsidP="00C56B3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4CF8AF" w14:textId="77777777" w:rsidR="00C56B39" w:rsidRPr="00C56B39" w:rsidRDefault="00C56B39" w:rsidP="00C56B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ED3381" w14:textId="77777777" w:rsidR="00C56B39" w:rsidRPr="00C56B39" w:rsidRDefault="00C56B39" w:rsidP="00C56B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56B39" w:rsidRPr="00C56B39" w14:paraId="273372F7" w14:textId="77777777" w:rsidTr="00CB1FD2">
              <w:trPr>
                <w:trHeight w:val="347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9B5D81" w14:textId="77777777" w:rsidR="00C56B39" w:rsidRPr="00C56B39" w:rsidRDefault="00C56B39" w:rsidP="00C56B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5F03D8" w14:textId="77777777" w:rsidR="00C56B39" w:rsidRPr="00C56B39" w:rsidRDefault="00C56B39" w:rsidP="00C56B3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23311C" w14:textId="77777777" w:rsidR="00C56B39" w:rsidRPr="00C56B39" w:rsidRDefault="00C56B39" w:rsidP="00C56B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1FEF7E" w14:textId="77777777" w:rsidR="00C56B39" w:rsidRPr="00C56B39" w:rsidRDefault="00C56B39" w:rsidP="00C56B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56B39" w:rsidRPr="00C56B39" w14:paraId="7521D7DF" w14:textId="77777777" w:rsidTr="00CB1FD2">
              <w:trPr>
                <w:trHeight w:val="347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CE3E6D" w14:textId="77777777" w:rsidR="00C56B39" w:rsidRPr="00C56B39" w:rsidRDefault="00C56B39" w:rsidP="00C56B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3DCD7D" w14:textId="77777777" w:rsidR="00C56B39" w:rsidRPr="00C56B39" w:rsidRDefault="00C56B39" w:rsidP="00C56B3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0111D9" w14:textId="77777777" w:rsidR="00C56B39" w:rsidRPr="00C56B39" w:rsidRDefault="00C56B39" w:rsidP="00C56B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1678B7" w14:textId="77777777" w:rsidR="00C56B39" w:rsidRPr="00C56B39" w:rsidRDefault="00C56B39" w:rsidP="00C56B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56B39" w:rsidRPr="00C56B39" w14:paraId="485C84F7" w14:textId="77777777" w:rsidTr="00CB1FD2">
              <w:trPr>
                <w:trHeight w:val="347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638C96" w14:textId="77777777" w:rsidR="00C56B39" w:rsidRPr="00C56B39" w:rsidRDefault="00C56B39" w:rsidP="00C56B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1512A9" w14:textId="77777777" w:rsidR="00C56B39" w:rsidRPr="00C56B39" w:rsidRDefault="00C56B39" w:rsidP="00C56B3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79B1C4" w14:textId="77777777" w:rsidR="00C56B39" w:rsidRPr="00C56B39" w:rsidRDefault="00C56B39" w:rsidP="00C56B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A573E9" w14:textId="77777777" w:rsidR="00C56B39" w:rsidRPr="00C56B39" w:rsidRDefault="00C56B39" w:rsidP="00C56B3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2065D0F9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3539936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4FD683C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CD7E1E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10249D1" w14:textId="77777777" w:rsidR="00EB3D1B" w:rsidRDefault="007F7E54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738B6E7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95BBE5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719E7D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7DFA222" w14:textId="77777777" w:rsidR="001B79E5" w:rsidRDefault="00E41688" w:rsidP="001B79E5">
                <w:pPr>
                  <w:pStyle w:val="Tablefont"/>
                </w:pPr>
                <w:r>
                  <w:t>123.16</w:t>
                </w:r>
              </w:p>
            </w:tc>
          </w:sdtContent>
        </w:sdt>
      </w:tr>
      <w:tr w:rsidR="00A31D99" w:rsidRPr="004C23F4" w14:paraId="52BB8B0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FA17D6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71548692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96E568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FD2168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9B6808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A313FF6" w14:textId="77777777" w:rsidTr="00EA6243">
        <w:trPr>
          <w:cantSplit/>
        </w:trPr>
        <w:tc>
          <w:tcPr>
            <w:tcW w:w="4077" w:type="dxa"/>
            <w:vAlign w:val="center"/>
          </w:tcPr>
          <w:p w14:paraId="08F9259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92421C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B5BC170" w14:textId="77777777" w:rsidTr="00EA6243">
        <w:trPr>
          <w:cantSplit/>
        </w:trPr>
        <w:tc>
          <w:tcPr>
            <w:tcW w:w="4077" w:type="dxa"/>
            <w:vAlign w:val="center"/>
          </w:tcPr>
          <w:p w14:paraId="2E6FAAB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CF4187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CD4237D" w14:textId="77777777" w:rsidTr="00EA6243">
        <w:trPr>
          <w:cantSplit/>
        </w:trPr>
        <w:tc>
          <w:tcPr>
            <w:tcW w:w="4077" w:type="dxa"/>
            <w:vAlign w:val="center"/>
          </w:tcPr>
          <w:p w14:paraId="5A18933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BD59C25" w14:textId="77777777" w:rsidR="00E06F40" w:rsidRPr="00A006A0" w:rsidRDefault="00E5245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162498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AAF7D0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2AC899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026C71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4F78C1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95D41D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9B2A1D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17C5009B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7BB4F606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84F3B77" w14:textId="77777777" w:rsidR="008F50A2" w:rsidRDefault="008F50A2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(1998) </w:t>
      </w:r>
      <w:r w:rsidRPr="008F50A2">
        <w:rPr>
          <w:i/>
        </w:rPr>
        <w:t>o</w:t>
      </w:r>
      <w:r w:rsidRPr="008F50A2">
        <w:t>-</w:t>
      </w:r>
      <w:proofErr w:type="spellStart"/>
      <w:r w:rsidRPr="008F50A2">
        <w:t>Anisidine</w:t>
      </w:r>
      <w:proofErr w:type="spellEnd"/>
      <w:r>
        <w:t xml:space="preserve"> – MAK value documentation.</w:t>
      </w:r>
    </w:p>
    <w:p w14:paraId="42A924AA" w14:textId="77777777" w:rsidR="00906B7C" w:rsidRPr="00906B7C" w:rsidRDefault="00906B7C" w:rsidP="00906B7C">
      <w:pPr>
        <w:rPr>
          <w:i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(2005) </w:t>
      </w:r>
      <w:proofErr w:type="gramStart"/>
      <w:r w:rsidRPr="001C4428">
        <w:t>Monocyclic</w:t>
      </w:r>
      <w:proofErr w:type="gramEnd"/>
      <w:r w:rsidRPr="001C4428">
        <w:t xml:space="preserve"> aromatic amino and nitro</w:t>
      </w:r>
      <w:r w:rsidR="00FC5B39">
        <w:t xml:space="preserve"> </w:t>
      </w:r>
      <w:r w:rsidRPr="001C4428">
        <w:t xml:space="preserve">compounds: toxicity, </w:t>
      </w:r>
      <w:proofErr w:type="spellStart"/>
      <w:r w:rsidRPr="001C4428">
        <w:t>genotoxicity</w:t>
      </w:r>
      <w:proofErr w:type="spellEnd"/>
      <w:r w:rsidRPr="001C4428">
        <w:t xml:space="preserve"> and carcinogenicity, classification in a carcinogen category</w:t>
      </w:r>
      <w:r w:rsidRPr="00906B7C">
        <w:rPr>
          <w:i/>
        </w:rPr>
        <w:t xml:space="preserve"> </w:t>
      </w:r>
      <w:r>
        <w:t>– MAK value documentation</w:t>
      </w:r>
    </w:p>
    <w:p w14:paraId="6DF05ED4" w14:textId="77777777" w:rsidR="007F7E54" w:rsidRDefault="007F7E54" w:rsidP="00084859">
      <w:r w:rsidRPr="007F7E54">
        <w:t xml:space="preserve">EU Scientific Committee </w:t>
      </w:r>
      <w:proofErr w:type="gramStart"/>
      <w:r w:rsidRPr="007F7E54">
        <w:t>on Occupational Exposure Limits (SCOEL) (2011) Recommendation from the Scientific Committee on Occupational Exposure Limits for</w:t>
      </w:r>
      <w:r>
        <w:t xml:space="preserve"> </w:t>
      </w:r>
      <w:r>
        <w:rPr>
          <w:i/>
        </w:rPr>
        <w:t>o-</w:t>
      </w:r>
      <w:proofErr w:type="spellStart"/>
      <w:r w:rsidRPr="007F7E54">
        <w:t>anisidine</w:t>
      </w:r>
      <w:proofErr w:type="spellEnd"/>
      <w:proofErr w:type="gramEnd"/>
      <w:r>
        <w:t>. SCOEL/SUM/144</w:t>
      </w:r>
      <w:r w:rsidRPr="007F7E54">
        <w:t>.</w:t>
      </w:r>
    </w:p>
    <w:p w14:paraId="3972D963" w14:textId="77777777" w:rsidR="00BB323E" w:rsidRDefault="00781FD3" w:rsidP="00084859">
      <w:r>
        <w:t xml:space="preserve">International Agency for Research on Cancer (IARC) (1999) </w:t>
      </w:r>
      <w:proofErr w:type="spellStart"/>
      <w:r w:rsidRPr="00781FD3">
        <w:rPr>
          <w:i/>
        </w:rPr>
        <w:t>ortho</w:t>
      </w:r>
      <w:r>
        <w:t>-Anisidine</w:t>
      </w:r>
      <w:proofErr w:type="spellEnd"/>
      <w:r>
        <w:t xml:space="preserve">. IARC Monographs on the evaluation of the carcinogenic risk to humans. </w:t>
      </w:r>
    </w:p>
    <w:p w14:paraId="060A73E0" w14:textId="77777777" w:rsidR="00781FD3" w:rsidRDefault="00781FD3" w:rsidP="00084859">
      <w:r>
        <w:t xml:space="preserve">International Agency for Research on Cancer (IARC) (1987) </w:t>
      </w:r>
      <w:r>
        <w:rPr>
          <w:i/>
        </w:rPr>
        <w:t>para</w:t>
      </w:r>
      <w:r>
        <w:t>-</w:t>
      </w:r>
      <w:proofErr w:type="spellStart"/>
      <w:r>
        <w:t>Anisidine</w:t>
      </w:r>
      <w:proofErr w:type="spellEnd"/>
      <w:r>
        <w:t xml:space="preserve">. IARC Monographs on the evaluation of the carcinogenic risk to humans. </w:t>
      </w:r>
    </w:p>
    <w:p w14:paraId="5A0C01BC" w14:textId="77777777" w:rsidR="007F7E54" w:rsidRPr="00351FE0" w:rsidRDefault="007F7E54" w:rsidP="00084859">
      <w:r w:rsidRPr="007F7E54">
        <w:t>National Industrial Chemicals Notification and Assessment S</w:t>
      </w:r>
      <w:r>
        <w:t xml:space="preserve">cheme (NICNAS) (2017) </w:t>
      </w:r>
      <w:proofErr w:type="spellStart"/>
      <w:r w:rsidRPr="007F7E54">
        <w:t>Benzenamine</w:t>
      </w:r>
      <w:proofErr w:type="spellEnd"/>
      <w:r w:rsidRPr="007F7E54">
        <w:t>, 2-methoxy-: Human health tier II assessment – IMAP report.</w:t>
      </w:r>
    </w:p>
    <w:sectPr w:rsidR="007F7E54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09B4B9" w16cid:durableId="20E180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7AB88" w14:textId="77777777" w:rsidR="00B57263" w:rsidRDefault="00B57263" w:rsidP="00F43AD5">
      <w:pPr>
        <w:spacing w:after="0" w:line="240" w:lineRule="auto"/>
      </w:pPr>
      <w:r>
        <w:separator/>
      </w:r>
    </w:p>
  </w:endnote>
  <w:endnote w:type="continuationSeparator" w:id="0">
    <w:p w14:paraId="0416C6ED" w14:textId="77777777" w:rsidR="00B57263" w:rsidRDefault="00B5726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539B1B3" w14:textId="77777777" w:rsidR="008A36CF" w:rsidRDefault="00404661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Anisidine</w:t>
        </w:r>
        <w:proofErr w:type="spellEnd"/>
        <w:r>
          <w:rPr>
            <w:b/>
            <w:sz w:val="18"/>
            <w:szCs w:val="18"/>
          </w:rPr>
          <w:t xml:space="preserve"> &amp; </w:t>
        </w:r>
        <w:r w:rsidRPr="00E539FC">
          <w:rPr>
            <w:b/>
            <w:i/>
            <w:sz w:val="18"/>
            <w:szCs w:val="18"/>
          </w:rPr>
          <w:t>o</w:t>
        </w:r>
        <w:r>
          <w:rPr>
            <w:b/>
            <w:sz w:val="18"/>
            <w:szCs w:val="18"/>
          </w:rPr>
          <w:t xml:space="preserve">-, </w:t>
        </w:r>
        <w:r w:rsidRPr="00E539FC">
          <w:rPr>
            <w:b/>
            <w:i/>
            <w:sz w:val="18"/>
            <w:szCs w:val="18"/>
          </w:rPr>
          <w:t>p</w:t>
        </w:r>
        <w:r>
          <w:rPr>
            <w:b/>
            <w:sz w:val="18"/>
            <w:szCs w:val="18"/>
          </w:rPr>
          <w:t>- isomers</w:t>
        </w:r>
        <w:r w:rsidR="008A36CF">
          <w:rPr>
            <w:b/>
            <w:sz w:val="18"/>
            <w:szCs w:val="18"/>
          </w:rPr>
          <w:t xml:space="preserve"> (</w:t>
        </w:r>
        <w:r w:rsidRPr="00404661">
          <w:rPr>
            <w:b/>
            <w:sz w:val="18"/>
            <w:szCs w:val="18"/>
          </w:rPr>
          <w:t>29191-52-4; 90-04-0; 104-94-9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162F213" w14:textId="0DEF397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52455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8F117" w14:textId="77777777" w:rsidR="00B57263" w:rsidRDefault="00B57263" w:rsidP="00F43AD5">
      <w:pPr>
        <w:spacing w:after="0" w:line="240" w:lineRule="auto"/>
      </w:pPr>
      <w:r>
        <w:separator/>
      </w:r>
    </w:p>
  </w:footnote>
  <w:footnote w:type="continuationSeparator" w:id="0">
    <w:p w14:paraId="390A8C69" w14:textId="77777777" w:rsidR="00B57263" w:rsidRDefault="00B5726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41A4A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D1B8B26" wp14:editId="14B60F24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A9D8D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20EFD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CB23F1D"/>
    <w:multiLevelType w:val="hybridMultilevel"/>
    <w:tmpl w:val="10DAC94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C92AEA"/>
    <w:multiLevelType w:val="hybridMultilevel"/>
    <w:tmpl w:val="0728F61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4D04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8BE"/>
    <w:rsid w:val="000E5A54"/>
    <w:rsid w:val="000E63D3"/>
    <w:rsid w:val="000E67CF"/>
    <w:rsid w:val="000F15C0"/>
    <w:rsid w:val="0010461E"/>
    <w:rsid w:val="00106FAA"/>
    <w:rsid w:val="00113443"/>
    <w:rsid w:val="001269A7"/>
    <w:rsid w:val="00131092"/>
    <w:rsid w:val="00137401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1A1D"/>
    <w:rsid w:val="00193D9F"/>
    <w:rsid w:val="001A009E"/>
    <w:rsid w:val="001A1287"/>
    <w:rsid w:val="001A3859"/>
    <w:rsid w:val="001A3C9D"/>
    <w:rsid w:val="001A43F8"/>
    <w:rsid w:val="001B79E5"/>
    <w:rsid w:val="001C37FD"/>
    <w:rsid w:val="001C4428"/>
    <w:rsid w:val="001C77F7"/>
    <w:rsid w:val="001D56F0"/>
    <w:rsid w:val="001D663B"/>
    <w:rsid w:val="001D7B41"/>
    <w:rsid w:val="001E46DA"/>
    <w:rsid w:val="001E7D80"/>
    <w:rsid w:val="001F4B6C"/>
    <w:rsid w:val="001F620D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2EA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4DB0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368E0"/>
    <w:rsid w:val="00347192"/>
    <w:rsid w:val="0034744C"/>
    <w:rsid w:val="00351FE0"/>
    <w:rsid w:val="00352615"/>
    <w:rsid w:val="00352B8B"/>
    <w:rsid w:val="0035412B"/>
    <w:rsid w:val="003567A8"/>
    <w:rsid w:val="00362895"/>
    <w:rsid w:val="003636C3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4661"/>
    <w:rsid w:val="00406785"/>
    <w:rsid w:val="004079B4"/>
    <w:rsid w:val="00417A56"/>
    <w:rsid w:val="00420957"/>
    <w:rsid w:val="0042153F"/>
    <w:rsid w:val="00422A10"/>
    <w:rsid w:val="00430179"/>
    <w:rsid w:val="004414B5"/>
    <w:rsid w:val="00442D4D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1049"/>
    <w:rsid w:val="004A5088"/>
    <w:rsid w:val="004C1942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5332"/>
    <w:rsid w:val="005272E2"/>
    <w:rsid w:val="0053108F"/>
    <w:rsid w:val="00532B56"/>
    <w:rsid w:val="00534B10"/>
    <w:rsid w:val="005446A2"/>
    <w:rsid w:val="00544D2F"/>
    <w:rsid w:val="00551BD8"/>
    <w:rsid w:val="00581055"/>
    <w:rsid w:val="00590004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5B0E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7860"/>
    <w:rsid w:val="0067305D"/>
    <w:rsid w:val="00677D9B"/>
    <w:rsid w:val="00677E5F"/>
    <w:rsid w:val="006867F3"/>
    <w:rsid w:val="00687890"/>
    <w:rsid w:val="006901A2"/>
    <w:rsid w:val="00690368"/>
    <w:rsid w:val="0069079C"/>
    <w:rsid w:val="00690B53"/>
    <w:rsid w:val="00695B72"/>
    <w:rsid w:val="006B1140"/>
    <w:rsid w:val="006B160A"/>
    <w:rsid w:val="006B4E6C"/>
    <w:rsid w:val="006B50B6"/>
    <w:rsid w:val="006D79EA"/>
    <w:rsid w:val="006E5D05"/>
    <w:rsid w:val="00701053"/>
    <w:rsid w:val="00701507"/>
    <w:rsid w:val="0071295C"/>
    <w:rsid w:val="00714021"/>
    <w:rsid w:val="00716A0F"/>
    <w:rsid w:val="00717D45"/>
    <w:rsid w:val="007208F7"/>
    <w:rsid w:val="007218AF"/>
    <w:rsid w:val="00730167"/>
    <w:rsid w:val="007365D1"/>
    <w:rsid w:val="00740E0E"/>
    <w:rsid w:val="007412E0"/>
    <w:rsid w:val="00750212"/>
    <w:rsid w:val="00754779"/>
    <w:rsid w:val="00754D53"/>
    <w:rsid w:val="007565E2"/>
    <w:rsid w:val="0075716D"/>
    <w:rsid w:val="00765F14"/>
    <w:rsid w:val="00770E31"/>
    <w:rsid w:val="007770F1"/>
    <w:rsid w:val="00781FD3"/>
    <w:rsid w:val="00783FB1"/>
    <w:rsid w:val="00785CDD"/>
    <w:rsid w:val="00791847"/>
    <w:rsid w:val="007925F0"/>
    <w:rsid w:val="007939B3"/>
    <w:rsid w:val="0079509C"/>
    <w:rsid w:val="00796708"/>
    <w:rsid w:val="00797842"/>
    <w:rsid w:val="007B1B42"/>
    <w:rsid w:val="007C30EB"/>
    <w:rsid w:val="007D1015"/>
    <w:rsid w:val="007E063C"/>
    <w:rsid w:val="007E2A4B"/>
    <w:rsid w:val="007E307D"/>
    <w:rsid w:val="007E6A4E"/>
    <w:rsid w:val="007E6C94"/>
    <w:rsid w:val="007F032A"/>
    <w:rsid w:val="007F1005"/>
    <w:rsid w:val="007F25E0"/>
    <w:rsid w:val="007F5328"/>
    <w:rsid w:val="007F7E54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7B12"/>
    <w:rsid w:val="008B403C"/>
    <w:rsid w:val="008B7983"/>
    <w:rsid w:val="008C2511"/>
    <w:rsid w:val="008D026D"/>
    <w:rsid w:val="008D23AB"/>
    <w:rsid w:val="008D4B8B"/>
    <w:rsid w:val="008D5A78"/>
    <w:rsid w:val="008E7AAE"/>
    <w:rsid w:val="008E7B64"/>
    <w:rsid w:val="008F2C07"/>
    <w:rsid w:val="008F50A2"/>
    <w:rsid w:val="008F5DCD"/>
    <w:rsid w:val="00900951"/>
    <w:rsid w:val="00906B7C"/>
    <w:rsid w:val="009118A6"/>
    <w:rsid w:val="00916909"/>
    <w:rsid w:val="00916EC0"/>
    <w:rsid w:val="00917D86"/>
    <w:rsid w:val="00920467"/>
    <w:rsid w:val="00921DE7"/>
    <w:rsid w:val="0092258F"/>
    <w:rsid w:val="00922B4F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6FF6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612D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2049"/>
    <w:rsid w:val="00A0643F"/>
    <w:rsid w:val="00A067EE"/>
    <w:rsid w:val="00A10FCE"/>
    <w:rsid w:val="00A1544B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194F"/>
    <w:rsid w:val="00A53681"/>
    <w:rsid w:val="00A54227"/>
    <w:rsid w:val="00A633D4"/>
    <w:rsid w:val="00A6461A"/>
    <w:rsid w:val="00A83A47"/>
    <w:rsid w:val="00A84504"/>
    <w:rsid w:val="00A8672F"/>
    <w:rsid w:val="00A929A9"/>
    <w:rsid w:val="00A93057"/>
    <w:rsid w:val="00A966F8"/>
    <w:rsid w:val="00A968B0"/>
    <w:rsid w:val="00AA5B5A"/>
    <w:rsid w:val="00AB2672"/>
    <w:rsid w:val="00AB2817"/>
    <w:rsid w:val="00AB43C4"/>
    <w:rsid w:val="00AC32E7"/>
    <w:rsid w:val="00AC3A9F"/>
    <w:rsid w:val="00AC6D2F"/>
    <w:rsid w:val="00AD16AC"/>
    <w:rsid w:val="00AE2745"/>
    <w:rsid w:val="00AE2F64"/>
    <w:rsid w:val="00AF42CB"/>
    <w:rsid w:val="00AF483F"/>
    <w:rsid w:val="00AF5E07"/>
    <w:rsid w:val="00AF5F06"/>
    <w:rsid w:val="00B00A25"/>
    <w:rsid w:val="00B05D8C"/>
    <w:rsid w:val="00B1422A"/>
    <w:rsid w:val="00B1765C"/>
    <w:rsid w:val="00B213C4"/>
    <w:rsid w:val="00B268CF"/>
    <w:rsid w:val="00B30D4B"/>
    <w:rsid w:val="00B40C60"/>
    <w:rsid w:val="00B479A9"/>
    <w:rsid w:val="00B52EDF"/>
    <w:rsid w:val="00B57263"/>
    <w:rsid w:val="00B71188"/>
    <w:rsid w:val="00B76A41"/>
    <w:rsid w:val="00B87D4C"/>
    <w:rsid w:val="00B93646"/>
    <w:rsid w:val="00BA0B38"/>
    <w:rsid w:val="00BA1DBB"/>
    <w:rsid w:val="00BA4510"/>
    <w:rsid w:val="00BA529A"/>
    <w:rsid w:val="00BB323E"/>
    <w:rsid w:val="00BB612A"/>
    <w:rsid w:val="00BC258C"/>
    <w:rsid w:val="00BD0142"/>
    <w:rsid w:val="00BD499F"/>
    <w:rsid w:val="00BD56DE"/>
    <w:rsid w:val="00BD6243"/>
    <w:rsid w:val="00BF2406"/>
    <w:rsid w:val="00C03D01"/>
    <w:rsid w:val="00C16315"/>
    <w:rsid w:val="00C3091E"/>
    <w:rsid w:val="00C40FF1"/>
    <w:rsid w:val="00C419E2"/>
    <w:rsid w:val="00C5020E"/>
    <w:rsid w:val="00C56B39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1AFB"/>
    <w:rsid w:val="00CA4342"/>
    <w:rsid w:val="00CA58FE"/>
    <w:rsid w:val="00CB1CB1"/>
    <w:rsid w:val="00CB1FD2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16DCF"/>
    <w:rsid w:val="00D21D8C"/>
    <w:rsid w:val="00D31357"/>
    <w:rsid w:val="00D33220"/>
    <w:rsid w:val="00D334D1"/>
    <w:rsid w:val="00D44C89"/>
    <w:rsid w:val="00D516CD"/>
    <w:rsid w:val="00D55792"/>
    <w:rsid w:val="00D610E1"/>
    <w:rsid w:val="00D668E6"/>
    <w:rsid w:val="00D70670"/>
    <w:rsid w:val="00D74D80"/>
    <w:rsid w:val="00D765C0"/>
    <w:rsid w:val="00D76624"/>
    <w:rsid w:val="00D8637A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19EA"/>
    <w:rsid w:val="00E26A07"/>
    <w:rsid w:val="00E32595"/>
    <w:rsid w:val="00E37CFD"/>
    <w:rsid w:val="00E41688"/>
    <w:rsid w:val="00E41A26"/>
    <w:rsid w:val="00E46BCB"/>
    <w:rsid w:val="00E51CAF"/>
    <w:rsid w:val="00E52455"/>
    <w:rsid w:val="00E539FC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67D1"/>
    <w:rsid w:val="00EC1512"/>
    <w:rsid w:val="00ED1D89"/>
    <w:rsid w:val="00ED66BC"/>
    <w:rsid w:val="00EE13EF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0F35"/>
    <w:rsid w:val="00F43AD5"/>
    <w:rsid w:val="00F4402E"/>
    <w:rsid w:val="00F56DD0"/>
    <w:rsid w:val="00F6491C"/>
    <w:rsid w:val="00F67BBB"/>
    <w:rsid w:val="00F773DE"/>
    <w:rsid w:val="00F87D92"/>
    <w:rsid w:val="00F90AA7"/>
    <w:rsid w:val="00F92498"/>
    <w:rsid w:val="00F9496B"/>
    <w:rsid w:val="00F970C9"/>
    <w:rsid w:val="00FA00AA"/>
    <w:rsid w:val="00FA06A8"/>
    <w:rsid w:val="00FA3DF5"/>
    <w:rsid w:val="00FA741F"/>
    <w:rsid w:val="00FB4E07"/>
    <w:rsid w:val="00FB755A"/>
    <w:rsid w:val="00FC5B39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13A8ADE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15B0E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773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73D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73D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3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3D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F65D602DA1241ED8E9AEB86C32E5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30B0B5-C914-4E6E-B1FF-7ADBD96ADC13}"/>
      </w:docPartPr>
      <w:docPartBody>
        <w:p w:rsidR="00435435" w:rsidRDefault="00B557C2" w:rsidP="00B557C2">
          <w:pPr>
            <w:pStyle w:val="4F65D602DA1241ED8E9AEB86C32E5B27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4318A1"/>
    <w:rsid w:val="00435435"/>
    <w:rsid w:val="006F5A29"/>
    <w:rsid w:val="00B557C2"/>
    <w:rsid w:val="00CB2A67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57C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F65D602DA1241ED8E9AEB86C32E5B27">
    <w:name w:val="4F65D602DA1241ED8E9AEB86C32E5B27"/>
    <w:rsid w:val="00B557C2"/>
  </w:style>
  <w:style w:type="paragraph" w:customStyle="1" w:styleId="A170C423F77640F9BB6C2E7E09F97FAF">
    <w:name w:val="A170C423F77640F9BB6C2E7E09F97FAF"/>
    <w:rsid w:val="00B557C2"/>
  </w:style>
  <w:style w:type="paragraph" w:customStyle="1" w:styleId="37B792D2A70E455781FB938C58FCFAEE">
    <w:name w:val="37B792D2A70E455781FB938C58FCFAEE"/>
    <w:rsid w:val="00B557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8E39D1-C043-4EE5-88A4-A22674B934A2}"/>
</file>

<file path=customXml/itemProps4.xml><?xml version="1.0" encoding="utf-8"?>
<ds:datastoreItem xmlns:ds="http://schemas.openxmlformats.org/officeDocument/2006/customXml" ds:itemID="{9CFF98F2-D313-4C15-BA59-27F9203D5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9C03535E.dotm</Template>
  <TotalTime>24</TotalTime>
  <Pages>6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5</cp:revision>
  <cp:lastPrinted>2018-10-22T22:41:00Z</cp:lastPrinted>
  <dcterms:created xsi:type="dcterms:W3CDTF">2019-07-19T02:07:00Z</dcterms:created>
  <dcterms:modified xsi:type="dcterms:W3CDTF">2019-08-12T05:06:00Z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