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15B0D" w14:textId="77777777" w:rsidR="00BD499F" w:rsidRPr="004C23F4" w:rsidRDefault="00C9555B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3A4493" w:rsidRPr="003A4493">
            <w:rPr>
              <w:rFonts w:cs="Arial"/>
            </w:rPr>
            <w:t>Aniline and Homologues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4BB8EA7D" w14:textId="77777777" w:rsidTr="00B76A41">
        <w:trPr>
          <w:cantSplit/>
          <w:tblHeader/>
        </w:trPr>
        <w:tc>
          <w:tcPr>
            <w:tcW w:w="4077" w:type="dxa"/>
          </w:tcPr>
          <w:p w14:paraId="27AEF45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DE16A53" w14:textId="77777777" w:rsidR="00F43AD5" w:rsidRPr="00717D45" w:rsidRDefault="003A4493" w:rsidP="00B76A41">
            <w:pPr>
              <w:pStyle w:val="Tablefont"/>
            </w:pPr>
            <w:r>
              <w:t>62-53-3</w:t>
            </w:r>
          </w:p>
        </w:tc>
      </w:tr>
      <w:tr w:rsidR="00F43AD5" w:rsidRPr="004C23F4" w14:paraId="5561FDDE" w14:textId="77777777" w:rsidTr="00B76A41">
        <w:trPr>
          <w:cantSplit/>
        </w:trPr>
        <w:tc>
          <w:tcPr>
            <w:tcW w:w="4077" w:type="dxa"/>
          </w:tcPr>
          <w:p w14:paraId="10088C7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301568C" w14:textId="77777777" w:rsidR="00F43AD5" w:rsidRPr="00717D45" w:rsidRDefault="00C67DB7" w:rsidP="00C67DB7">
            <w:pPr>
              <w:pStyle w:val="Tablefont"/>
            </w:pPr>
            <w:proofErr w:type="spellStart"/>
            <w:r w:rsidRPr="00C67DB7">
              <w:t>Benzenamine</w:t>
            </w:r>
            <w:proofErr w:type="spellEnd"/>
            <w:r w:rsidR="00E01AFA">
              <w:t xml:space="preserve">, </w:t>
            </w:r>
            <w:proofErr w:type="spellStart"/>
            <w:r w:rsidR="00E01AFA">
              <w:t>phenylamine</w:t>
            </w:r>
            <w:proofErr w:type="spellEnd"/>
            <w:r w:rsidR="00E01AFA">
              <w:t xml:space="preserve">, </w:t>
            </w:r>
            <w:proofErr w:type="spellStart"/>
            <w:r w:rsidR="00E01AFA">
              <w:t>a</w:t>
            </w:r>
            <w:r>
              <w:t>minobenzene</w:t>
            </w:r>
            <w:proofErr w:type="spellEnd"/>
          </w:p>
        </w:tc>
      </w:tr>
      <w:tr w:rsidR="00F43AD5" w:rsidRPr="004C23F4" w14:paraId="585D58BA" w14:textId="77777777" w:rsidTr="00B76A41">
        <w:trPr>
          <w:cantSplit/>
        </w:trPr>
        <w:tc>
          <w:tcPr>
            <w:tcW w:w="4077" w:type="dxa"/>
          </w:tcPr>
          <w:p w14:paraId="2B5512A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9B964CF" w14:textId="77777777" w:rsidR="00F43AD5" w:rsidRPr="00717D45" w:rsidRDefault="00C67DB7" w:rsidP="00B76A41">
            <w:pPr>
              <w:pStyle w:val="Tablefont"/>
            </w:pPr>
            <w:r>
              <w:t>C</w:t>
            </w:r>
            <w:r w:rsidRPr="00C67DB7">
              <w:rPr>
                <w:vertAlign w:val="subscript"/>
              </w:rPr>
              <w:t>6</w:t>
            </w:r>
            <w:r>
              <w:t>H</w:t>
            </w:r>
            <w:r w:rsidRPr="00C67DB7">
              <w:rPr>
                <w:vertAlign w:val="subscript"/>
              </w:rPr>
              <w:t>5</w:t>
            </w:r>
            <w:r>
              <w:t>NH</w:t>
            </w:r>
            <w:r w:rsidRPr="00C67DB7">
              <w:rPr>
                <w:vertAlign w:val="subscript"/>
              </w:rPr>
              <w:t>2</w:t>
            </w:r>
          </w:p>
        </w:tc>
      </w:tr>
      <w:tr w:rsidR="00F43AD5" w:rsidRPr="004C23F4" w14:paraId="409B7492" w14:textId="77777777" w:rsidTr="00B76A41">
        <w:trPr>
          <w:cantSplit/>
        </w:trPr>
        <w:tc>
          <w:tcPr>
            <w:tcW w:w="4077" w:type="dxa"/>
          </w:tcPr>
          <w:p w14:paraId="1021B76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885D078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26D3CAF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B23B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098080E" w14:textId="77777777" w:rsidTr="2BCECC31">
        <w:trPr>
          <w:cantSplit/>
          <w:tblHeader/>
        </w:trPr>
        <w:tc>
          <w:tcPr>
            <w:tcW w:w="4077" w:type="dxa"/>
            <w:vAlign w:val="center"/>
          </w:tcPr>
          <w:p w14:paraId="261D91D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76FA19E" w14:textId="77777777" w:rsidR="002C7AFE" w:rsidRPr="009B23B5" w:rsidRDefault="009B23B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(1.94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EF2D301" w14:textId="77777777" w:rsidTr="2BCECC31">
        <w:trPr>
          <w:cantSplit/>
        </w:trPr>
        <w:tc>
          <w:tcPr>
            <w:tcW w:w="4077" w:type="dxa"/>
            <w:vAlign w:val="center"/>
          </w:tcPr>
          <w:p w14:paraId="137A033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ADB0244" w14:textId="77777777" w:rsidR="002C7AFE" w:rsidRPr="00EB3D1B" w:rsidRDefault="0090408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912174" w14:textId="77777777" w:rsidTr="2BCECC31">
        <w:trPr>
          <w:cantSplit/>
        </w:trPr>
        <w:tc>
          <w:tcPr>
            <w:tcW w:w="4077" w:type="dxa"/>
            <w:vAlign w:val="center"/>
          </w:tcPr>
          <w:p w14:paraId="5495A13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B5651E9" w14:textId="77777777" w:rsidR="002C7AFE" w:rsidRPr="00EB3D1B" w:rsidRDefault="0090408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C1507A1" w14:textId="77777777" w:rsidTr="2BCECC31">
        <w:trPr>
          <w:cantSplit/>
        </w:trPr>
        <w:tc>
          <w:tcPr>
            <w:tcW w:w="4077" w:type="dxa"/>
          </w:tcPr>
          <w:p w14:paraId="1FBD0F6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3046EA2" w14:textId="77777777" w:rsidR="002C7AFE" w:rsidRPr="00EB3D1B" w:rsidRDefault="2BCECC31" w:rsidP="2BCECC31">
            <w:pPr>
              <w:pStyle w:val="Tablefont"/>
              <w:rPr>
                <w:b/>
                <w:bCs/>
              </w:rPr>
            </w:pPr>
            <w:proofErr w:type="spellStart"/>
            <w:r w:rsidRPr="2BCECC31">
              <w:rPr>
                <w:b/>
                <w:bCs/>
              </w:rPr>
              <w:t>Carc</w:t>
            </w:r>
            <w:proofErr w:type="spellEnd"/>
            <w:r w:rsidRPr="2BCECC31">
              <w:rPr>
                <w:b/>
                <w:bCs/>
              </w:rPr>
              <w:t>. 2, Sk., DSEN</w:t>
            </w:r>
          </w:p>
        </w:tc>
      </w:tr>
      <w:tr w:rsidR="002C7AFE" w:rsidRPr="004C23F4" w14:paraId="4C03F31C" w14:textId="77777777" w:rsidTr="2BCECC31">
        <w:trPr>
          <w:cantSplit/>
        </w:trPr>
        <w:tc>
          <w:tcPr>
            <w:tcW w:w="4077" w:type="dxa"/>
            <w:vAlign w:val="center"/>
          </w:tcPr>
          <w:p w14:paraId="71E9E6D2" w14:textId="7DF13B34" w:rsidR="00F10C97" w:rsidRPr="002C58FF" w:rsidRDefault="00921DE7" w:rsidP="00C9555B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548FC4D" w14:textId="77777777" w:rsidR="002C7AFE" w:rsidRPr="00EB3D1B" w:rsidRDefault="00940C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C9555B" w:rsidRPr="004C23F4" w14:paraId="39BA842A" w14:textId="77777777" w:rsidTr="00C9555B">
        <w:trPr>
          <w:cantSplit/>
        </w:trPr>
        <w:tc>
          <w:tcPr>
            <w:tcW w:w="4077" w:type="dxa"/>
          </w:tcPr>
          <w:p w14:paraId="319F76A3" w14:textId="0D0C8E0D" w:rsidR="00C9555B" w:rsidRDefault="00C9555B" w:rsidP="00C9555B">
            <w:pPr>
              <w:pStyle w:val="Tablerowright"/>
            </w:pPr>
            <w:bookmarkStart w:id="0" w:name="_GoBack" w:colFirst="0" w:colLast="0"/>
            <w:r>
              <w:t>Sampling and analysis:</w:t>
            </w:r>
          </w:p>
        </w:tc>
        <w:tc>
          <w:tcPr>
            <w:tcW w:w="5165" w:type="dxa"/>
          </w:tcPr>
          <w:p w14:paraId="4D97202F" w14:textId="7C2FAFC7" w:rsidR="00C9555B" w:rsidRPr="00C9555B" w:rsidRDefault="00C9555B" w:rsidP="00017C82">
            <w:pPr>
              <w:pStyle w:val="Tablefont"/>
            </w:pPr>
            <w:r w:rsidRPr="00C9555B">
              <w:t>There is uncertainty regarding quantification of the recommended value with currently available sampling and/or analysis techniques.</w:t>
            </w:r>
          </w:p>
        </w:tc>
      </w:tr>
    </w:tbl>
    <w:bookmarkEnd w:id="0"/>
    <w:p w14:paraId="4E924A8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D429A60" w14:textId="77777777" w:rsidR="006639B4" w:rsidRPr="009B23B5" w:rsidRDefault="009B23B5" w:rsidP="000C139A">
      <w:pPr>
        <w:rPr>
          <w:rFonts w:cs="Arial"/>
        </w:rPr>
      </w:pPr>
      <w:r>
        <w:rPr>
          <w:rFonts w:cs="Arial"/>
        </w:rPr>
        <w:t>A TWA of 0.5 ppm (1.94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="00B41DFD">
        <w:rPr>
          <w:rFonts w:cs="Arial"/>
        </w:rPr>
        <w:t xml:space="preserve"> </w:t>
      </w:r>
      <w:proofErr w:type="gramStart"/>
      <w:r w:rsidR="00B41DFD">
        <w:rPr>
          <w:rFonts w:cs="Arial"/>
        </w:rPr>
        <w:t>is recommended</w:t>
      </w:r>
      <w:proofErr w:type="gramEnd"/>
      <w:r w:rsidR="00B41DFD">
        <w:rPr>
          <w:rFonts w:cs="Arial"/>
        </w:rPr>
        <w:t xml:space="preserve"> to </w:t>
      </w:r>
      <w:r w:rsidR="00E01AFA">
        <w:t>protect for the</w:t>
      </w:r>
      <w:r w:rsidR="00B41DFD">
        <w:t xml:space="preserve"> risk of elevated blood methaemoglobin and associated effects in exposed workers.</w:t>
      </w:r>
    </w:p>
    <w:p w14:paraId="5F29339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BCB35D1" w14:textId="51C364CE" w:rsidR="005D4A4E" w:rsidRDefault="00E01AFA" w:rsidP="00E00B0E">
      <w:r w:rsidRPr="00E01AFA">
        <w:rPr>
          <w:rFonts w:cs="Arial"/>
        </w:rPr>
        <w:t xml:space="preserve">Aniline </w:t>
      </w:r>
      <w:proofErr w:type="gramStart"/>
      <w:r>
        <w:rPr>
          <w:rFonts w:cs="Arial"/>
        </w:rPr>
        <w:t>is used</w:t>
      </w:r>
      <w:proofErr w:type="gramEnd"/>
      <w:r>
        <w:rPr>
          <w:rFonts w:cs="Arial"/>
        </w:rPr>
        <w:t xml:space="preserve"> in the manufacturing of</w:t>
      </w:r>
      <w:r w:rsidRPr="00E01AFA">
        <w:rPr>
          <w:rFonts w:cs="Arial"/>
        </w:rPr>
        <w:t xml:space="preserve"> </w:t>
      </w:r>
      <w:r>
        <w:rPr>
          <w:rFonts w:cs="Arial"/>
        </w:rPr>
        <w:t>polyurethane foams</w:t>
      </w:r>
      <w:r w:rsidRPr="00E01AFA">
        <w:rPr>
          <w:rFonts w:cs="Arial"/>
        </w:rPr>
        <w:t>,</w:t>
      </w:r>
      <w:r>
        <w:rPr>
          <w:rFonts w:cs="Arial"/>
        </w:rPr>
        <w:t xml:space="preserve"> pigments, dyes</w:t>
      </w:r>
      <w:r w:rsidRPr="00E01AFA">
        <w:rPr>
          <w:rFonts w:cs="Arial"/>
        </w:rPr>
        <w:t xml:space="preserve"> and pharmaceuticals.</w:t>
      </w:r>
      <w:r>
        <w:rPr>
          <w:rFonts w:cs="Arial"/>
        </w:rPr>
        <w:t xml:space="preserve"> </w:t>
      </w:r>
      <w:r w:rsidR="0076220C">
        <w:rPr>
          <w:rFonts w:cs="Arial"/>
        </w:rPr>
        <w:t>T</w:t>
      </w:r>
      <w:r w:rsidR="0076220C">
        <w:t>he critical toxic effect</w:t>
      </w:r>
      <w:r w:rsidR="00C67DB7">
        <w:t xml:space="preserve"> </w:t>
      </w:r>
      <w:r w:rsidR="005D4A4E">
        <w:t xml:space="preserve">of </w:t>
      </w:r>
      <w:r w:rsidR="00C67DB7">
        <w:t>aniline</w:t>
      </w:r>
      <w:r w:rsidR="005D4A4E">
        <w:t xml:space="preserve"> exposure</w:t>
      </w:r>
      <w:r w:rsidR="0076220C">
        <w:t xml:space="preserve"> is formation of methaemoglobin (</w:t>
      </w:r>
      <w:proofErr w:type="spellStart"/>
      <w:r w:rsidR="0076220C">
        <w:t>MHb</w:t>
      </w:r>
      <w:proofErr w:type="spellEnd"/>
      <w:r w:rsidR="0076220C">
        <w:t>) which result</w:t>
      </w:r>
      <w:r w:rsidR="00BA0507">
        <w:t>s</w:t>
      </w:r>
      <w:r w:rsidR="0076220C">
        <w:t xml:space="preserve"> in </w:t>
      </w:r>
      <w:proofErr w:type="spellStart"/>
      <w:r w:rsidR="0076220C">
        <w:t>me</w:t>
      </w:r>
      <w:r>
        <w:t>thaemoglobinaemia</w:t>
      </w:r>
      <w:proofErr w:type="spellEnd"/>
      <w:r>
        <w:t xml:space="preserve"> and cyanosis.</w:t>
      </w:r>
      <w:r w:rsidR="0076220C">
        <w:t xml:space="preserve"> </w:t>
      </w:r>
    </w:p>
    <w:p w14:paraId="4AACCBBF" w14:textId="3BC39382" w:rsidR="006639B4" w:rsidRDefault="00C67DB7" w:rsidP="00E00B0E">
      <w:r>
        <w:t>I</w:t>
      </w:r>
      <w:r w:rsidR="0076220C">
        <w:t>n vapour and liquid form, i</w:t>
      </w:r>
      <w:r>
        <w:t xml:space="preserve">t </w:t>
      </w:r>
      <w:proofErr w:type="gramStart"/>
      <w:r>
        <w:t>i</w:t>
      </w:r>
      <w:r w:rsidR="0076220C">
        <w:t>s readily absorbed by the skin and associated with</w:t>
      </w:r>
      <w:r w:rsidR="0076220C" w:rsidRPr="0076220C">
        <w:t xml:space="preserve"> systemic toxicity</w:t>
      </w:r>
      <w:proofErr w:type="gramEnd"/>
      <w:r w:rsidR="00E01AFA">
        <w:t xml:space="preserve">. </w:t>
      </w:r>
      <w:r w:rsidR="005D4A4E">
        <w:t>Exposure to seven</w:t>
      </w:r>
      <w:r w:rsidR="00984EA6">
        <w:t xml:space="preserve"> to </w:t>
      </w:r>
      <w:r w:rsidR="00E00B0E">
        <w:t>53 </w:t>
      </w:r>
      <w:r w:rsidR="00984EA6">
        <w:t xml:space="preserve">ppm for several hours </w:t>
      </w:r>
      <w:r w:rsidR="005D4A4E">
        <w:t xml:space="preserve">is </w:t>
      </w:r>
      <w:r w:rsidR="00984EA6">
        <w:t>reported to cause slight symptoms (ACGIH, 2018; DFG, 2007; SCOEL; 2013)</w:t>
      </w:r>
      <w:r w:rsidR="00802A08">
        <w:t>.</w:t>
      </w:r>
      <w:r w:rsidR="00E00B0E">
        <w:t xml:space="preserve"> Significant dermal absorption of aniline from the gas (vapour) phase </w:t>
      </w:r>
      <w:proofErr w:type="gramStart"/>
      <w:r w:rsidR="00E00B0E">
        <w:t>is reported</w:t>
      </w:r>
      <w:proofErr w:type="gramEnd"/>
      <w:r w:rsidR="00E00B0E">
        <w:t xml:space="preserve"> (ACGIH 2018; SCOEL 2013). Acute poisonings in humans have </w:t>
      </w:r>
      <w:r w:rsidR="005860BC">
        <w:t>resulted in</w:t>
      </w:r>
      <w:r w:rsidR="00E00B0E">
        <w:t xml:space="preserve"> death.</w:t>
      </w:r>
    </w:p>
    <w:p w14:paraId="3F7EE0FB" w14:textId="77777777" w:rsidR="005D4A4E" w:rsidRDefault="00802A08" w:rsidP="00CD06AC">
      <w:r>
        <w:t xml:space="preserve">A NOAEL of 5 ppm for increased </w:t>
      </w:r>
      <w:proofErr w:type="spellStart"/>
      <w:r>
        <w:t>MHb</w:t>
      </w:r>
      <w:proofErr w:type="spellEnd"/>
      <w:r>
        <w:t xml:space="preserve"> levels </w:t>
      </w:r>
      <w:proofErr w:type="gramStart"/>
      <w:r>
        <w:t>is reported</w:t>
      </w:r>
      <w:proofErr w:type="gramEnd"/>
      <w:r>
        <w:t xml:space="preserve"> in rats exposed for </w:t>
      </w:r>
      <w:r w:rsidR="00E00B0E">
        <w:t>six</w:t>
      </w:r>
      <w:r>
        <w:t xml:space="preserve"> months. A daily dose of 35 mg, reported in humans, </w:t>
      </w:r>
      <w:r w:rsidR="003B1B88">
        <w:t xml:space="preserve">caused a concentration </w:t>
      </w:r>
      <w:r w:rsidR="00E52A69">
        <w:t xml:space="preserve">blood </w:t>
      </w:r>
      <w:proofErr w:type="spellStart"/>
      <w:r>
        <w:t>MHb</w:t>
      </w:r>
      <w:proofErr w:type="spellEnd"/>
      <w:r>
        <w:t xml:space="preserve"> </w:t>
      </w:r>
      <w:r w:rsidR="003B1B88">
        <w:t>of 3.7</w:t>
      </w:r>
      <w:proofErr w:type="gramStart"/>
      <w:r w:rsidR="003B1B88">
        <w:t>%</w:t>
      </w:r>
      <w:r w:rsidR="003B1B88" w:rsidRPr="00802A08">
        <w:t xml:space="preserve"> </w:t>
      </w:r>
      <w:r>
        <w:t xml:space="preserve">which </w:t>
      </w:r>
      <w:r w:rsidR="00942FAE">
        <w:t>is</w:t>
      </w:r>
      <w:r>
        <w:t xml:space="preserve"> considered tolerable</w:t>
      </w:r>
      <w:proofErr w:type="gramEnd"/>
      <w:r>
        <w:t xml:space="preserve"> and without adverse effects</w:t>
      </w:r>
      <w:r w:rsidR="00E01AFA">
        <w:t xml:space="preserve">. </w:t>
      </w:r>
    </w:p>
    <w:p w14:paraId="62113873" w14:textId="0B5E7D35" w:rsidR="00436276" w:rsidRPr="00CB2969" w:rsidRDefault="001F2C39" w:rsidP="00CD06AC">
      <w:pPr>
        <w:rPr>
          <w:rFonts w:cs="Arial"/>
        </w:rPr>
      </w:pPr>
      <w:r>
        <w:t>T</w:t>
      </w:r>
      <w:r w:rsidR="00CB2969">
        <w:t>he</w:t>
      </w:r>
      <w:r w:rsidR="00E00B0E">
        <w:t xml:space="preserve"> recommended TWA </w:t>
      </w:r>
      <w:proofErr w:type="gramStart"/>
      <w:r w:rsidR="00E00B0E">
        <w:t>is based</w:t>
      </w:r>
      <w:proofErr w:type="gramEnd"/>
      <w:r w:rsidR="00E00B0E">
        <w:t xml:space="preserve"> </w:t>
      </w:r>
      <w:r w:rsidR="003B1B88">
        <w:t xml:space="preserve">on </w:t>
      </w:r>
      <w:r w:rsidR="00E00B0E">
        <w:t>the</w:t>
      </w:r>
      <w:r w:rsidR="00CB2969">
        <w:t xml:space="preserve"> 35 mg </w:t>
      </w:r>
      <w:r w:rsidR="00E52A69">
        <w:t>dose</w:t>
      </w:r>
      <w:r w:rsidR="005D4A4E">
        <w:t xml:space="preserve"> in human studies</w:t>
      </w:r>
      <w:r w:rsidR="00E52A69">
        <w:t xml:space="preserve"> </w:t>
      </w:r>
      <w:r w:rsidR="0046556D">
        <w:t xml:space="preserve">and </w:t>
      </w:r>
      <w:r w:rsidR="00CB2969">
        <w:t>corresponds to an airborne concentration of 0.5 ppm (1.94 mg/m</w:t>
      </w:r>
      <w:r w:rsidR="00CB2969">
        <w:rPr>
          <w:vertAlign w:val="superscript"/>
        </w:rPr>
        <w:t>3</w:t>
      </w:r>
      <w:r w:rsidR="00E01AFA">
        <w:t xml:space="preserve">). </w:t>
      </w:r>
      <w:r w:rsidR="00E00B0E">
        <w:t xml:space="preserve">The TWA </w:t>
      </w:r>
      <w:proofErr w:type="gramStart"/>
      <w:r w:rsidR="00E00B0E">
        <w:t>is expected</w:t>
      </w:r>
      <w:proofErr w:type="gramEnd"/>
      <w:r w:rsidR="00E00B0E">
        <w:t xml:space="preserve"> to protect for </w:t>
      </w:r>
      <w:r w:rsidR="00E52A69">
        <w:t xml:space="preserve">the increase of </w:t>
      </w:r>
      <w:proofErr w:type="spellStart"/>
      <w:r w:rsidR="00CD06AC">
        <w:t>MHb</w:t>
      </w:r>
      <w:proofErr w:type="spellEnd"/>
      <w:r w:rsidR="00CD06AC">
        <w:t xml:space="preserve"> </w:t>
      </w:r>
      <w:r w:rsidR="0046556D">
        <w:t xml:space="preserve">concentrations </w:t>
      </w:r>
      <w:r w:rsidR="00CD06AC">
        <w:t>caused by exposure fluctuations around the TWA</w:t>
      </w:r>
      <w:r w:rsidR="0046556D">
        <w:t>.</w:t>
      </w:r>
      <w:r w:rsidR="00CD06AC">
        <w:t xml:space="preserve"> Therefore, a STEL </w:t>
      </w:r>
      <w:proofErr w:type="gramStart"/>
      <w:r w:rsidR="00CD06AC">
        <w:t>is not recommended</w:t>
      </w:r>
      <w:proofErr w:type="gramEnd"/>
      <w:r w:rsidR="00CD06AC">
        <w:t>.</w:t>
      </w:r>
    </w:p>
    <w:p w14:paraId="49AF7A5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BF5C215" w14:textId="77777777" w:rsidR="007561BA" w:rsidRDefault="007561BA" w:rsidP="007561BA">
      <w:pPr>
        <w:rPr>
          <w:rFonts w:cs="Arial"/>
        </w:rPr>
      </w:pPr>
      <w:r>
        <w:rPr>
          <w:rFonts w:cs="Arial"/>
        </w:rPr>
        <w:t xml:space="preserve">Classified as a category 2 carcinogen according to the Globally Harmonised System of Classification and Labelling on Chemicals (GHS). </w:t>
      </w:r>
    </w:p>
    <w:p w14:paraId="4E239557" w14:textId="77777777" w:rsidR="00E01AFA" w:rsidRDefault="00E01AFA" w:rsidP="007561BA">
      <w:pPr>
        <w:rPr>
          <w:rFonts w:cs="Arial"/>
        </w:rPr>
      </w:pPr>
      <w:r>
        <w:rPr>
          <w:rFonts w:cs="Arial"/>
        </w:rPr>
        <w:t xml:space="preserve">Classified as a skin sensitiser </w:t>
      </w:r>
      <w:r w:rsidR="00E00B0E">
        <w:rPr>
          <w:rFonts w:cs="Arial"/>
        </w:rPr>
        <w:t>and</w:t>
      </w:r>
      <w:r w:rsidR="001F2C39">
        <w:rPr>
          <w:rFonts w:cs="Arial"/>
        </w:rPr>
        <w:t xml:space="preserve"> not a respiratory sensitiser </w:t>
      </w:r>
      <w:r>
        <w:rPr>
          <w:rFonts w:cs="Arial"/>
        </w:rPr>
        <w:t>according to the GHS.</w:t>
      </w:r>
    </w:p>
    <w:p w14:paraId="4625123B" w14:textId="77777777" w:rsidR="007561BA" w:rsidRDefault="00940CBD" w:rsidP="007561BA">
      <w:pPr>
        <w:rPr>
          <w:rFonts w:cs="Arial"/>
        </w:rPr>
      </w:pPr>
      <w:r>
        <w:rPr>
          <w:rFonts w:cs="Arial"/>
        </w:rPr>
        <w:t xml:space="preserve">A skin notation </w:t>
      </w:r>
      <w:proofErr w:type="gramStart"/>
      <w:r>
        <w:rPr>
          <w:rFonts w:cs="Arial"/>
        </w:rPr>
        <w:t>is recommended</w:t>
      </w:r>
      <w:proofErr w:type="gramEnd"/>
      <w:r>
        <w:rPr>
          <w:rFonts w:cs="Arial"/>
        </w:rPr>
        <w:t xml:space="preserve"> based on the available data</w:t>
      </w:r>
      <w:r w:rsidR="00C67DB7">
        <w:rPr>
          <w:rFonts w:cs="Arial"/>
        </w:rPr>
        <w:t xml:space="preserve"> on absorption</w:t>
      </w:r>
      <w:r w:rsidR="000D6FC0">
        <w:rPr>
          <w:rFonts w:cs="Arial"/>
        </w:rPr>
        <w:t xml:space="preserve"> and systemic toxicity.</w:t>
      </w:r>
    </w:p>
    <w:p w14:paraId="0AD7504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2F07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DE0E15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43199A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75610D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7313F4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A449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A4493">
                  <w:t>TWA: 2 ppm (7.6 mg/m</w:t>
                </w:r>
                <w:r w:rsidR="003A4493">
                  <w:rPr>
                    <w:vertAlign w:val="superscript"/>
                  </w:rPr>
                  <w:t>3</w:t>
                </w:r>
                <w:r w:rsidR="003A4493">
                  <w:t>)</w:t>
                </w:r>
              </w:sdtContent>
            </w:sdt>
          </w:p>
        </w:tc>
      </w:tr>
      <w:tr w:rsidR="00C978F0" w:rsidRPr="00DA352E" w14:paraId="79FFE5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D1C85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E70E8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034B6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A449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A4493">
                  <w:t>TLV-TWA: 2 ppm (7.6 mg/m</w:t>
                </w:r>
                <w:r w:rsidR="003A4493">
                  <w:rPr>
                    <w:vertAlign w:val="superscript"/>
                  </w:rPr>
                  <w:t>3</w:t>
                </w:r>
                <w:r w:rsidR="003A4493">
                  <w:t>)</w:t>
                </w:r>
              </w:sdtContent>
            </w:sdt>
          </w:p>
        </w:tc>
      </w:tr>
      <w:tr w:rsidR="00C978F0" w:rsidRPr="00DA352E" w14:paraId="3F3BA4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4B05DF" w14:textId="4B1E4C59" w:rsidR="00E00B0E" w:rsidRDefault="00E01AFA" w:rsidP="00621D8A">
            <w:pPr>
              <w:pStyle w:val="Tabletextprimarysource"/>
            </w:pPr>
            <w:r>
              <w:t>TLV-</w:t>
            </w:r>
            <w:r w:rsidR="00621D8A">
              <w:t xml:space="preserve">TWA </w:t>
            </w:r>
            <w:r w:rsidR="00E00B0E">
              <w:t xml:space="preserve">based on the increase in </w:t>
            </w:r>
            <w:proofErr w:type="spellStart"/>
            <w:r w:rsidR="00D36BB1">
              <w:t>MHb</w:t>
            </w:r>
            <w:proofErr w:type="spellEnd"/>
            <w:r w:rsidR="00621D8A">
              <w:t xml:space="preserve"> in blood observed in animals and </w:t>
            </w:r>
            <w:r>
              <w:t>for risk of</w:t>
            </w:r>
            <w:r w:rsidR="00621D8A">
              <w:t xml:space="preserve"> skin absorption in humans</w:t>
            </w:r>
            <w:r>
              <w:t xml:space="preserve"> on</w:t>
            </w:r>
            <w:r w:rsidR="006746DE">
              <w:t xml:space="preserve"> </w:t>
            </w:r>
            <w:r>
              <w:t>contact with liquid aniline</w:t>
            </w:r>
            <w:r w:rsidR="006746DE">
              <w:t>.</w:t>
            </w:r>
          </w:p>
          <w:p w14:paraId="772CFA0D" w14:textId="77777777" w:rsidR="00621D8A" w:rsidRDefault="00621D8A" w:rsidP="00621D8A">
            <w:pPr>
              <w:pStyle w:val="Tabletextprimarysource"/>
            </w:pPr>
            <w:r>
              <w:t>Summary of data:</w:t>
            </w:r>
          </w:p>
          <w:p w14:paraId="1381ADDA" w14:textId="77777777" w:rsidR="00621D8A" w:rsidRDefault="00621D8A" w:rsidP="00E01AF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70F731AD" w14:textId="6463DC94" w:rsidR="00621D8A" w:rsidRDefault="00621D8A" w:rsidP="00E00B0E">
            <w:pPr>
              <w:pStyle w:val="ListBullet"/>
              <w:spacing w:before="0" w:after="80"/>
              <w:ind w:left="720" w:hanging="357"/>
              <w:contextualSpacing w:val="0"/>
            </w:pPr>
            <w:r>
              <w:t>Acute poisoning</w:t>
            </w:r>
            <w:r w:rsidR="00FF280D">
              <w:t xml:space="preserve"> </w:t>
            </w:r>
            <w:r w:rsidR="0046556D">
              <w:t>causing</w:t>
            </w:r>
            <w:r w:rsidR="004244FF">
              <w:t xml:space="preserve"> death associated with formation of </w:t>
            </w:r>
            <w:proofErr w:type="spellStart"/>
            <w:r w:rsidR="00E01AFA">
              <w:t>MHb</w:t>
            </w:r>
            <w:proofErr w:type="spellEnd"/>
            <w:r w:rsidR="004244FF">
              <w:t xml:space="preserve"> and cyanosis</w:t>
            </w:r>
          </w:p>
          <w:p w14:paraId="56399D80" w14:textId="5CFCED79" w:rsidR="004244FF" w:rsidRDefault="004244FF" w:rsidP="00E00B0E">
            <w:pPr>
              <w:pStyle w:val="ListBullet"/>
              <w:tabs>
                <w:tab w:val="clear" w:pos="360"/>
              </w:tabs>
              <w:spacing w:before="0" w:after="80"/>
              <w:ind w:left="731" w:hanging="357"/>
              <w:contextualSpacing w:val="0"/>
            </w:pPr>
            <w:r>
              <w:t xml:space="preserve">Liver cirrhosis and atrophy identified in </w:t>
            </w:r>
            <w:r w:rsidR="0046556D">
              <w:t xml:space="preserve">one </w:t>
            </w:r>
            <w:r>
              <w:t>fatal poisoning</w:t>
            </w:r>
          </w:p>
          <w:p w14:paraId="7B5C27D0" w14:textId="77777777" w:rsidR="004244FF" w:rsidRDefault="002F77A7" w:rsidP="00E00B0E">
            <w:pPr>
              <w:pStyle w:val="ListBullet"/>
              <w:tabs>
                <w:tab w:val="clear" w:pos="360"/>
              </w:tabs>
              <w:spacing w:before="0" w:after="80"/>
              <w:ind w:left="731" w:hanging="357"/>
              <w:contextualSpacing w:val="0"/>
            </w:pPr>
            <w:r>
              <w:t>Exposure (7–53 ppm, 2–</w:t>
            </w:r>
            <w:r w:rsidR="000D6FC0">
              <w:t>3</w:t>
            </w:r>
            <w:r w:rsidR="004244FF">
              <w:t xml:space="preserve"> </w:t>
            </w:r>
            <w:r w:rsidR="000D6FC0">
              <w:t>h)</w:t>
            </w:r>
            <w:r w:rsidR="004244FF">
              <w:t xml:space="preserve"> reported</w:t>
            </w:r>
            <w:r w:rsidR="0085116F">
              <w:t xml:space="preserve"> to be</w:t>
            </w:r>
            <w:r w:rsidR="004244FF">
              <w:t xml:space="preserve"> </w:t>
            </w:r>
            <w:r w:rsidR="0085116F">
              <w:t xml:space="preserve">associated with </w:t>
            </w:r>
            <w:r w:rsidR="004244FF">
              <w:t>slight symptoms (no further information)</w:t>
            </w:r>
          </w:p>
          <w:p w14:paraId="1970617B" w14:textId="77777777" w:rsidR="004244FF" w:rsidRDefault="00450650" w:rsidP="00E00B0E">
            <w:pPr>
              <w:pStyle w:val="ListBullet"/>
              <w:tabs>
                <w:tab w:val="clear" w:pos="360"/>
              </w:tabs>
              <w:spacing w:before="0" w:after="80"/>
              <w:ind w:left="731" w:hanging="357"/>
              <w:contextualSpacing w:val="0"/>
            </w:pPr>
            <w:r>
              <w:t>Expos</w:t>
            </w:r>
            <w:r w:rsidR="002F77A7">
              <w:t>ure (100–</w:t>
            </w:r>
            <w:r w:rsidR="000D6FC0">
              <w:t>160 ppm, 1 h)</w:t>
            </w:r>
            <w:r>
              <w:t xml:space="preserve"> reported </w:t>
            </w:r>
            <w:r w:rsidR="0085116F">
              <w:t xml:space="preserve">to be associated with </w:t>
            </w:r>
            <w:r>
              <w:t>serious disturbances (no further information)</w:t>
            </w:r>
          </w:p>
          <w:p w14:paraId="07587C89" w14:textId="77777777" w:rsidR="00450650" w:rsidRDefault="00450650" w:rsidP="00E00B0E">
            <w:pPr>
              <w:pStyle w:val="ListBullet"/>
              <w:tabs>
                <w:tab w:val="clear" w:pos="360"/>
              </w:tabs>
              <w:spacing w:before="0" w:after="80"/>
              <w:ind w:left="731" w:hanging="357"/>
              <w:contextualSpacing w:val="0"/>
            </w:pPr>
            <w:r>
              <w:t>Skin absorption</w:t>
            </w:r>
            <w:r w:rsidR="00B67BBB">
              <w:t xml:space="preserve"> </w:t>
            </w:r>
            <w:r w:rsidR="006746DE">
              <w:t xml:space="preserve">and systemic toxicity </w:t>
            </w:r>
            <w:r w:rsidR="006746DE" w:rsidRPr="00E00B0E">
              <w:rPr>
                <w:i/>
              </w:rPr>
              <w:t>via</w:t>
            </w:r>
            <w:r>
              <w:t xml:space="preserve"> vapour exposure</w:t>
            </w:r>
            <w:r w:rsidR="00B67BBB">
              <w:t xml:space="preserve"> and contact with liquid aniline</w:t>
            </w:r>
            <w:r>
              <w:t xml:space="preserve"> </w:t>
            </w:r>
          </w:p>
          <w:p w14:paraId="68AE46DE" w14:textId="77777777" w:rsidR="00450650" w:rsidRDefault="00450650" w:rsidP="00E00B0E">
            <w:pPr>
              <w:pStyle w:val="ListBullet"/>
              <w:tabs>
                <w:tab w:val="clear" w:pos="360"/>
              </w:tabs>
              <w:spacing w:before="0" w:after="80"/>
              <w:ind w:left="731" w:hanging="357"/>
              <w:contextualSpacing w:val="0"/>
            </w:pPr>
            <w:r>
              <w:t>Maximum</w:t>
            </w:r>
            <w:r w:rsidR="006746DE">
              <w:t xml:space="preserve"> allowable</w:t>
            </w:r>
            <w:r>
              <w:t xml:space="preserve"> daily dose at 35 mg </w:t>
            </w:r>
            <w:r w:rsidR="000D6FC0">
              <w:t>(</w:t>
            </w:r>
            <w:r w:rsidR="00F04FBB">
              <w:rPr>
                <w:rFonts w:cs="Arial"/>
              </w:rPr>
              <w:t>≈</w:t>
            </w:r>
            <w:r w:rsidR="000D6FC0">
              <w:t>1 ppm; 8 h, mild exertion)</w:t>
            </w:r>
            <w:r w:rsidR="00E00B0E">
              <w:t>.</w:t>
            </w:r>
          </w:p>
          <w:p w14:paraId="00E1AE36" w14:textId="77777777" w:rsidR="00E00B0E" w:rsidRDefault="00E00B0E" w:rsidP="00450650">
            <w:pPr>
              <w:pStyle w:val="ListBullet"/>
              <w:numPr>
                <w:ilvl w:val="0"/>
                <w:numId w:val="0"/>
              </w:numPr>
            </w:pPr>
          </w:p>
          <w:p w14:paraId="6CE4EEE2" w14:textId="77777777" w:rsidR="00450650" w:rsidRDefault="00450650" w:rsidP="00450650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25AD46D2" w14:textId="6E2F34DD" w:rsidR="00450650" w:rsidRDefault="00D434E6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5 ppm</w:t>
            </w:r>
            <w:r w:rsidR="0085116F">
              <w:t xml:space="preserve"> (rats, daily for </w:t>
            </w:r>
            <w:r w:rsidR="0046556D">
              <w:t>six months</w:t>
            </w:r>
            <w:r w:rsidR="0085116F">
              <w:t>)</w:t>
            </w:r>
            <w:r w:rsidR="00450650">
              <w:t xml:space="preserve"> </w:t>
            </w:r>
            <w:r w:rsidR="0085116F">
              <w:t xml:space="preserve">associated with </w:t>
            </w:r>
            <w:r w:rsidR="00852C3B">
              <w:t xml:space="preserve">no effects other than slight </w:t>
            </w:r>
            <w:r w:rsidR="00450650">
              <w:t xml:space="preserve">increase in </w:t>
            </w:r>
            <w:proofErr w:type="spellStart"/>
            <w:r w:rsidR="00D36BB1">
              <w:t>MHb</w:t>
            </w:r>
            <w:proofErr w:type="spellEnd"/>
            <w:r w:rsidR="00450650">
              <w:t xml:space="preserve"> in blood</w:t>
            </w:r>
            <w:r w:rsidR="000D6FC0">
              <w:t xml:space="preserve"> </w:t>
            </w:r>
          </w:p>
          <w:p w14:paraId="0382A8E8" w14:textId="0F1FC709" w:rsidR="00891D53" w:rsidRDefault="00891D53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Compound induced </w:t>
            </w:r>
            <w:proofErr w:type="spellStart"/>
            <w:r w:rsidR="00246F99">
              <w:t>haemangiosarcomas</w:t>
            </w:r>
            <w:proofErr w:type="spellEnd"/>
            <w:r w:rsidR="00246F99">
              <w:t xml:space="preserve">, </w:t>
            </w:r>
            <w:proofErr w:type="spellStart"/>
            <w:r w:rsidR="00246F99">
              <w:t>fibrosarc</w:t>
            </w:r>
            <w:r w:rsidR="00E161AA">
              <w:t>omas</w:t>
            </w:r>
            <w:proofErr w:type="spellEnd"/>
            <w:r w:rsidR="00E161AA">
              <w:t xml:space="preserve"> and sarcomas of spleen as well as a combination of </w:t>
            </w:r>
            <w:proofErr w:type="spellStart"/>
            <w:r w:rsidR="00E161AA">
              <w:t>fibrosarcomas</w:t>
            </w:r>
            <w:proofErr w:type="spellEnd"/>
            <w:r w:rsidR="00E161AA">
              <w:t xml:space="preserve"> and sarcomas of </w:t>
            </w:r>
            <w:r w:rsidR="00246F99">
              <w:t xml:space="preserve">other organs </w:t>
            </w:r>
            <w:r w:rsidR="007E757E">
              <w:t>in rats fed</w:t>
            </w:r>
            <w:r>
              <w:t xml:space="preserve"> </w:t>
            </w:r>
            <w:r w:rsidRPr="007E757E">
              <w:t>0.6% or 0.3%</w:t>
            </w:r>
            <w:r w:rsidR="007E757E">
              <w:t xml:space="preserve"> aniline</w:t>
            </w:r>
            <w:r>
              <w:t xml:space="preserve"> </w:t>
            </w:r>
            <w:r w:rsidR="007E757E">
              <w:t>for</w:t>
            </w:r>
            <w:r>
              <w:t xml:space="preserve"> 103 </w:t>
            </w:r>
            <w:r w:rsidR="007E757E">
              <w:t>weeks</w:t>
            </w:r>
          </w:p>
          <w:p w14:paraId="46966BC0" w14:textId="77777777" w:rsidR="0085560D" w:rsidRDefault="0085560D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No carcinogenicity in mice</w:t>
            </w:r>
          </w:p>
          <w:p w14:paraId="13B089AE" w14:textId="77777777" w:rsidR="00891D53" w:rsidRDefault="00891D53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Aniline was negative in the </w:t>
            </w:r>
            <w:r w:rsidRPr="00891D53">
              <w:rPr>
                <w:i/>
              </w:rPr>
              <w:t>Salmonella</w:t>
            </w:r>
            <w:r>
              <w:t xml:space="preserve"> and </w:t>
            </w:r>
            <w:r w:rsidRPr="00891D53">
              <w:rPr>
                <w:i/>
              </w:rPr>
              <w:t>Drosophila</w:t>
            </w:r>
            <w:r>
              <w:t xml:space="preserve"> assays.</w:t>
            </w:r>
          </w:p>
          <w:p w14:paraId="769EA562" w14:textId="77777777" w:rsidR="00E00B0E" w:rsidRPr="00DA352E" w:rsidRDefault="00E00B0E" w:rsidP="00E00B0E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C978F0" w:rsidRPr="00DA352E" w14:paraId="51B9CB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190AA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97537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97537">
                  <w:t>MAK: 2 ppm (7.7 mg/m</w:t>
                </w:r>
                <w:r w:rsidR="00F97537">
                  <w:rPr>
                    <w:vertAlign w:val="superscript"/>
                  </w:rPr>
                  <w:t>3</w:t>
                </w:r>
                <w:r w:rsidR="00F97537">
                  <w:t>)</w:t>
                </w:r>
              </w:sdtContent>
            </w:sdt>
          </w:p>
        </w:tc>
      </w:tr>
      <w:tr w:rsidR="00C978F0" w:rsidRPr="00DA352E" w14:paraId="103AF0B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A87C0E" w14:textId="30B7BC7F" w:rsidR="00E00B0E" w:rsidRDefault="00E26065" w:rsidP="003365A5">
            <w:pPr>
              <w:pStyle w:val="Tabletextprimarysource"/>
            </w:pPr>
            <w:r>
              <w:t xml:space="preserve">The MAK protects healthy workers from </w:t>
            </w:r>
            <w:proofErr w:type="spellStart"/>
            <w:r>
              <w:t>methaemoglobinaemia</w:t>
            </w:r>
            <w:proofErr w:type="spellEnd"/>
            <w:r w:rsidR="00593363">
              <w:t>,</w:t>
            </w:r>
            <w:r>
              <w:t xml:space="preserve"> </w:t>
            </w:r>
            <w:r w:rsidR="0076220C">
              <w:t xml:space="preserve">if </w:t>
            </w:r>
            <w:r w:rsidR="00593363">
              <w:t xml:space="preserve">exposure </w:t>
            </w:r>
            <w:r w:rsidR="00593363" w:rsidRPr="00E00B0E">
              <w:rPr>
                <w:i/>
              </w:rPr>
              <w:t>via</w:t>
            </w:r>
            <w:r w:rsidR="00593363">
              <w:t xml:space="preserve"> </w:t>
            </w:r>
            <w:r>
              <w:t xml:space="preserve">skin contact with liquid aniline </w:t>
            </w:r>
            <w:proofErr w:type="gramStart"/>
            <w:r>
              <w:t>is prevented</w:t>
            </w:r>
            <w:proofErr w:type="gramEnd"/>
            <w:r w:rsidR="000D6FC0">
              <w:t>.</w:t>
            </w:r>
          </w:p>
          <w:p w14:paraId="54ABF8C8" w14:textId="77777777" w:rsidR="007F6B70" w:rsidRDefault="007F6B70" w:rsidP="003365A5">
            <w:pPr>
              <w:pStyle w:val="Tabletextprimarysource"/>
            </w:pPr>
            <w:r>
              <w:t>Summary of additional data:</w:t>
            </w:r>
          </w:p>
          <w:p w14:paraId="4A90437B" w14:textId="77777777" w:rsidR="007E542D" w:rsidRDefault="007F6B70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LOAEL: </w:t>
            </w:r>
            <w:r w:rsidR="0046556D">
              <w:t xml:space="preserve">a </w:t>
            </w:r>
            <w:r>
              <w:t>45 mg</w:t>
            </w:r>
            <w:r w:rsidR="001F2C39">
              <w:t xml:space="preserve"> oral</w:t>
            </w:r>
            <w:r w:rsidR="0085560D">
              <w:t xml:space="preserve"> dose in</w:t>
            </w:r>
            <w:r>
              <w:t xml:space="preserve"> healthy persons</w:t>
            </w:r>
            <w:r w:rsidR="006D1448">
              <w:t xml:space="preserve"> results in</w:t>
            </w:r>
            <w:r>
              <w:t xml:space="preserve"> no symptoms induced by </w:t>
            </w:r>
            <w:proofErr w:type="spellStart"/>
            <w:r w:rsidR="00E52A69">
              <w:t>MHb</w:t>
            </w:r>
            <w:proofErr w:type="spellEnd"/>
            <w:r w:rsidR="00E52A69">
              <w:t xml:space="preserve"> </w:t>
            </w:r>
          </w:p>
          <w:p w14:paraId="6473E65F" w14:textId="3CB3DD4E" w:rsidR="007F6B70" w:rsidRDefault="007E542D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MAK value is considered protective for </w:t>
            </w:r>
            <w:proofErr w:type="spellStart"/>
            <w:r>
              <w:t>methaemoglobinaemia</w:t>
            </w:r>
            <w:proofErr w:type="spellEnd"/>
            <w:r>
              <w:t xml:space="preserve"> considering </w:t>
            </w:r>
            <w:r w:rsidR="00E52A69">
              <w:t>a</w:t>
            </w:r>
            <w:r w:rsidR="005D4A4E">
              <w:t>niline</w:t>
            </w:r>
            <w:r w:rsidR="00E52A69">
              <w:t xml:space="preserve"> </w:t>
            </w:r>
            <w:r w:rsidR="00717485">
              <w:t>half-life of 3.5</w:t>
            </w:r>
            <w:r w:rsidR="005D4A4E">
              <w:t> </w:t>
            </w:r>
            <w:r w:rsidR="00717485">
              <w:t>h</w:t>
            </w:r>
            <w:r>
              <w:t xml:space="preserve"> in humans and slower onset of effects after inhalation </w:t>
            </w:r>
            <w:r w:rsidR="00036F9E">
              <w:t>than</w:t>
            </w:r>
            <w:r>
              <w:t xml:space="preserve"> ingestion</w:t>
            </w:r>
          </w:p>
          <w:p w14:paraId="4D59C2EC" w14:textId="77777777" w:rsidR="00B67BBB" w:rsidRDefault="00B67BBB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254 mg/kg (cat</w:t>
            </w:r>
            <w:r w:rsidR="00717485">
              <w:t>, dermal</w:t>
            </w:r>
            <w:r>
              <w:t>); 670 mg/kg (rat)</w:t>
            </w:r>
          </w:p>
          <w:p w14:paraId="0797AD9B" w14:textId="77777777" w:rsidR="00E26065" w:rsidRDefault="00717485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Available data indicates </w:t>
            </w:r>
            <w:r w:rsidR="001F2C39">
              <w:t xml:space="preserve">low </w:t>
            </w:r>
            <w:r w:rsidR="00E26065">
              <w:t xml:space="preserve">genotoxic potential </w:t>
            </w:r>
          </w:p>
          <w:p w14:paraId="60EBCCED" w14:textId="77777777" w:rsidR="00E26065" w:rsidRDefault="00717485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A</w:t>
            </w:r>
            <w:r w:rsidR="00E26065">
              <w:t xml:space="preserve">ssumed the </w:t>
            </w:r>
            <w:proofErr w:type="spellStart"/>
            <w:r w:rsidR="00E26065">
              <w:t>genotoxicity</w:t>
            </w:r>
            <w:proofErr w:type="spellEnd"/>
            <w:r w:rsidR="00E26065">
              <w:t xml:space="preserve"> is of secondary </w:t>
            </w:r>
            <w:r w:rsidR="001F2C39">
              <w:t xml:space="preserve">importance </w:t>
            </w:r>
            <w:r w:rsidR="00E26065">
              <w:t xml:space="preserve">if </w:t>
            </w:r>
            <w:r w:rsidR="0085560D">
              <w:t xml:space="preserve">concentrations in the workplace are below </w:t>
            </w:r>
            <w:r>
              <w:t>the MAK.</w:t>
            </w:r>
          </w:p>
          <w:p w14:paraId="51219416" w14:textId="77777777" w:rsidR="00E00B0E" w:rsidRPr="00DA352E" w:rsidRDefault="00E00B0E" w:rsidP="00E00B0E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C978F0" w:rsidRPr="00DA352E" w14:paraId="52F174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31D62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67BBB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C4E15">
                  <w:t>TWA: 0.5 ppm</w:t>
                </w:r>
                <w:r w:rsidR="0002557D">
                  <w:t xml:space="preserve"> (1.94 mg/m</w:t>
                </w:r>
                <w:r w:rsidR="0002557D">
                  <w:rPr>
                    <w:vertAlign w:val="superscript"/>
                  </w:rPr>
                  <w:t>3</w:t>
                </w:r>
                <w:r w:rsidR="009B23B5">
                  <w:t>)</w:t>
                </w:r>
                <w:r w:rsidR="00DB5402">
                  <w:t>; STEL: 1 ppm</w:t>
                </w:r>
                <w:r w:rsidR="0002557D">
                  <w:t xml:space="preserve"> (3.87 mg/m</w:t>
                </w:r>
                <w:r w:rsidR="0002557D">
                  <w:rPr>
                    <w:vertAlign w:val="superscript"/>
                  </w:rPr>
                  <w:t>3</w:t>
                </w:r>
                <w:r w:rsidR="0002557D">
                  <w:t>)</w:t>
                </w:r>
              </w:sdtContent>
            </w:sdt>
          </w:p>
        </w:tc>
      </w:tr>
      <w:tr w:rsidR="00C978F0" w:rsidRPr="00DA352E" w14:paraId="5C765753" w14:textId="77777777" w:rsidTr="00FD1AF5">
        <w:trPr>
          <w:gridAfter w:val="1"/>
          <w:wAfter w:w="8" w:type="pct"/>
        </w:trPr>
        <w:tc>
          <w:tcPr>
            <w:tcW w:w="4992" w:type="pct"/>
          </w:tcPr>
          <w:p w14:paraId="136F4E8B" w14:textId="4286735E" w:rsidR="00E00B0E" w:rsidRDefault="006746DE" w:rsidP="00E00B0E">
            <w:pPr>
              <w:pStyle w:val="Tabletextprimarysource"/>
            </w:pPr>
            <w:r>
              <w:t>The TWA</w:t>
            </w:r>
            <w:r w:rsidR="00DB5402">
              <w:t xml:space="preserve"> and STEL</w:t>
            </w:r>
            <w:r>
              <w:t xml:space="preserve"> </w:t>
            </w:r>
            <w:proofErr w:type="gramStart"/>
            <w:r w:rsidR="00DB5402">
              <w:t>are</w:t>
            </w:r>
            <w:r>
              <w:t xml:space="preserve"> recommended</w:t>
            </w:r>
            <w:proofErr w:type="gramEnd"/>
            <w:r>
              <w:t xml:space="preserve"> to </w:t>
            </w:r>
            <w:r w:rsidR="00D46B69">
              <w:t>protect for</w:t>
            </w:r>
            <w:r w:rsidR="00DB5402">
              <w:t xml:space="preserve"> </w:t>
            </w:r>
            <w:r>
              <w:t xml:space="preserve">elevated blood </w:t>
            </w:r>
            <w:proofErr w:type="spellStart"/>
            <w:r w:rsidR="00E01AFA">
              <w:t>MHb</w:t>
            </w:r>
            <w:proofErr w:type="spellEnd"/>
            <w:r>
              <w:t xml:space="preserve"> in exposed workers.</w:t>
            </w:r>
          </w:p>
          <w:p w14:paraId="02FDCFFD" w14:textId="77777777" w:rsidR="005D4A4E" w:rsidRDefault="005D4A4E" w:rsidP="00E00B0E">
            <w:pPr>
              <w:pStyle w:val="Tabletextprimarysource"/>
            </w:pPr>
          </w:p>
          <w:p w14:paraId="3024E697" w14:textId="3A6655FE" w:rsidR="006746DE" w:rsidRDefault="006746DE" w:rsidP="005D4A4E">
            <w:pPr>
              <w:pStyle w:val="Tabletextprimarysource"/>
              <w:keepNext/>
            </w:pPr>
            <w:r>
              <w:lastRenderedPageBreak/>
              <w:t>Summary of additional data:</w:t>
            </w:r>
          </w:p>
          <w:p w14:paraId="12AEFC42" w14:textId="232EB0E7" w:rsidR="00D36BB1" w:rsidRDefault="00D36BB1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proofErr w:type="spellStart"/>
            <w:r>
              <w:t>MHb</w:t>
            </w:r>
            <w:proofErr w:type="spellEnd"/>
            <w:r>
              <w:t xml:space="preserve"> </w:t>
            </w:r>
            <w:r w:rsidR="00717485">
              <w:t xml:space="preserve">level of </w:t>
            </w:r>
            <w:r w:rsidR="004C2A29">
              <w:rPr>
                <w:rFonts w:cs="Arial"/>
              </w:rPr>
              <w:t>≈</w:t>
            </w:r>
            <w:r w:rsidR="00852C3B">
              <w:t>5</w:t>
            </w:r>
            <w:r w:rsidRPr="00D36BB1">
              <w:t>% considered tolerable</w:t>
            </w:r>
            <w:r w:rsidR="00852C3B">
              <w:t xml:space="preserve"> by way of analogy with </w:t>
            </w:r>
            <w:r w:rsidR="00802A08">
              <w:t xml:space="preserve">4% </w:t>
            </w:r>
            <w:proofErr w:type="spellStart"/>
            <w:r w:rsidR="005D4A4E">
              <w:t>COHb</w:t>
            </w:r>
            <w:proofErr w:type="spellEnd"/>
            <w:r w:rsidR="00852C3B">
              <w:t xml:space="preserve"> levels being tolerable</w:t>
            </w:r>
          </w:p>
          <w:p w14:paraId="5E103BCD" w14:textId="77777777" w:rsidR="00D36BB1" w:rsidRDefault="00D36BB1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O</w:t>
            </w:r>
            <w:r w:rsidRPr="00D36BB1">
              <w:t xml:space="preserve">ral intake of 35 mg </w:t>
            </w:r>
            <w:r>
              <w:t>resulted in</w:t>
            </w:r>
            <w:r w:rsidRPr="00D36BB1">
              <w:t xml:space="preserve"> maximal increase of 3.7% </w:t>
            </w:r>
            <w:proofErr w:type="spellStart"/>
            <w:r w:rsidRPr="00D36BB1">
              <w:t>MHb</w:t>
            </w:r>
            <w:proofErr w:type="spellEnd"/>
            <w:r w:rsidR="00852C3B">
              <w:t xml:space="preserve"> (humans)</w:t>
            </w:r>
          </w:p>
          <w:p w14:paraId="2FD320C8" w14:textId="77777777" w:rsidR="009B23B5" w:rsidRDefault="009B23B5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Calculated a total</w:t>
            </w:r>
            <w:r w:rsidR="00CB2969">
              <w:t xml:space="preserve"> (dermal and inhalation)</w:t>
            </w:r>
            <w:r w:rsidR="00942FAE">
              <w:t xml:space="preserve"> intake of 140 mg over </w:t>
            </w:r>
            <w:r w:rsidR="00717485">
              <w:t>8 h</w:t>
            </w:r>
            <w:r>
              <w:t xml:space="preserve"> </w:t>
            </w:r>
            <w:r w:rsidR="00717485">
              <w:t>at</w:t>
            </w:r>
            <w:r>
              <w:t xml:space="preserve"> 2 ppm</w:t>
            </w:r>
          </w:p>
          <w:p w14:paraId="519D756B" w14:textId="77777777" w:rsidR="006746DE" w:rsidRDefault="006746DE" w:rsidP="00E00B0E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TWA </w:t>
            </w:r>
            <w:proofErr w:type="gramStart"/>
            <w:r>
              <w:t>is derived</w:t>
            </w:r>
            <w:proofErr w:type="gramEnd"/>
            <w:r>
              <w:t xml:space="preserve"> from allowable daily dose of 35 mg</w:t>
            </w:r>
            <w:r w:rsidR="00942FAE">
              <w:t>/d</w:t>
            </w:r>
            <w:r>
              <w:t xml:space="preserve"> considering a 90% </w:t>
            </w:r>
            <w:r w:rsidR="00B46026">
              <w:t>respiratory</w:t>
            </w:r>
            <w:r>
              <w:t xml:space="preserve"> uptake and a ventilation volume of 10 m</w:t>
            </w:r>
            <w:r w:rsidRPr="00B46026">
              <w:rPr>
                <w:vertAlign w:val="superscript"/>
              </w:rPr>
              <w:t>3</w:t>
            </w:r>
            <w:r w:rsidR="00717485">
              <w:t>/8 h.</w:t>
            </w:r>
          </w:p>
          <w:p w14:paraId="20AE5EC4" w14:textId="77777777" w:rsidR="00E00B0E" w:rsidRPr="00DA352E" w:rsidRDefault="00E00B0E" w:rsidP="00E00B0E">
            <w:pPr>
              <w:pStyle w:val="ListBullet"/>
              <w:numPr>
                <w:ilvl w:val="0"/>
                <w:numId w:val="0"/>
              </w:numPr>
              <w:spacing w:before="0" w:after="80"/>
              <w:ind w:left="360" w:hanging="360"/>
              <w:contextualSpacing w:val="0"/>
            </w:pPr>
          </w:p>
        </w:tc>
      </w:tr>
      <w:tr w:rsidR="00DA352E" w:rsidRPr="00DA352E" w14:paraId="14D0B0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00E7F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460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46026">
                  <w:t>NA</w:t>
                </w:r>
                <w:proofErr w:type="spellEnd"/>
              </w:sdtContent>
            </w:sdt>
          </w:p>
        </w:tc>
      </w:tr>
      <w:tr w:rsidR="00DA352E" w:rsidRPr="00DA352E" w14:paraId="015EAC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1A69EF" w14:textId="77777777" w:rsidR="00DA352E" w:rsidRPr="00DA352E" w:rsidRDefault="00B46026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FF8F0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131AD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460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46026">
                  <w:t>NA</w:t>
                </w:r>
                <w:proofErr w:type="spellEnd"/>
              </w:sdtContent>
            </w:sdt>
          </w:p>
        </w:tc>
      </w:tr>
      <w:tr w:rsidR="00DA352E" w:rsidRPr="00DA352E" w14:paraId="08D9996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2BD6BC" w14:textId="77777777" w:rsidR="00DA352E" w:rsidRPr="00DA352E" w:rsidRDefault="00B46026" w:rsidP="003365A5">
            <w:pPr>
              <w:pStyle w:val="Tabletextprimarysource"/>
            </w:pPr>
            <w:r>
              <w:t>No report</w:t>
            </w:r>
          </w:p>
        </w:tc>
      </w:tr>
    </w:tbl>
    <w:p w14:paraId="1EDFCE1B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366EC7A0" w14:textId="77777777" w:rsidTr="00852C3B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AF29DA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897D4B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C7FBF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A1944B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4E2A852" w14:textId="77777777" w:rsidTr="00852C3B">
        <w:trPr>
          <w:cantSplit/>
        </w:trPr>
        <w:tc>
          <w:tcPr>
            <w:tcW w:w="1497" w:type="dxa"/>
          </w:tcPr>
          <w:p w14:paraId="52ED0B2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6AD2DD8B" w14:textId="77777777" w:rsidR="004966BF" w:rsidRPr="00CE617F" w:rsidRDefault="00C955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460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8A04AC" w14:textId="77777777" w:rsidR="004966BF" w:rsidRPr="004C23F4" w:rsidRDefault="00852C3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67E218F8" w14:textId="77777777" w:rsidR="00B46026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</w:t>
            </w:r>
            <w:r w:rsidRPr="00B46026">
              <w:rPr>
                <w:rStyle w:val="checkbox"/>
                <w:rFonts w:ascii="Arial" w:hAnsi="Arial" w:cs="Arial"/>
              </w:rPr>
              <w:t xml:space="preserve">umans are more sensitive than rats in the formation of </w:t>
            </w:r>
            <w:proofErr w:type="spellStart"/>
            <w:r w:rsidR="00E00B0E">
              <w:rPr>
                <w:rStyle w:val="checkbox"/>
                <w:rFonts w:ascii="Arial" w:hAnsi="Arial" w:cs="Arial"/>
              </w:rPr>
              <w:t>MHb</w:t>
            </w:r>
            <w:proofErr w:type="spellEnd"/>
            <w:r w:rsidR="00E00B0E" w:rsidRPr="00B46026">
              <w:rPr>
                <w:rStyle w:val="checkbox"/>
                <w:rFonts w:ascii="Arial" w:hAnsi="Arial" w:cs="Arial"/>
              </w:rPr>
              <w:t xml:space="preserve"> </w:t>
            </w:r>
          </w:p>
          <w:p w14:paraId="67E4BDCE" w14:textId="77777777" w:rsidR="004966BF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B46026">
              <w:rPr>
                <w:rStyle w:val="checkbox"/>
                <w:rFonts w:ascii="Arial" w:hAnsi="Arial" w:cs="Arial"/>
              </w:rPr>
              <w:t xml:space="preserve">eported to be </w:t>
            </w:r>
            <w:r w:rsidR="00C8213A">
              <w:rPr>
                <w:rStyle w:val="checkbox"/>
                <w:rFonts w:ascii="Arial" w:hAnsi="Arial" w:cs="Arial"/>
              </w:rPr>
              <w:t>readily</w:t>
            </w:r>
            <w:r w:rsidRPr="00B46026">
              <w:rPr>
                <w:rStyle w:val="checkbox"/>
                <w:rFonts w:ascii="Arial" w:hAnsi="Arial" w:cs="Arial"/>
              </w:rPr>
              <w:t xml:space="preserve"> absorbed through all exposure routes</w:t>
            </w:r>
          </w:p>
          <w:p w14:paraId="4D526E43" w14:textId="77777777" w:rsidR="00B46026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</w:t>
            </w:r>
            <w:r w:rsidRPr="00B46026">
              <w:rPr>
                <w:rStyle w:val="checkbox"/>
                <w:rFonts w:ascii="Arial" w:hAnsi="Arial" w:cs="Arial"/>
              </w:rPr>
              <w:t>uman toxicity from dermal exposure reported</w:t>
            </w:r>
          </w:p>
          <w:p w14:paraId="6E5CE5CA" w14:textId="77777777" w:rsidR="00B46026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</w:t>
            </w:r>
            <w:r w:rsidRPr="00B46026">
              <w:rPr>
                <w:rStyle w:val="checkbox"/>
                <w:rFonts w:ascii="Arial" w:hAnsi="Arial" w:cs="Arial"/>
              </w:rPr>
              <w:t xml:space="preserve">ulmonary retention of </w:t>
            </w:r>
            <w:r w:rsidR="00C8213A">
              <w:rPr>
                <w:rStyle w:val="checkbox"/>
                <w:rFonts w:ascii="Arial" w:hAnsi="Arial" w:cs="Arial"/>
              </w:rPr>
              <w:t>~</w:t>
            </w:r>
            <w:r w:rsidRPr="00B46026">
              <w:rPr>
                <w:rStyle w:val="checkbox"/>
                <w:rFonts w:ascii="Arial" w:hAnsi="Arial" w:cs="Arial"/>
              </w:rPr>
              <w:t>90% reported for humans</w:t>
            </w:r>
          </w:p>
          <w:p w14:paraId="7CE87455" w14:textId="77777777" w:rsidR="00B46026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B46026">
              <w:rPr>
                <w:rStyle w:val="checkbox"/>
                <w:rFonts w:ascii="Arial" w:hAnsi="Arial" w:cs="Arial"/>
              </w:rPr>
              <w:t>linical adverse effects not observed in four human volunteers exposed at 2 ppm</w:t>
            </w:r>
            <w:r w:rsidR="00C8213A">
              <w:rPr>
                <w:rStyle w:val="checkbox"/>
                <w:rFonts w:ascii="Arial" w:hAnsi="Arial" w:cs="Arial"/>
              </w:rPr>
              <w:t>/8 h</w:t>
            </w:r>
          </w:p>
          <w:p w14:paraId="7CC3EE1E" w14:textId="77777777" w:rsidR="00DB5402" w:rsidRDefault="00C8213A" w:rsidP="00DB5402">
            <w:pPr>
              <w:pStyle w:val="ListBullet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MHb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levels i</w:t>
            </w:r>
            <w:r w:rsidR="00DB5402">
              <w:rPr>
                <w:rStyle w:val="checkbox"/>
                <w:rFonts w:ascii="Arial" w:hAnsi="Arial" w:cs="Arial"/>
              </w:rPr>
              <w:t>n humans:</w:t>
            </w:r>
          </w:p>
          <w:p w14:paraId="0392DDE1" w14:textId="5745923F" w:rsidR="00DB5402" w:rsidRPr="00E00B0E" w:rsidRDefault="00C8213A" w:rsidP="00C8213A">
            <w:pPr>
              <w:pStyle w:val="ListBullet"/>
              <w:numPr>
                <w:ilvl w:val="0"/>
                <w:numId w:val="2"/>
              </w:numPr>
              <w:ind w:left="717"/>
              <w:rPr>
                <w:rStyle w:val="checkbox"/>
                <w:rFonts w:ascii="Arial" w:hAnsi="Arial" w:cs="Arial"/>
              </w:rPr>
            </w:pPr>
            <w:r w:rsidRPr="00E00B0E">
              <w:rPr>
                <w:rStyle w:val="checkbox"/>
                <w:rFonts w:ascii="Arial" w:hAnsi="Arial" w:cs="Arial"/>
              </w:rPr>
              <w:t>&lt;</w:t>
            </w:r>
            <w:r w:rsidR="00DB5402" w:rsidRPr="00E00B0E">
              <w:rPr>
                <w:rStyle w:val="checkbox"/>
                <w:rFonts w:ascii="Arial" w:hAnsi="Arial" w:cs="Arial"/>
              </w:rPr>
              <w:t>20% generally caused no symptoms</w:t>
            </w:r>
          </w:p>
          <w:p w14:paraId="3456A049" w14:textId="77777777" w:rsidR="00DB5402" w:rsidRPr="00E00B0E" w:rsidRDefault="00DB5402" w:rsidP="00C8213A">
            <w:pPr>
              <w:pStyle w:val="ListBullet"/>
              <w:numPr>
                <w:ilvl w:val="0"/>
                <w:numId w:val="2"/>
              </w:numPr>
              <w:ind w:left="717"/>
              <w:rPr>
                <w:rFonts w:cs="Arial"/>
              </w:rPr>
            </w:pPr>
            <w:r w:rsidRPr="00E00B0E">
              <w:rPr>
                <w:rStyle w:val="checkbox"/>
                <w:rFonts w:ascii="Arial" w:hAnsi="Arial" w:cs="Arial"/>
              </w:rPr>
              <w:t>20</w:t>
            </w:r>
            <w:r w:rsidR="00852C3B" w:rsidRPr="00E00B0E">
              <w:rPr>
                <w:rFonts w:cs="Arial"/>
              </w:rPr>
              <w:t>–50</w:t>
            </w:r>
            <w:r w:rsidRPr="00E00B0E">
              <w:rPr>
                <w:rFonts w:cs="Arial"/>
              </w:rPr>
              <w:t>% result in dyspnoea, tachycardia, headache, and dizziness</w:t>
            </w:r>
          </w:p>
          <w:p w14:paraId="7A4FD60D" w14:textId="230851BB" w:rsidR="00DB5402" w:rsidRPr="00E00B0E" w:rsidRDefault="00DB5402" w:rsidP="00C8213A">
            <w:pPr>
              <w:pStyle w:val="ListBullet"/>
              <w:numPr>
                <w:ilvl w:val="0"/>
                <w:numId w:val="2"/>
              </w:numPr>
              <w:ind w:left="717"/>
              <w:rPr>
                <w:rStyle w:val="checkbox"/>
                <w:rFonts w:ascii="Arial" w:hAnsi="Arial" w:cs="Arial"/>
              </w:rPr>
            </w:pPr>
            <w:r w:rsidRPr="00E00B0E">
              <w:rPr>
                <w:rFonts w:cs="Arial"/>
              </w:rPr>
              <w:t>&gt;</w:t>
            </w:r>
            <w:r w:rsidR="00852C3B" w:rsidRPr="00E00B0E">
              <w:rPr>
                <w:rFonts w:cs="Arial"/>
              </w:rPr>
              <w:t>60–70</w:t>
            </w:r>
            <w:r w:rsidRPr="00E00B0E">
              <w:rPr>
                <w:rFonts w:cs="Arial"/>
              </w:rPr>
              <w:t>% produce coma and death</w:t>
            </w:r>
          </w:p>
          <w:p w14:paraId="63D3A024" w14:textId="77777777" w:rsidR="00B46026" w:rsidRDefault="00B46026" w:rsidP="00B460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Considers further </w:t>
            </w:r>
            <w:r w:rsidRPr="00B46026">
              <w:rPr>
                <w:rStyle w:val="checkbox"/>
                <w:rFonts w:ascii="Arial" w:hAnsi="Arial" w:cs="Arial"/>
              </w:rPr>
              <w:t>assessment necessary to determine whether current exposure controls are appropriate to offer adequate protection to workers.</w:t>
            </w:r>
          </w:p>
          <w:p w14:paraId="48B362D0" w14:textId="77777777" w:rsidR="0076220C" w:rsidRPr="004C23F4" w:rsidRDefault="0076220C" w:rsidP="0076220C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Classified as </w:t>
            </w:r>
            <w:r w:rsidR="00C8213A">
              <w:rPr>
                <w:rStyle w:val="checkbox"/>
                <w:rFonts w:ascii="Arial" w:hAnsi="Arial" w:cs="Arial"/>
              </w:rPr>
              <w:t xml:space="preserve">possible </w:t>
            </w:r>
            <w:r>
              <w:rPr>
                <w:rStyle w:val="checkbox"/>
                <w:rFonts w:ascii="Arial" w:hAnsi="Arial" w:cs="Arial"/>
              </w:rPr>
              <w:t>hazardous mutagenic substance</w:t>
            </w:r>
            <w:r w:rsidR="00E00B0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6C4453B" w14:textId="77777777" w:rsidTr="00852C3B">
        <w:trPr>
          <w:cantSplit/>
        </w:trPr>
        <w:tc>
          <w:tcPr>
            <w:tcW w:w="1497" w:type="dxa"/>
          </w:tcPr>
          <w:p w14:paraId="266014B4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4F06F8BC" w14:textId="77777777" w:rsidR="004966BF" w:rsidRPr="00CE617F" w:rsidRDefault="00C955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52C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98118BD" w14:textId="77777777" w:rsidR="004966BF" w:rsidRPr="004C23F4" w:rsidRDefault="00852C3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44" w:type="dxa"/>
          </w:tcPr>
          <w:p w14:paraId="489EFFB3" w14:textId="77777777" w:rsidR="004966BF" w:rsidRPr="004C23F4" w:rsidRDefault="00C8213A" w:rsidP="00E00B0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LOAEL: 17 ppm (rat; 5 d</w:t>
            </w:r>
            <w:r w:rsidR="00E84C69">
              <w:rPr>
                <w:rStyle w:val="checkbox"/>
                <w:rFonts w:ascii="Arial" w:hAnsi="Arial" w:cs="Arial"/>
              </w:rPr>
              <w:t>/</w:t>
            </w:r>
            <w:proofErr w:type="spellStart"/>
            <w:r w:rsidR="00E84C69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E84C69">
              <w:rPr>
                <w:rStyle w:val="checkbox"/>
                <w:rFonts w:ascii="Arial" w:hAnsi="Arial" w:cs="Arial"/>
              </w:rPr>
              <w:t>, 6 h</w:t>
            </w:r>
            <w:r>
              <w:rPr>
                <w:rStyle w:val="checkbox"/>
                <w:rFonts w:ascii="Arial" w:hAnsi="Arial" w:cs="Arial"/>
              </w:rPr>
              <w:t>/d for 2 w</w:t>
            </w:r>
            <w:r w:rsidR="00852C3B">
              <w:rPr>
                <w:rStyle w:val="checkbox"/>
                <w:rFonts w:ascii="Arial" w:hAnsi="Arial" w:cs="Arial"/>
              </w:rPr>
              <w:t xml:space="preserve">); </w:t>
            </w:r>
            <w:proofErr w:type="spellStart"/>
            <w:r w:rsidR="00E00B0E">
              <w:t>MHb</w:t>
            </w:r>
            <w:proofErr w:type="spellEnd"/>
            <w:r w:rsidR="00E00B0E">
              <w:t xml:space="preserve"> </w:t>
            </w:r>
            <w:r w:rsidR="00852C3B">
              <w:t>increase and splenic involvement</w:t>
            </w:r>
            <w:r>
              <w:t>.</w:t>
            </w:r>
          </w:p>
        </w:tc>
      </w:tr>
    </w:tbl>
    <w:bookmarkEnd w:id="1"/>
    <w:p w14:paraId="02A09BB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044758C" w14:textId="77777777" w:rsidTr="00C8213A">
        <w:trPr>
          <w:trHeight w:val="454"/>
          <w:tblHeader/>
        </w:trPr>
        <w:tc>
          <w:tcPr>
            <w:tcW w:w="6597" w:type="dxa"/>
            <w:vAlign w:val="center"/>
          </w:tcPr>
          <w:p w14:paraId="66816BB4" w14:textId="77777777" w:rsidR="002E0D61" w:rsidRDefault="00B1422A" w:rsidP="00FD1AF5">
            <w:pPr>
              <w:pStyle w:val="Tablefont"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E0DBE26" w14:textId="77777777" w:rsidR="002E0D61" w:rsidRDefault="0076220C" w:rsidP="00FD1AF5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B827FCA" w14:textId="77777777" w:rsidTr="00C8213A">
        <w:trPr>
          <w:trHeight w:val="454"/>
        </w:trPr>
        <w:tc>
          <w:tcPr>
            <w:tcW w:w="6597" w:type="dxa"/>
            <w:vAlign w:val="center"/>
          </w:tcPr>
          <w:p w14:paraId="1D5E491D" w14:textId="77777777" w:rsidR="008A36CF" w:rsidRDefault="008A36CF" w:rsidP="00FD1AF5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5279B6D" w14:textId="77777777" w:rsidR="008A36CF" w:rsidRDefault="0076220C" w:rsidP="00FD1AF5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707BF0" w14:paraId="042ED784" w14:textId="77777777" w:rsidTr="00EA594C">
        <w:trPr>
          <w:trHeight w:val="454"/>
        </w:trPr>
        <w:sdt>
          <w:sdtPr>
            <w:rPr>
              <w:b/>
            </w:rPr>
            <w:id w:val="1830936485"/>
            <w:placeholder>
              <w:docPart w:val="28722FBF226F413893AC28BC0492656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D25F4D9" w14:textId="10252536" w:rsidR="00707BF0" w:rsidRDefault="00707BF0" w:rsidP="00FD1AF5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2"/>
    <w:p w14:paraId="140E9CA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6641C94" w14:textId="77777777" w:rsidTr="00E01AFA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0F9C60E7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7D3E342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9FCFB3" w14:textId="77777777" w:rsidTr="00E01AFA">
        <w:trPr>
          <w:cantSplit/>
        </w:trPr>
        <w:tc>
          <w:tcPr>
            <w:tcW w:w="3153" w:type="dxa"/>
          </w:tcPr>
          <w:p w14:paraId="59A9343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4B4491F2" w14:textId="77777777" w:rsidR="00687890" w:rsidRPr="00DD2F9B" w:rsidRDefault="00167F1B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2; Sk</w:t>
            </w:r>
            <w:r w:rsidR="00C8213A">
              <w:t>in</w:t>
            </w:r>
            <w:r>
              <w:t>; Sen</w:t>
            </w:r>
          </w:p>
        </w:tc>
      </w:tr>
      <w:tr w:rsidR="007925F0" w:rsidRPr="004C23F4" w14:paraId="5272A6C0" w14:textId="77777777" w:rsidTr="00E01AFA">
        <w:trPr>
          <w:cantSplit/>
        </w:trPr>
        <w:tc>
          <w:tcPr>
            <w:tcW w:w="3153" w:type="dxa"/>
          </w:tcPr>
          <w:p w14:paraId="2DEFD74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65218831" w14:textId="77777777" w:rsidR="007925F0" w:rsidRPr="00DD2F9B" w:rsidRDefault="00167F1B" w:rsidP="00DD2F9B">
            <w:pPr>
              <w:pStyle w:val="Tablefont"/>
            </w:pPr>
            <w:r w:rsidRPr="00167F1B">
              <w:t>Carcinogenicity – category 2</w:t>
            </w:r>
            <w:r>
              <w:t xml:space="preserve">; </w:t>
            </w:r>
            <w:r w:rsidRPr="00167F1B">
              <w:t>Skin sensitisation – category 1</w:t>
            </w:r>
          </w:p>
        </w:tc>
      </w:tr>
      <w:tr w:rsidR="00AF483F" w:rsidRPr="004C23F4" w14:paraId="0DC92F4A" w14:textId="77777777" w:rsidTr="00E01AFA">
        <w:trPr>
          <w:cantSplit/>
        </w:trPr>
        <w:tc>
          <w:tcPr>
            <w:tcW w:w="3153" w:type="dxa"/>
          </w:tcPr>
          <w:p w14:paraId="1374039F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5873" w:type="dxa"/>
          </w:tcPr>
          <w:p w14:paraId="64BBA581" w14:textId="77777777" w:rsidR="00AF483F" w:rsidRPr="00DD2F9B" w:rsidRDefault="00E00B0E" w:rsidP="00DD2F9B">
            <w:pPr>
              <w:pStyle w:val="Tablefont"/>
            </w:pPr>
            <w:r>
              <w:t>—</w:t>
            </w:r>
          </w:p>
        </w:tc>
      </w:tr>
      <w:tr w:rsidR="00E01AFA" w:rsidRPr="004C23F4" w14:paraId="7B3CA45D" w14:textId="77777777" w:rsidTr="00E01AFA">
        <w:trPr>
          <w:cantSplit/>
        </w:trPr>
        <w:tc>
          <w:tcPr>
            <w:tcW w:w="3153" w:type="dxa"/>
          </w:tcPr>
          <w:p w14:paraId="7A27F329" w14:textId="77777777" w:rsidR="00E01AFA" w:rsidRPr="004C23F4" w:rsidRDefault="00E01AFA" w:rsidP="00E01AFA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69A85E75" w14:textId="77777777" w:rsidR="00E01AFA" w:rsidRPr="00DD2F9B" w:rsidRDefault="00E01AFA" w:rsidP="00E01AFA">
            <w:pPr>
              <w:pStyle w:val="Tablefont"/>
            </w:pPr>
            <w:r w:rsidRPr="00167F1B">
              <w:t>Carcinogenicity – category 2</w:t>
            </w:r>
            <w:r>
              <w:t xml:space="preserve">; </w:t>
            </w:r>
            <w:r w:rsidRPr="00167F1B">
              <w:t>Skin sensitisation – category 1</w:t>
            </w:r>
          </w:p>
        </w:tc>
      </w:tr>
      <w:tr w:rsidR="00E01AFA" w:rsidRPr="004C23F4" w14:paraId="5AE5D127" w14:textId="77777777" w:rsidTr="00E01AFA">
        <w:trPr>
          <w:cantSplit/>
        </w:trPr>
        <w:tc>
          <w:tcPr>
            <w:tcW w:w="3153" w:type="dxa"/>
          </w:tcPr>
          <w:p w14:paraId="607A7945" w14:textId="77777777" w:rsidR="00E01AFA" w:rsidRDefault="00E01AFA" w:rsidP="00E01AFA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558B4513" w14:textId="77777777" w:rsidR="00E01AFA" w:rsidRPr="00DD2F9B" w:rsidRDefault="00E00B0E" w:rsidP="00E01AFA">
            <w:pPr>
              <w:pStyle w:val="Tablefont"/>
            </w:pPr>
            <w:r>
              <w:t>—</w:t>
            </w:r>
          </w:p>
        </w:tc>
      </w:tr>
      <w:tr w:rsidR="00E01AFA" w:rsidRPr="004C23F4" w14:paraId="298C929C" w14:textId="77777777" w:rsidTr="00E01AFA">
        <w:trPr>
          <w:cantSplit/>
        </w:trPr>
        <w:tc>
          <w:tcPr>
            <w:tcW w:w="3153" w:type="dxa"/>
          </w:tcPr>
          <w:p w14:paraId="3D95AA8C" w14:textId="77777777" w:rsidR="00E01AFA" w:rsidRPr="004C23F4" w:rsidRDefault="00E01AFA" w:rsidP="00E01AFA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31BC8D7C" w14:textId="77777777" w:rsidR="00E01AFA" w:rsidRPr="00DD2F9B" w:rsidRDefault="00E01AFA" w:rsidP="00E01AFA">
            <w:pPr>
              <w:pStyle w:val="Tablefont"/>
            </w:pPr>
            <w:r w:rsidRPr="00F636DB">
              <w:t>Carcinogenicity – A3</w:t>
            </w:r>
            <w:r>
              <w:t>; Skin</w:t>
            </w:r>
          </w:p>
        </w:tc>
      </w:tr>
      <w:tr w:rsidR="00E01AFA" w:rsidRPr="004C23F4" w14:paraId="6485E172" w14:textId="77777777" w:rsidTr="00E01AFA">
        <w:trPr>
          <w:cantSplit/>
        </w:trPr>
        <w:tc>
          <w:tcPr>
            <w:tcW w:w="3153" w:type="dxa"/>
          </w:tcPr>
          <w:p w14:paraId="10E125DE" w14:textId="77777777" w:rsidR="00E01AFA" w:rsidRPr="004C23F4" w:rsidRDefault="00E01AFA" w:rsidP="00E01AFA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28767C28" w14:textId="77777777" w:rsidR="00E01AFA" w:rsidRPr="00DD2F9B" w:rsidRDefault="00E01AFA" w:rsidP="00E01AFA">
            <w:pPr>
              <w:pStyle w:val="Tablefont"/>
            </w:pPr>
            <w:r w:rsidRPr="007F6B70">
              <w:t>Carcinogenicity – 4</w:t>
            </w:r>
            <w:r>
              <w:t xml:space="preserve">; </w:t>
            </w:r>
            <w:proofErr w:type="spellStart"/>
            <w:r>
              <w:t>Sh</w:t>
            </w:r>
            <w:proofErr w:type="spellEnd"/>
            <w:r>
              <w:t xml:space="preserve"> (dermal sensitiser); H (skin)</w:t>
            </w:r>
          </w:p>
        </w:tc>
      </w:tr>
      <w:tr w:rsidR="00E01AFA" w:rsidRPr="004C23F4" w14:paraId="14E1B1B3" w14:textId="77777777" w:rsidTr="00E01AFA">
        <w:trPr>
          <w:cantSplit/>
        </w:trPr>
        <w:tc>
          <w:tcPr>
            <w:tcW w:w="3153" w:type="dxa"/>
          </w:tcPr>
          <w:p w14:paraId="7F26C739" w14:textId="77777777" w:rsidR="00E01AFA" w:rsidRPr="004C23F4" w:rsidRDefault="00E01AFA" w:rsidP="00E01AFA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0DB5DCBB" w14:textId="77777777" w:rsidR="00E01AFA" w:rsidRPr="00DD2F9B" w:rsidRDefault="00E01AFA" w:rsidP="00E01AFA">
            <w:pPr>
              <w:pStyle w:val="Tablefont"/>
            </w:pPr>
            <w:r w:rsidRPr="0002557D">
              <w:t>Carcinogenicity – C</w:t>
            </w:r>
            <w:r>
              <w:t>; Skin</w:t>
            </w:r>
          </w:p>
        </w:tc>
      </w:tr>
      <w:tr w:rsidR="00E01AFA" w:rsidRPr="004C23F4" w14:paraId="663DDFE7" w14:textId="77777777" w:rsidTr="00E01AFA">
        <w:trPr>
          <w:cantSplit/>
        </w:trPr>
        <w:tc>
          <w:tcPr>
            <w:tcW w:w="3153" w:type="dxa"/>
          </w:tcPr>
          <w:p w14:paraId="316AE99C" w14:textId="77777777" w:rsidR="00E01AFA" w:rsidRDefault="00E01AFA" w:rsidP="00E01AFA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6D90C762" w14:textId="77777777" w:rsidR="00E01AFA" w:rsidRPr="00DD2F9B" w:rsidRDefault="00E00B0E" w:rsidP="00E01AFA">
            <w:pPr>
              <w:pStyle w:val="Tablefont"/>
            </w:pPr>
            <w:r>
              <w:t>—</w:t>
            </w:r>
          </w:p>
        </w:tc>
      </w:tr>
      <w:tr w:rsidR="00E01AFA" w:rsidRPr="004C23F4" w14:paraId="011998FC" w14:textId="77777777" w:rsidTr="00E01AFA">
        <w:trPr>
          <w:cantSplit/>
        </w:trPr>
        <w:tc>
          <w:tcPr>
            <w:tcW w:w="3153" w:type="dxa"/>
          </w:tcPr>
          <w:p w14:paraId="6EC390EF" w14:textId="77777777" w:rsidR="00E01AFA" w:rsidRDefault="00E01AFA" w:rsidP="00E01AFA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5F9C0FDE" w14:textId="77777777" w:rsidR="00E01AFA" w:rsidRPr="00DD2F9B" w:rsidRDefault="00E01AFA" w:rsidP="00E01AFA">
            <w:pPr>
              <w:pStyle w:val="Tablefont"/>
            </w:pPr>
            <w:r>
              <w:t xml:space="preserve">Carcinogenicity – Group 3 </w:t>
            </w:r>
          </w:p>
        </w:tc>
      </w:tr>
      <w:tr w:rsidR="00E01AFA" w:rsidRPr="004C23F4" w14:paraId="652D1AC8" w14:textId="77777777" w:rsidTr="00E01AFA">
        <w:trPr>
          <w:cantSplit/>
        </w:trPr>
        <w:tc>
          <w:tcPr>
            <w:tcW w:w="3153" w:type="dxa"/>
          </w:tcPr>
          <w:p w14:paraId="4E0EAD26" w14:textId="77777777" w:rsidR="00E01AFA" w:rsidRDefault="00E01AFA" w:rsidP="00E01AFA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24156E16" w14:textId="77777777" w:rsidR="00E01AFA" w:rsidRPr="00DD2F9B" w:rsidRDefault="00E01AFA" w:rsidP="00E01AFA">
            <w:pPr>
              <w:pStyle w:val="Tablefont"/>
              <w:keepNext/>
            </w:pPr>
            <w:r>
              <w:t>SK:SYS; SK:SEN</w:t>
            </w:r>
          </w:p>
        </w:tc>
      </w:tr>
    </w:tbl>
    <w:bookmarkEnd w:id="3"/>
    <w:p w14:paraId="0E694DD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8DCDDA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0AEF39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C2FCBE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E4F66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pPr w:leftFromText="180" w:rightFromText="180" w:vertAnchor="text" w:horzAnchor="margin" w:tblpY="109"/>
              <w:tblW w:w="8872" w:type="dxa"/>
              <w:tblLook w:val="04A0" w:firstRow="1" w:lastRow="0" w:firstColumn="1" w:lastColumn="0" w:noHBand="0" w:noVBand="1"/>
            </w:tblPr>
            <w:tblGrid>
              <w:gridCol w:w="3826"/>
              <w:gridCol w:w="1128"/>
              <w:gridCol w:w="1128"/>
              <w:gridCol w:w="1364"/>
              <w:gridCol w:w="1364"/>
            </w:tblGrid>
            <w:tr w:rsidR="007561BA" w:rsidRPr="007561BA" w14:paraId="4861866C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C33C40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6EB21AB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775C5D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1F1AF3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59BAD5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71C13100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EBF9D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3B9D6D6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737953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25E15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E05247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6E95F86B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1CA95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457A16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699487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3E684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5F503D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3FC3E880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80CEC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46A83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3706F3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124635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C465C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07284C11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B4F5D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08CF6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C7B9B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6EB2AB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C90DEE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7C887331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ACB2B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103CB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0B4E0D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BE1141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8BDDB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561BA" w:rsidRPr="007561BA" w14:paraId="559C68EC" w14:textId="77777777" w:rsidTr="00E01AFA">
              <w:trPr>
                <w:trHeight w:val="362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B809BA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9DFD7" w14:textId="77777777" w:rsidR="007561BA" w:rsidRPr="007561BA" w:rsidRDefault="007561BA" w:rsidP="007561B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ED0895" w14:textId="77777777" w:rsidR="007561BA" w:rsidRPr="007561BA" w:rsidRDefault="007561BA" w:rsidP="007561B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6F0EEE" w14:textId="77777777" w:rsidR="007561BA" w:rsidRPr="007561BA" w:rsidRDefault="007561BA" w:rsidP="007561B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561B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C7202D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6CCF1A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9F20E4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5E9A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4ED29A" w14:textId="77777777" w:rsidR="00EB3D1B" w:rsidRDefault="00940CB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1A735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113A6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C7974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702CA31" w14:textId="77777777" w:rsidR="001B79E5" w:rsidRDefault="00890738" w:rsidP="001B79E5">
                <w:pPr>
                  <w:pStyle w:val="Tablefont"/>
                </w:pPr>
                <w:r>
                  <w:t>93.13</w:t>
                </w:r>
              </w:p>
            </w:tc>
          </w:sdtContent>
        </w:sdt>
      </w:tr>
      <w:tr w:rsidR="00A31D99" w:rsidRPr="004C23F4" w14:paraId="6F9990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E26BE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E52F54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2C39D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4925D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3D6A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F5A241" w14:textId="77777777" w:rsidTr="00EA6243">
        <w:trPr>
          <w:cantSplit/>
        </w:trPr>
        <w:tc>
          <w:tcPr>
            <w:tcW w:w="4077" w:type="dxa"/>
            <w:vAlign w:val="center"/>
          </w:tcPr>
          <w:p w14:paraId="7CB30E6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3C221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15DE92" w14:textId="77777777" w:rsidTr="00EA6243">
        <w:trPr>
          <w:cantSplit/>
        </w:trPr>
        <w:tc>
          <w:tcPr>
            <w:tcW w:w="4077" w:type="dxa"/>
            <w:vAlign w:val="center"/>
          </w:tcPr>
          <w:p w14:paraId="4F5E6AD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364C3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F139785" w14:textId="77777777" w:rsidTr="00EA6243">
        <w:trPr>
          <w:cantSplit/>
        </w:trPr>
        <w:tc>
          <w:tcPr>
            <w:tcW w:w="4077" w:type="dxa"/>
            <w:vAlign w:val="center"/>
          </w:tcPr>
          <w:p w14:paraId="7C08811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D4D71CC" w14:textId="77777777" w:rsidR="00E06F40" w:rsidRPr="00A006A0" w:rsidRDefault="00C9555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67DB7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67DB7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67DB7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DA89F42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6760D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8F28DE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C3BACF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96F4EF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0FADB2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B6C9F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E36319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018C34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1090DDA" w14:textId="77777777" w:rsidR="001C4E15" w:rsidRDefault="001C4E15" w:rsidP="00084859">
      <w:r w:rsidRPr="001C4E15">
        <w:t xml:space="preserve">Deutsche </w:t>
      </w:r>
      <w:proofErr w:type="spellStart"/>
      <w:r w:rsidRPr="001C4E15">
        <w:t>Fo</w:t>
      </w:r>
      <w:r>
        <w:t>rschungsgemeinschaft</w:t>
      </w:r>
      <w:proofErr w:type="spellEnd"/>
      <w:r>
        <w:t xml:space="preserve"> (DFG) (2007</w:t>
      </w:r>
      <w:r w:rsidRPr="001C4E15">
        <w:t xml:space="preserve">) </w:t>
      </w:r>
      <w:r>
        <w:t>Aniline</w:t>
      </w:r>
      <w:r w:rsidRPr="001C4E15">
        <w:t xml:space="preserve"> – MAK value documentation.</w:t>
      </w:r>
    </w:p>
    <w:p w14:paraId="021FA2E3" w14:textId="534BF8AE" w:rsidR="002D6C69" w:rsidRDefault="0002557D" w:rsidP="00084859">
      <w:r w:rsidRPr="0002557D">
        <w:t xml:space="preserve">EU Scientific Committee </w:t>
      </w:r>
      <w:proofErr w:type="gramStart"/>
      <w:r w:rsidRPr="0002557D">
        <w:t>on Occupation</w:t>
      </w:r>
      <w:r>
        <w:t>al Exposure Limits (SCOEL) (2010</w:t>
      </w:r>
      <w:r w:rsidRPr="0002557D">
        <w:t>) Recommendation from the Scientific Committee on Occupational Exposure Limits for</w:t>
      </w:r>
      <w:r>
        <w:t xml:space="preserve"> aniline</w:t>
      </w:r>
      <w:proofErr w:type="gramEnd"/>
      <w:r>
        <w:t>. SCOEL/SUM/153</w:t>
      </w:r>
      <w:r w:rsidRPr="0002557D">
        <w:t>.</w:t>
      </w:r>
    </w:p>
    <w:p w14:paraId="62A71BF0" w14:textId="77777777" w:rsidR="00C8213A" w:rsidRDefault="00C8213A" w:rsidP="00084859">
      <w:r>
        <w:t xml:space="preserve">International Agency for Research on Cancer (IARC) (1987) </w:t>
      </w:r>
      <w:proofErr w:type="spellStart"/>
      <w:r w:rsidRPr="00C8213A">
        <w:t>Aniliine</w:t>
      </w:r>
      <w:proofErr w:type="spellEnd"/>
      <w:r>
        <w:t xml:space="preserve">. IARC Monographs on the evaluation of the carcinogenic risk to humans. </w:t>
      </w:r>
    </w:p>
    <w:p w14:paraId="3FE7A7BF" w14:textId="77777777" w:rsidR="0002557D" w:rsidRDefault="0002557D" w:rsidP="00084859">
      <w:r w:rsidRPr="0002557D">
        <w:t xml:space="preserve">National Industrial Chemicals Notification and </w:t>
      </w:r>
      <w:r>
        <w:t>Assessment Scheme (NICNAS) (2013</w:t>
      </w:r>
      <w:r w:rsidRPr="0002557D">
        <w:t xml:space="preserve">) </w:t>
      </w:r>
      <w:r>
        <w:t>Aniline</w:t>
      </w:r>
      <w:r w:rsidRPr="0002557D">
        <w:t>: Human health tier II assessment – IMAP report.</w:t>
      </w:r>
    </w:p>
    <w:p w14:paraId="351B10E5" w14:textId="77777777" w:rsidR="0002557D" w:rsidRDefault="0002557D" w:rsidP="00084859">
      <w:r w:rsidRPr="0002557D">
        <w:t xml:space="preserve">US Environmental </w:t>
      </w:r>
      <w:r>
        <w:t>Protection Agency (US EPA) (1990</w:t>
      </w:r>
      <w:r w:rsidRPr="0002557D">
        <w:t xml:space="preserve">) </w:t>
      </w:r>
      <w:r>
        <w:t>Integrated Risk Information System (IRIS), Chemical Assessment Summary: Aniline</w:t>
      </w:r>
      <w:proofErr w:type="gramStart"/>
      <w:r>
        <w:t>;</w:t>
      </w:r>
      <w:proofErr w:type="gramEnd"/>
      <w:r>
        <w:t xml:space="preserve"> CASRN 62-53-3</w:t>
      </w:r>
      <w:r w:rsidRPr="0002557D">
        <w:t>.</w:t>
      </w:r>
    </w:p>
    <w:p w14:paraId="6A63F81B" w14:textId="77777777" w:rsidR="00940CBD" w:rsidRDefault="00940CBD" w:rsidP="00084859">
      <w:r w:rsidRPr="00D86E03">
        <w:t>US National Institute for Occupational Safety and Health (NIOSH)</w:t>
      </w:r>
      <w:r>
        <w:t xml:space="preserve"> (1994) </w:t>
      </w:r>
      <w:proofErr w:type="gramStart"/>
      <w:r>
        <w:t>Immediately</w:t>
      </w:r>
      <w:proofErr w:type="gramEnd"/>
      <w:r>
        <w:t xml:space="preserve"> dangerous to life or health concentrations – aniline.</w:t>
      </w:r>
    </w:p>
    <w:p w14:paraId="183218A0" w14:textId="77777777" w:rsidR="00933820" w:rsidRDefault="00933820" w:rsidP="00084859">
      <w:r w:rsidRPr="00D86E03">
        <w:t>US National Institute for Occupational Safety and Health (NIOSH)</w:t>
      </w:r>
      <w:r>
        <w:t xml:space="preserve"> (2015) NIOSH Skin Notation Profiles: Aniline </w:t>
      </w:r>
    </w:p>
    <w:sectPr w:rsidR="00933820" w:rsidSect="00B87D4C">
      <w:headerReference w:type="default" r:id="rId12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0DE684" w16cid:durableId="20E073B2"/>
  <w16cid:commentId w16cid:paraId="6B96F5DB" w16cid:durableId="20E07437"/>
  <w16cid:commentId w16cid:paraId="0FA9ED11" w16cid:durableId="20E07615"/>
  <w16cid:commentId w16cid:paraId="55859C18" w16cid:durableId="20E076B5"/>
  <w16cid:commentId w16cid:paraId="44DFA970" w16cid:durableId="20E079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25273" w14:textId="77777777" w:rsidR="0032700B" w:rsidRDefault="0032700B" w:rsidP="00F43AD5">
      <w:pPr>
        <w:spacing w:after="0" w:line="240" w:lineRule="auto"/>
      </w:pPr>
      <w:r>
        <w:separator/>
      </w:r>
    </w:p>
  </w:endnote>
  <w:endnote w:type="continuationSeparator" w:id="0">
    <w:p w14:paraId="4F489F0A" w14:textId="77777777" w:rsidR="0032700B" w:rsidRDefault="0032700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9B3C0" w14:textId="77777777" w:rsidR="0032700B" w:rsidRDefault="0032700B" w:rsidP="00F43AD5">
      <w:pPr>
        <w:spacing w:after="0" w:line="240" w:lineRule="auto"/>
      </w:pPr>
      <w:r>
        <w:separator/>
      </w:r>
    </w:p>
  </w:footnote>
  <w:footnote w:type="continuationSeparator" w:id="0">
    <w:p w14:paraId="4F57AAB0" w14:textId="77777777" w:rsidR="0032700B" w:rsidRDefault="0032700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1EFF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9E673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132630"/>
    <w:multiLevelType w:val="hybridMultilevel"/>
    <w:tmpl w:val="5BAA215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57D"/>
    <w:rsid w:val="00032B88"/>
    <w:rsid w:val="00036F9E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16E4"/>
    <w:rsid w:val="000D291C"/>
    <w:rsid w:val="000D6FC0"/>
    <w:rsid w:val="000E5A54"/>
    <w:rsid w:val="000E63D3"/>
    <w:rsid w:val="000E67CF"/>
    <w:rsid w:val="0010461E"/>
    <w:rsid w:val="00106FAA"/>
    <w:rsid w:val="00113443"/>
    <w:rsid w:val="00123131"/>
    <w:rsid w:val="001269A7"/>
    <w:rsid w:val="00131092"/>
    <w:rsid w:val="00140E6A"/>
    <w:rsid w:val="00146545"/>
    <w:rsid w:val="00146B75"/>
    <w:rsid w:val="0015266D"/>
    <w:rsid w:val="0015288A"/>
    <w:rsid w:val="00160F47"/>
    <w:rsid w:val="00167F1B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4E15"/>
    <w:rsid w:val="001D56F0"/>
    <w:rsid w:val="001D663B"/>
    <w:rsid w:val="001D7B41"/>
    <w:rsid w:val="001E46DA"/>
    <w:rsid w:val="001E7D80"/>
    <w:rsid w:val="001F2C39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F99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6C69"/>
    <w:rsid w:val="002E0D61"/>
    <w:rsid w:val="002E4C7B"/>
    <w:rsid w:val="002F77A7"/>
    <w:rsid w:val="0030740C"/>
    <w:rsid w:val="00315833"/>
    <w:rsid w:val="003215EE"/>
    <w:rsid w:val="003224BF"/>
    <w:rsid w:val="003241A8"/>
    <w:rsid w:val="003253F0"/>
    <w:rsid w:val="0032700B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4493"/>
    <w:rsid w:val="003B1B88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4FF"/>
    <w:rsid w:val="00430179"/>
    <w:rsid w:val="00436276"/>
    <w:rsid w:val="004414B5"/>
    <w:rsid w:val="00444482"/>
    <w:rsid w:val="00444B42"/>
    <w:rsid w:val="00445E44"/>
    <w:rsid w:val="00450650"/>
    <w:rsid w:val="004509E2"/>
    <w:rsid w:val="004515EE"/>
    <w:rsid w:val="004529F0"/>
    <w:rsid w:val="00460A03"/>
    <w:rsid w:val="0046556D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3B9"/>
    <w:rsid w:val="004A5088"/>
    <w:rsid w:val="004C1E3F"/>
    <w:rsid w:val="004C2345"/>
    <w:rsid w:val="004C23F4"/>
    <w:rsid w:val="004C2A29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60BC"/>
    <w:rsid w:val="00591E38"/>
    <w:rsid w:val="00593363"/>
    <w:rsid w:val="005A19C5"/>
    <w:rsid w:val="005A3034"/>
    <w:rsid w:val="005A462D"/>
    <w:rsid w:val="005B253B"/>
    <w:rsid w:val="005B771D"/>
    <w:rsid w:val="005C5D16"/>
    <w:rsid w:val="005D3193"/>
    <w:rsid w:val="005D4A4E"/>
    <w:rsid w:val="005D4A6E"/>
    <w:rsid w:val="005E294E"/>
    <w:rsid w:val="005E59FD"/>
    <w:rsid w:val="005E6979"/>
    <w:rsid w:val="005E75CB"/>
    <w:rsid w:val="006013C1"/>
    <w:rsid w:val="0060669E"/>
    <w:rsid w:val="00610A5E"/>
    <w:rsid w:val="00610F2E"/>
    <w:rsid w:val="00611399"/>
    <w:rsid w:val="00621D8A"/>
    <w:rsid w:val="00624C4E"/>
    <w:rsid w:val="00625200"/>
    <w:rsid w:val="00635D48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6DE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448"/>
    <w:rsid w:val="006D79EA"/>
    <w:rsid w:val="006E5D05"/>
    <w:rsid w:val="00701053"/>
    <w:rsid w:val="00701507"/>
    <w:rsid w:val="00707BF0"/>
    <w:rsid w:val="00714021"/>
    <w:rsid w:val="00714993"/>
    <w:rsid w:val="00716A0F"/>
    <w:rsid w:val="00717485"/>
    <w:rsid w:val="00717D45"/>
    <w:rsid w:val="007208F7"/>
    <w:rsid w:val="007218AF"/>
    <w:rsid w:val="007365D1"/>
    <w:rsid w:val="00740E0E"/>
    <w:rsid w:val="00750212"/>
    <w:rsid w:val="00754779"/>
    <w:rsid w:val="007561BA"/>
    <w:rsid w:val="0075716D"/>
    <w:rsid w:val="0076220C"/>
    <w:rsid w:val="00762751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42D"/>
    <w:rsid w:val="007E6A4E"/>
    <w:rsid w:val="007E6C94"/>
    <w:rsid w:val="007E757E"/>
    <w:rsid w:val="007E7660"/>
    <w:rsid w:val="007F1005"/>
    <w:rsid w:val="007F25E0"/>
    <w:rsid w:val="007F5328"/>
    <w:rsid w:val="007F6B70"/>
    <w:rsid w:val="00802A0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16F"/>
    <w:rsid w:val="00852C3B"/>
    <w:rsid w:val="0085560D"/>
    <w:rsid w:val="00857A8A"/>
    <w:rsid w:val="008630EE"/>
    <w:rsid w:val="00864D13"/>
    <w:rsid w:val="00871CD5"/>
    <w:rsid w:val="008745A2"/>
    <w:rsid w:val="008768A8"/>
    <w:rsid w:val="0088798F"/>
    <w:rsid w:val="00887E4B"/>
    <w:rsid w:val="00890738"/>
    <w:rsid w:val="008915C8"/>
    <w:rsid w:val="00891D53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295"/>
    <w:rsid w:val="00900951"/>
    <w:rsid w:val="00904083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820"/>
    <w:rsid w:val="00934028"/>
    <w:rsid w:val="0093760E"/>
    <w:rsid w:val="00940CBD"/>
    <w:rsid w:val="00942FA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4EA6"/>
    <w:rsid w:val="0099303A"/>
    <w:rsid w:val="009971C2"/>
    <w:rsid w:val="009A1254"/>
    <w:rsid w:val="009B23B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1DFD"/>
    <w:rsid w:val="00B46026"/>
    <w:rsid w:val="00B479A9"/>
    <w:rsid w:val="00B52EDF"/>
    <w:rsid w:val="00B67BBB"/>
    <w:rsid w:val="00B71188"/>
    <w:rsid w:val="00B76A41"/>
    <w:rsid w:val="00B87D4C"/>
    <w:rsid w:val="00B93646"/>
    <w:rsid w:val="00BA0507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DB7"/>
    <w:rsid w:val="00C67FFB"/>
    <w:rsid w:val="00C7155E"/>
    <w:rsid w:val="00C71D1E"/>
    <w:rsid w:val="00C71D7D"/>
    <w:rsid w:val="00C74833"/>
    <w:rsid w:val="00C81525"/>
    <w:rsid w:val="00C8213A"/>
    <w:rsid w:val="00C850A0"/>
    <w:rsid w:val="00C85A86"/>
    <w:rsid w:val="00C9555B"/>
    <w:rsid w:val="00C978F0"/>
    <w:rsid w:val="00CA58FE"/>
    <w:rsid w:val="00CB1CB1"/>
    <w:rsid w:val="00CB2969"/>
    <w:rsid w:val="00CB43E6"/>
    <w:rsid w:val="00CB6BC1"/>
    <w:rsid w:val="00CB6CB8"/>
    <w:rsid w:val="00CC0D7B"/>
    <w:rsid w:val="00CC1A68"/>
    <w:rsid w:val="00CC2123"/>
    <w:rsid w:val="00CD06AC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BB1"/>
    <w:rsid w:val="00D434E6"/>
    <w:rsid w:val="00D44C89"/>
    <w:rsid w:val="00D46B6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5402"/>
    <w:rsid w:val="00DC7694"/>
    <w:rsid w:val="00DD1BF6"/>
    <w:rsid w:val="00DD2F9B"/>
    <w:rsid w:val="00DE2513"/>
    <w:rsid w:val="00DE26E8"/>
    <w:rsid w:val="00DF6F36"/>
    <w:rsid w:val="00E0084C"/>
    <w:rsid w:val="00E00B0E"/>
    <w:rsid w:val="00E01AFA"/>
    <w:rsid w:val="00E025AB"/>
    <w:rsid w:val="00E02B23"/>
    <w:rsid w:val="00E06F40"/>
    <w:rsid w:val="00E07CE8"/>
    <w:rsid w:val="00E1138F"/>
    <w:rsid w:val="00E161AA"/>
    <w:rsid w:val="00E17C3F"/>
    <w:rsid w:val="00E26065"/>
    <w:rsid w:val="00E26A07"/>
    <w:rsid w:val="00E32595"/>
    <w:rsid w:val="00E37CFD"/>
    <w:rsid w:val="00E41A26"/>
    <w:rsid w:val="00E46BCB"/>
    <w:rsid w:val="00E51CAF"/>
    <w:rsid w:val="00E52A69"/>
    <w:rsid w:val="00E60F04"/>
    <w:rsid w:val="00E62AAC"/>
    <w:rsid w:val="00E67C2F"/>
    <w:rsid w:val="00E67EF5"/>
    <w:rsid w:val="00E804EA"/>
    <w:rsid w:val="00E80A71"/>
    <w:rsid w:val="00E82337"/>
    <w:rsid w:val="00E84C69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4FBB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36DB"/>
    <w:rsid w:val="00F6491C"/>
    <w:rsid w:val="00F67BBB"/>
    <w:rsid w:val="00F87D92"/>
    <w:rsid w:val="00F90AA7"/>
    <w:rsid w:val="00F92498"/>
    <w:rsid w:val="00F9496B"/>
    <w:rsid w:val="00F970C9"/>
    <w:rsid w:val="00F97537"/>
    <w:rsid w:val="00FA06A8"/>
    <w:rsid w:val="00FA3DF5"/>
    <w:rsid w:val="00FA741F"/>
    <w:rsid w:val="00FB4E07"/>
    <w:rsid w:val="00FB755A"/>
    <w:rsid w:val="00FC60A2"/>
    <w:rsid w:val="00FD1871"/>
    <w:rsid w:val="00FD1AF5"/>
    <w:rsid w:val="00FD3110"/>
    <w:rsid w:val="00FF280D"/>
    <w:rsid w:val="00FF5C3D"/>
    <w:rsid w:val="2BCEC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D960DC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21D8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1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152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52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2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8722FBF226F413893AC28BC04926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EEDA7-3BDA-4D9E-86BA-CF18671F6F7F}"/>
      </w:docPartPr>
      <w:docPartBody>
        <w:p w:rsidR="00162F9A" w:rsidRDefault="00F24A42" w:rsidP="00F24A42">
          <w:pPr>
            <w:pStyle w:val="28722FBF226F413893AC28BC0492656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62F9A"/>
    <w:rsid w:val="00432FC4"/>
    <w:rsid w:val="004A1723"/>
    <w:rsid w:val="0094212F"/>
    <w:rsid w:val="00D21A9F"/>
    <w:rsid w:val="00DF4015"/>
    <w:rsid w:val="00F24A42"/>
    <w:rsid w:val="00FA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4A4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1D6CCB62B074ACA9FCD3304BBD6B311">
    <w:name w:val="71D6CCB62B074ACA9FCD3304BBD6B311"/>
    <w:rsid w:val="0094212F"/>
  </w:style>
  <w:style w:type="paragraph" w:customStyle="1" w:styleId="504499B4AF7946549668CCB4CC4B5488">
    <w:name w:val="504499B4AF7946549668CCB4CC4B5488"/>
    <w:rsid w:val="0094212F"/>
  </w:style>
  <w:style w:type="paragraph" w:customStyle="1" w:styleId="28722FBF226F413893AC28BC0492656A">
    <w:name w:val="28722FBF226F413893AC28BC0492656A"/>
    <w:rsid w:val="00F24A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17976-02FE-4B6C-8221-2FE2BF2F53FC}"/>
</file>

<file path=customXml/itemProps4.xml><?xml version="1.0" encoding="utf-8"?>
<ds:datastoreItem xmlns:ds="http://schemas.openxmlformats.org/officeDocument/2006/customXml" ds:itemID="{C11F88BF-9AE7-4727-8D95-4A3E58F1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57B2404D.dotm</Template>
  <TotalTime>183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23</cp:revision>
  <cp:lastPrinted>2018-10-22T22:41:00Z</cp:lastPrinted>
  <dcterms:created xsi:type="dcterms:W3CDTF">2019-07-05T04:33:00Z</dcterms:created>
  <dcterms:modified xsi:type="dcterms:W3CDTF">2019-08-13T00:17:00Z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