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6DA1850" w14:textId="77777777" w:rsidR="00BD499F" w:rsidRPr="004C23F4" w:rsidRDefault="00363A55" w:rsidP="00B40C60">
          <w:pPr>
            <w:pStyle w:val="Heading1"/>
            <w:jc w:val="center"/>
            <w:rPr>
              <w:rFonts w:ascii="Arial" w:hAnsi="Arial" w:cs="Arial"/>
            </w:rPr>
          </w:pPr>
          <w:r w:rsidRPr="00363A55">
            <w:rPr>
              <w:rFonts w:ascii="Arial" w:hAnsi="Arial" w:cs="Arial"/>
            </w:rPr>
            <w:t>Ammonium perfluorooctanoate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64"/>
        <w:gridCol w:w="5062"/>
      </w:tblGrid>
      <w:tr w:rsidR="00F43AD5" w:rsidRPr="004C23F4" w14:paraId="27F795A3" w14:textId="77777777" w:rsidTr="00AA5B60">
        <w:trPr>
          <w:cantSplit/>
          <w:tblHeader/>
        </w:trPr>
        <w:tc>
          <w:tcPr>
            <w:tcW w:w="3964" w:type="dxa"/>
          </w:tcPr>
          <w:p w14:paraId="57E3A8AD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62" w:type="dxa"/>
          </w:tcPr>
          <w:p w14:paraId="53CAD91A" w14:textId="77777777" w:rsidR="00F43AD5" w:rsidRPr="00717D45" w:rsidRDefault="00363A55" w:rsidP="00B76A41">
            <w:pPr>
              <w:pStyle w:val="Tablefont"/>
            </w:pPr>
            <w:r w:rsidRPr="00363A55">
              <w:t>3825-26-1</w:t>
            </w:r>
          </w:p>
        </w:tc>
      </w:tr>
      <w:tr w:rsidR="00F43AD5" w:rsidRPr="004C23F4" w14:paraId="6964CCAC" w14:textId="77777777" w:rsidTr="00AA5B60">
        <w:trPr>
          <w:cantSplit/>
        </w:trPr>
        <w:tc>
          <w:tcPr>
            <w:tcW w:w="3964" w:type="dxa"/>
          </w:tcPr>
          <w:p w14:paraId="603443DD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62" w:type="dxa"/>
          </w:tcPr>
          <w:p w14:paraId="501C5139" w14:textId="38F05AA1" w:rsidR="00F43AD5" w:rsidRPr="00717D45" w:rsidRDefault="00911634" w:rsidP="00AA5B60">
            <w:pPr>
              <w:pStyle w:val="Tablefont"/>
            </w:pPr>
            <w:r>
              <w:t>AFPO</w:t>
            </w:r>
            <w:r w:rsidR="00AA5B60">
              <w:t>,</w:t>
            </w:r>
            <w:r>
              <w:t xml:space="preserve"> </w:t>
            </w:r>
            <w:r w:rsidR="00363A55">
              <w:t>Ammonium pentadecaf</w:t>
            </w:r>
            <w:r w:rsidR="00C16087">
              <w:t>luorooctanoate</w:t>
            </w:r>
            <w:r w:rsidR="00AA5B60">
              <w:t>,</w:t>
            </w:r>
            <w:r w:rsidR="00C16087">
              <w:t xml:space="preserve"> octanoic acid</w:t>
            </w:r>
            <w:r w:rsidR="00AA5B60">
              <w:t>,</w:t>
            </w:r>
            <w:r w:rsidR="00C16087">
              <w:t xml:space="preserve"> p</w:t>
            </w:r>
            <w:r w:rsidR="00363A55">
              <w:t>entadecafluoroammonium salt</w:t>
            </w:r>
          </w:p>
        </w:tc>
      </w:tr>
      <w:tr w:rsidR="00F43AD5" w:rsidRPr="004C23F4" w14:paraId="18DE5628" w14:textId="77777777" w:rsidTr="00AA5B60">
        <w:trPr>
          <w:cantSplit/>
        </w:trPr>
        <w:tc>
          <w:tcPr>
            <w:tcW w:w="3964" w:type="dxa"/>
          </w:tcPr>
          <w:p w14:paraId="5B0CE1F0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62" w:type="dxa"/>
          </w:tcPr>
          <w:p w14:paraId="18448CE8" w14:textId="77777777" w:rsidR="00F43AD5" w:rsidRPr="00717D45" w:rsidRDefault="00911634" w:rsidP="00B76A41">
            <w:pPr>
              <w:pStyle w:val="Tablefont"/>
            </w:pPr>
            <w:r>
              <w:t>C</w:t>
            </w:r>
            <w:r w:rsidRPr="00911634">
              <w:rPr>
                <w:vertAlign w:val="subscript"/>
              </w:rPr>
              <w:t>8</w:t>
            </w:r>
            <w:r>
              <w:t>H</w:t>
            </w:r>
            <w:r w:rsidRPr="00911634">
              <w:rPr>
                <w:vertAlign w:val="subscript"/>
              </w:rPr>
              <w:t>4</w:t>
            </w:r>
            <w:r>
              <w:t>F</w:t>
            </w:r>
            <w:r w:rsidRPr="00911634">
              <w:rPr>
                <w:vertAlign w:val="subscript"/>
              </w:rPr>
              <w:t>15</w:t>
            </w:r>
            <w:r>
              <w:t>NO</w:t>
            </w:r>
            <w:r w:rsidRPr="00911634">
              <w:rPr>
                <w:vertAlign w:val="subscript"/>
              </w:rPr>
              <w:t>2</w:t>
            </w:r>
          </w:p>
        </w:tc>
      </w:tr>
    </w:tbl>
    <w:p w14:paraId="3EE4A9E4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BB0733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54FB87DC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6556549C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3BF8DB22" w14:textId="77777777" w:rsidR="002C7AFE" w:rsidRPr="00BB0733" w:rsidRDefault="00BB0733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0.01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2C7AFE" w:rsidRPr="004C23F4" w14:paraId="68EFEB9A" w14:textId="77777777" w:rsidTr="00921DE7">
        <w:trPr>
          <w:cantSplit/>
        </w:trPr>
        <w:tc>
          <w:tcPr>
            <w:tcW w:w="4077" w:type="dxa"/>
            <w:vAlign w:val="center"/>
          </w:tcPr>
          <w:p w14:paraId="5097DAF6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6CB7F99D" w14:textId="39FD1B87" w:rsidR="002C7AFE" w:rsidRPr="00C16087" w:rsidRDefault="00010A1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344CADAB" w14:textId="77777777" w:rsidTr="00921DE7">
        <w:trPr>
          <w:cantSplit/>
        </w:trPr>
        <w:tc>
          <w:tcPr>
            <w:tcW w:w="4077" w:type="dxa"/>
            <w:vAlign w:val="center"/>
          </w:tcPr>
          <w:p w14:paraId="572E5E9E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28F0ADEA" w14:textId="3E15D19A" w:rsidR="002C7AFE" w:rsidRPr="00C16087" w:rsidRDefault="00010A1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1C4CDAE6" w14:textId="77777777" w:rsidTr="00A2073D">
        <w:trPr>
          <w:cantSplit/>
        </w:trPr>
        <w:tc>
          <w:tcPr>
            <w:tcW w:w="4077" w:type="dxa"/>
          </w:tcPr>
          <w:p w14:paraId="7CAF53C8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6D2E179D" w14:textId="77777777" w:rsidR="002C7AFE" w:rsidRPr="00C16087" w:rsidRDefault="00911634" w:rsidP="008A36CF">
            <w:pPr>
              <w:pStyle w:val="Tablefont"/>
              <w:rPr>
                <w:b/>
              </w:rPr>
            </w:pPr>
            <w:r w:rsidRPr="00C16087">
              <w:rPr>
                <w:b/>
              </w:rPr>
              <w:t>Carc. 2</w:t>
            </w:r>
            <w:r w:rsidR="00C16087" w:rsidRPr="00C16087">
              <w:rPr>
                <w:b/>
              </w:rPr>
              <w:t>, Sk.</w:t>
            </w:r>
          </w:p>
        </w:tc>
      </w:tr>
      <w:tr w:rsidR="002C7AFE" w:rsidRPr="004C23F4" w14:paraId="41F96B8A" w14:textId="77777777" w:rsidTr="00921DE7">
        <w:trPr>
          <w:cantSplit/>
        </w:trPr>
        <w:tc>
          <w:tcPr>
            <w:tcW w:w="4077" w:type="dxa"/>
            <w:vAlign w:val="center"/>
          </w:tcPr>
          <w:p w14:paraId="16CA8E5B" w14:textId="53E9C67B" w:rsidR="00F10C97" w:rsidRPr="002C58FF" w:rsidRDefault="00921DE7" w:rsidP="004F320E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73C404CF" w14:textId="6616C654" w:rsidR="002C7AFE" w:rsidRPr="00C16087" w:rsidRDefault="00010A1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4F320E" w:rsidRPr="004C23F4" w14:paraId="021D24D8" w14:textId="77777777" w:rsidTr="004F320E">
        <w:trPr>
          <w:cantSplit/>
        </w:trPr>
        <w:tc>
          <w:tcPr>
            <w:tcW w:w="4077" w:type="dxa"/>
          </w:tcPr>
          <w:p w14:paraId="45EEBB59" w14:textId="37610A78" w:rsidR="004F320E" w:rsidRDefault="004F320E" w:rsidP="004F320E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72961128" w14:textId="220CCACD" w:rsidR="004F320E" w:rsidRPr="004F320E" w:rsidRDefault="004F320E" w:rsidP="00017C82">
            <w:pPr>
              <w:pStyle w:val="Tablefont"/>
            </w:pPr>
            <w:r w:rsidRPr="004F320E">
              <w:t>There is uncertainty regarding quantification of the recommended value with currently available sampling and/or analysis techniques.</w:t>
            </w:r>
          </w:p>
        </w:tc>
      </w:tr>
    </w:tbl>
    <w:p w14:paraId="189F6E2B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375223B7" w14:textId="2F1E2023" w:rsidR="00BB0733" w:rsidRDefault="00BB0733" w:rsidP="009226EF">
      <w:r>
        <w:t>A TWA of 0.01</w:t>
      </w:r>
      <w:r w:rsidRPr="00BB0733">
        <w:t xml:space="preserve"> mg/m</w:t>
      </w:r>
      <w:r w:rsidRPr="00BB0733">
        <w:rPr>
          <w:vertAlign w:val="superscript"/>
        </w:rPr>
        <w:t>3</w:t>
      </w:r>
      <w:r w:rsidRPr="00BB0733">
        <w:t xml:space="preserve"> is recommended to protect for </w:t>
      </w:r>
      <w:r>
        <w:t>liver damage</w:t>
      </w:r>
      <w:r w:rsidRPr="00BB0733">
        <w:t xml:space="preserve"> in </w:t>
      </w:r>
      <w:r w:rsidR="00F97422">
        <w:t xml:space="preserve">exposed </w:t>
      </w:r>
      <w:r w:rsidRPr="00BB0733">
        <w:t>workers.</w:t>
      </w:r>
    </w:p>
    <w:p w14:paraId="6530F0E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5AAA86F" w14:textId="77777777" w:rsidR="00A24BA7" w:rsidRDefault="00F73664" w:rsidP="00CB7D6E">
      <w:r>
        <w:t>A</w:t>
      </w:r>
      <w:r w:rsidRPr="00F73664">
        <w:t>mmonium perfluorooctanoate</w:t>
      </w:r>
      <w:r>
        <w:t xml:space="preserve"> (APFO)</w:t>
      </w:r>
      <w:r w:rsidR="00C16087">
        <w:t xml:space="preserve"> i</w:t>
      </w:r>
      <w:r w:rsidR="00C16087" w:rsidRPr="00C16087">
        <w:t xml:space="preserve">s an industrial surfactant in chemical processes and </w:t>
      </w:r>
      <w:r w:rsidR="00E54BEF">
        <w:t>used in some</w:t>
      </w:r>
      <w:r w:rsidR="00C16087" w:rsidRPr="00C16087">
        <w:t xml:space="preserve"> feedstock</w:t>
      </w:r>
      <w:r w:rsidR="00E54BEF">
        <w:t>s. It</w:t>
      </w:r>
      <w:r>
        <w:t xml:space="preserve"> </w:t>
      </w:r>
      <w:r w:rsidRPr="00F73664">
        <w:t>is well absorbed after ingestion</w:t>
      </w:r>
      <w:r w:rsidR="00F97422">
        <w:rPr>
          <w:b/>
          <w:bCs/>
          <w:iCs/>
        </w:rPr>
        <w:t xml:space="preserve"> </w:t>
      </w:r>
      <w:r w:rsidR="00F97422" w:rsidRPr="003D4382">
        <w:rPr>
          <w:bCs/>
          <w:iCs/>
        </w:rPr>
        <w:t>and</w:t>
      </w:r>
      <w:r w:rsidRPr="00F73664">
        <w:t xml:space="preserve"> inhalation and to a lesser extent after dermal</w:t>
      </w:r>
      <w:r>
        <w:t xml:space="preserve"> </w:t>
      </w:r>
      <w:r w:rsidRPr="00F73664">
        <w:t>exposure</w:t>
      </w:r>
      <w:r w:rsidR="00C16087">
        <w:t xml:space="preserve">. </w:t>
      </w:r>
    </w:p>
    <w:p w14:paraId="2195D9EE" w14:textId="5740FFBF" w:rsidR="00F73664" w:rsidRDefault="00F73664" w:rsidP="00CB7D6E">
      <w:r>
        <w:t xml:space="preserve">APFO has been </w:t>
      </w:r>
      <w:r w:rsidR="00F97422" w:rsidRPr="003D4382">
        <w:rPr>
          <w:bCs/>
          <w:iCs/>
        </w:rPr>
        <w:t>associated</w:t>
      </w:r>
      <w:r w:rsidR="00F97422">
        <w:rPr>
          <w:b/>
          <w:bCs/>
          <w:iCs/>
        </w:rPr>
        <w:t xml:space="preserve"> </w:t>
      </w:r>
      <w:r>
        <w:t xml:space="preserve">with liver damage in animal </w:t>
      </w:r>
      <w:r w:rsidR="00943947">
        <w:t>studies</w:t>
      </w:r>
      <w:r w:rsidR="00A24BA7">
        <w:t>.</w:t>
      </w:r>
      <w:r>
        <w:t xml:space="preserve"> </w:t>
      </w:r>
      <w:r w:rsidR="00A24BA7">
        <w:t>N</w:t>
      </w:r>
      <w:r w:rsidRPr="00F73664">
        <w:t>o evidence of liver damage</w:t>
      </w:r>
      <w:r>
        <w:t xml:space="preserve"> </w:t>
      </w:r>
      <w:r w:rsidR="00AA5B60">
        <w:t>is</w:t>
      </w:r>
      <w:r>
        <w:t xml:space="preserve"> reported</w:t>
      </w:r>
      <w:r w:rsidRPr="00F73664">
        <w:t xml:space="preserve"> in </w:t>
      </w:r>
      <w:r>
        <w:t xml:space="preserve">human </w:t>
      </w:r>
      <w:r w:rsidRPr="00F73664">
        <w:t>epidemiological studies</w:t>
      </w:r>
      <w:r w:rsidR="00C16087">
        <w:t>. Animal</w:t>
      </w:r>
      <w:r w:rsidR="00B46152">
        <w:t xml:space="preserve"> studies report an</w:t>
      </w:r>
      <w:r w:rsidR="000F4AE6">
        <w:t xml:space="preserve"> increase</w:t>
      </w:r>
      <w:r w:rsidR="00B46152">
        <w:t>d</w:t>
      </w:r>
      <w:r w:rsidR="000F4AE6">
        <w:t xml:space="preserve"> incidence </w:t>
      </w:r>
      <w:r w:rsidR="00010A1D">
        <w:t xml:space="preserve">of </w:t>
      </w:r>
      <w:r w:rsidR="000F4AE6">
        <w:t>testicular tumours</w:t>
      </w:r>
      <w:r w:rsidR="00F97422" w:rsidRPr="00C63AB2">
        <w:rPr>
          <w:bCs/>
          <w:iCs/>
        </w:rPr>
        <w:t>;</w:t>
      </w:r>
      <w:r w:rsidR="000F4AE6">
        <w:t xml:space="preserve"> </w:t>
      </w:r>
      <w:r w:rsidR="00AA5B60">
        <w:t xml:space="preserve">with </w:t>
      </w:r>
      <w:r w:rsidR="000F4AE6">
        <w:t>no evidence of human cancer effects identified</w:t>
      </w:r>
      <w:r w:rsidR="001B44C0">
        <w:t>. No health effects were reported in workers exposed to concentrations as low as 0.032 mg/m</w:t>
      </w:r>
      <w:r w:rsidR="001B44C0">
        <w:rPr>
          <w:vertAlign w:val="superscript"/>
        </w:rPr>
        <w:t>3</w:t>
      </w:r>
      <w:r w:rsidR="001B44C0">
        <w:t xml:space="preserve"> </w:t>
      </w:r>
      <w:r w:rsidR="00AD3056">
        <w:t>(ACGIH, 2018; DFG, 2011</w:t>
      </w:r>
      <w:r w:rsidR="00C16087">
        <w:t xml:space="preserve">). </w:t>
      </w:r>
    </w:p>
    <w:p w14:paraId="15243C8C" w14:textId="03BBEE52" w:rsidR="00943947" w:rsidRPr="000F4AE6" w:rsidRDefault="001B44C0" w:rsidP="00943947">
      <w:r>
        <w:t>A</w:t>
      </w:r>
      <w:r w:rsidR="00F97422">
        <w:t xml:space="preserve"> reported </w:t>
      </w:r>
      <w:r w:rsidR="00B46152" w:rsidRPr="003E1661">
        <w:rPr>
          <w:szCs w:val="20"/>
        </w:rPr>
        <w:t>NOAEL</w:t>
      </w:r>
      <w:r w:rsidR="000F4AE6" w:rsidRPr="003E1661">
        <w:rPr>
          <w:szCs w:val="20"/>
        </w:rPr>
        <w:t xml:space="preserve"> </w:t>
      </w:r>
      <w:r w:rsidR="00F97422" w:rsidRPr="003E1661">
        <w:rPr>
          <w:szCs w:val="20"/>
        </w:rPr>
        <w:t xml:space="preserve">of 1 </w:t>
      </w:r>
      <w:r w:rsidR="00F97422" w:rsidRPr="003E1661">
        <w:rPr>
          <w:rFonts w:cs="Arial"/>
          <w:szCs w:val="20"/>
        </w:rPr>
        <w:t>mg/m</w:t>
      </w:r>
      <w:r w:rsidR="00F97422" w:rsidRPr="003E1661">
        <w:rPr>
          <w:rFonts w:cs="Arial"/>
          <w:szCs w:val="20"/>
          <w:vertAlign w:val="superscript"/>
        </w:rPr>
        <w:t>3</w:t>
      </w:r>
      <w:r w:rsidR="00F97422" w:rsidRPr="003E1661">
        <w:rPr>
          <w:szCs w:val="20"/>
        </w:rPr>
        <w:t xml:space="preserve"> for</w:t>
      </w:r>
      <w:r w:rsidR="000F4AE6" w:rsidRPr="00926AC3">
        <w:t xml:space="preserve"> liver effects in rats</w:t>
      </w:r>
      <w:r w:rsidR="000F4AE6" w:rsidRPr="00926AC3">
        <w:rPr>
          <w:vertAlign w:val="superscript"/>
        </w:rPr>
        <w:t xml:space="preserve"> </w:t>
      </w:r>
      <w:r w:rsidR="00AD3056">
        <w:t>(ACGIH, 2018; DFG, 2011</w:t>
      </w:r>
      <w:r w:rsidR="00C16087" w:rsidRPr="00926AC3">
        <w:t>)</w:t>
      </w:r>
      <w:r>
        <w:t xml:space="preserve"> is considered an appropriate point</w:t>
      </w:r>
      <w:r w:rsidR="00564A22">
        <w:t xml:space="preserve"> of departure</w:t>
      </w:r>
      <w:r w:rsidR="00A24BA7">
        <w:t>. This NOAEL was identified from</w:t>
      </w:r>
      <w:r>
        <w:t xml:space="preserve"> a repeat inhalation study that is representative of </w:t>
      </w:r>
      <w:r w:rsidR="00050BAB">
        <w:t xml:space="preserve">the type of exposure likely </w:t>
      </w:r>
      <w:r w:rsidR="00A24BA7">
        <w:t>encountered at</w:t>
      </w:r>
      <w:r>
        <w:t xml:space="preserve"> the workplace. </w:t>
      </w:r>
      <w:r w:rsidR="00A24BA7">
        <w:t>A</w:t>
      </w:r>
      <w:r w:rsidR="00F97422">
        <w:t>n</w:t>
      </w:r>
      <w:r w:rsidR="00926AC3">
        <w:t xml:space="preserve"> interspecies safety factor of 10</w:t>
      </w:r>
      <w:r w:rsidR="003E1661">
        <w:t xml:space="preserve"> and an intraspecies uncertainty factor of 10</w:t>
      </w:r>
      <w:r w:rsidR="00A24BA7">
        <w:t xml:space="preserve"> are applied resulting in the recommended TWA of</w:t>
      </w:r>
      <w:r w:rsidR="000F4AE6" w:rsidRPr="00926AC3">
        <w:t xml:space="preserve"> 0.01 mg/m</w:t>
      </w:r>
      <w:r w:rsidR="000F4AE6" w:rsidRPr="00926AC3">
        <w:rPr>
          <w:vertAlign w:val="superscript"/>
        </w:rPr>
        <w:t>3</w:t>
      </w:r>
      <w:r w:rsidR="003610CD">
        <w:t xml:space="preserve">, which </w:t>
      </w:r>
      <w:r w:rsidR="000F4AE6" w:rsidRPr="00926AC3">
        <w:t>is consider</w:t>
      </w:r>
      <w:r w:rsidR="00B46152" w:rsidRPr="00926AC3">
        <w:t>ed</w:t>
      </w:r>
      <w:r w:rsidR="000F4AE6" w:rsidRPr="00926AC3">
        <w:t xml:space="preserve"> </w:t>
      </w:r>
      <w:r w:rsidR="00B46152" w:rsidRPr="00926AC3">
        <w:t>sufficient</w:t>
      </w:r>
      <w:r w:rsidR="000F4AE6" w:rsidRPr="00926AC3">
        <w:t xml:space="preserve"> to protect </w:t>
      </w:r>
      <w:r w:rsidR="00F97422">
        <w:t>for</w:t>
      </w:r>
      <w:r w:rsidR="00F97422" w:rsidRPr="00926AC3">
        <w:t xml:space="preserve"> </w:t>
      </w:r>
      <w:r w:rsidR="000F4AE6" w:rsidRPr="00926AC3">
        <w:t>liver damage</w:t>
      </w:r>
      <w:r w:rsidR="00F97422">
        <w:t xml:space="preserve"> in exposed workers</w:t>
      </w:r>
      <w:r w:rsidR="000F4AE6" w:rsidRPr="00926AC3">
        <w:t>.</w:t>
      </w:r>
    </w:p>
    <w:p w14:paraId="2A337564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132B4F74" w14:textId="77777777" w:rsidR="0025734A" w:rsidRPr="004C23F4" w:rsidRDefault="009D7BB9">
      <w:pPr>
        <w:rPr>
          <w:rFonts w:cs="Arial"/>
        </w:rPr>
      </w:pPr>
      <w:r w:rsidRPr="009D7BB9">
        <w:rPr>
          <w:rFonts w:cs="Arial"/>
        </w:rPr>
        <w:t xml:space="preserve">Classified as a </w:t>
      </w:r>
      <w:r>
        <w:rPr>
          <w:rFonts w:cs="Arial"/>
        </w:rPr>
        <w:t xml:space="preserve">category 2 </w:t>
      </w:r>
      <w:r w:rsidRPr="009D7BB9">
        <w:rPr>
          <w:rFonts w:cs="Arial"/>
        </w:rPr>
        <w:t>carcinogen according to the Globally Harmonized System of Classification and Labelling of Chemicals (GHS).</w:t>
      </w:r>
    </w:p>
    <w:p w14:paraId="7F93CB9C" w14:textId="0EAC9FD5" w:rsidR="009A4276" w:rsidRDefault="009D7BB9">
      <w:pPr>
        <w:rPr>
          <w:rFonts w:cs="Arial"/>
        </w:rPr>
      </w:pPr>
      <w:r>
        <w:rPr>
          <w:rFonts w:cs="Arial"/>
        </w:rPr>
        <w:t xml:space="preserve">Not classified as </w:t>
      </w:r>
      <w:r w:rsidR="009A4276">
        <w:rPr>
          <w:rFonts w:cs="Arial"/>
        </w:rPr>
        <w:t>a skin</w:t>
      </w:r>
      <w:r w:rsidR="007E7D1E">
        <w:rPr>
          <w:rFonts w:cs="Arial"/>
        </w:rPr>
        <w:t xml:space="preserve"> </w:t>
      </w:r>
      <w:r w:rsidR="00C42A28">
        <w:rPr>
          <w:rFonts w:cs="Arial"/>
        </w:rPr>
        <w:t>sensitiser or</w:t>
      </w:r>
      <w:r>
        <w:rPr>
          <w:rFonts w:cs="Arial"/>
        </w:rPr>
        <w:t xml:space="preserve"> respiratory s</w:t>
      </w:r>
      <w:r w:rsidR="009A4276">
        <w:rPr>
          <w:rFonts w:cs="Arial"/>
        </w:rPr>
        <w:t>ensitiser according to the GHS.</w:t>
      </w:r>
    </w:p>
    <w:p w14:paraId="63F721E5" w14:textId="77777777" w:rsidR="009A4276" w:rsidRDefault="00377348">
      <w:pPr>
        <w:rPr>
          <w:rFonts w:cs="Arial"/>
        </w:rPr>
      </w:pPr>
      <w:r w:rsidRPr="00377348">
        <w:rPr>
          <w:rFonts w:cs="Arial"/>
        </w:rPr>
        <w:t>A skin notation is recommended based on the low NOAEL following repeated dermal dosing to animals.</w:t>
      </w:r>
    </w:p>
    <w:p w14:paraId="1ADC42B5" w14:textId="77777777" w:rsidR="009A4276" w:rsidRPr="004C23F4" w:rsidRDefault="009A4276">
      <w:pPr>
        <w:rPr>
          <w:rFonts w:cs="Arial"/>
        </w:rPr>
        <w:sectPr w:rsidR="009A4276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0EF7DE8B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621243B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ED7B498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5077CBF1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00DCA805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5437EF1A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363A55">
                  <w:t>1986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363A55">
                  <w:t>TWA: 0.1 mg/m</w:t>
                </w:r>
                <w:r w:rsidR="00363A55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583E417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C2666B0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5CD0506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7630554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B24D58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B24D58">
                  <w:t>TLV-TWA: 0.01 mg/m</w:t>
                </w:r>
                <w:r w:rsidR="00B24D58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7E9151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5E98FE3" w14:textId="7A965532" w:rsidR="00BE4B85" w:rsidRDefault="00B24D58" w:rsidP="00B24D58">
            <w:pPr>
              <w:pStyle w:val="Tabletextprimarysource"/>
            </w:pPr>
            <w:r>
              <w:t>TLV-TWA recommended to minimise the potential for chronic asymptomatic accumulation in the blood</w:t>
            </w:r>
            <w:r w:rsidR="00F97422">
              <w:t>,</w:t>
            </w:r>
            <w:r>
              <w:t xml:space="preserve"> potential liver damage and testicular cancer</w:t>
            </w:r>
            <w:r w:rsidR="00AA5B60">
              <w:t>;</w:t>
            </w:r>
            <w:r>
              <w:t xml:space="preserve"> the latter two reported only in animals.</w:t>
            </w:r>
          </w:p>
          <w:p w14:paraId="14C63059" w14:textId="7120E477" w:rsidR="00B24D58" w:rsidRDefault="00B24D58" w:rsidP="00B24D58">
            <w:pPr>
              <w:pStyle w:val="Tabletextprimarysource"/>
            </w:pPr>
            <w:r>
              <w:t>Summary of data:</w:t>
            </w:r>
          </w:p>
          <w:p w14:paraId="12399323" w14:textId="77777777" w:rsidR="00B24D58" w:rsidRDefault="00B24D58" w:rsidP="00B24D58">
            <w:pPr>
              <w:pStyle w:val="Tabletextprimarysource"/>
            </w:pPr>
            <w:r>
              <w:t>Human data:</w:t>
            </w:r>
          </w:p>
          <w:p w14:paraId="7A327C2B" w14:textId="77777777" w:rsidR="00A81570" w:rsidRDefault="00C650AB" w:rsidP="00B46152">
            <w:pPr>
              <w:pStyle w:val="ListBullet"/>
              <w:tabs>
                <w:tab w:val="clear" w:pos="360"/>
              </w:tabs>
              <w:ind w:left="731"/>
            </w:pPr>
            <w:r>
              <w:t>Organic fluori</w:t>
            </w:r>
            <w:r w:rsidR="004F5D91">
              <w:t xml:space="preserve">de </w:t>
            </w:r>
            <w:r>
              <w:t xml:space="preserve">concentrations higher in </w:t>
            </w:r>
            <w:r w:rsidR="00C16087">
              <w:t xml:space="preserve">the </w:t>
            </w:r>
            <w:r>
              <w:t xml:space="preserve">blood of </w:t>
            </w:r>
            <w:r w:rsidR="00F50C80">
              <w:t xml:space="preserve">exposed </w:t>
            </w:r>
            <w:r>
              <w:t xml:space="preserve">workers than </w:t>
            </w:r>
            <w:r w:rsidR="00C16087">
              <w:t xml:space="preserve">workers with no </w:t>
            </w:r>
            <w:r>
              <w:t>exposure</w:t>
            </w:r>
          </w:p>
          <w:p w14:paraId="45CE6029" w14:textId="6D1E28ED" w:rsidR="00926100" w:rsidRDefault="00F97422" w:rsidP="00792BD0">
            <w:pPr>
              <w:pStyle w:val="ListBullet"/>
              <w:numPr>
                <w:ilvl w:val="0"/>
                <w:numId w:val="11"/>
              </w:numPr>
              <w:ind w:left="1156"/>
            </w:pPr>
            <w:r>
              <w:t>half-life in blood &gt;1</w:t>
            </w:r>
            <w:r w:rsidR="000F7343">
              <w:t>–</w:t>
            </w:r>
            <w:r>
              <w:t xml:space="preserve">2 </w:t>
            </w:r>
            <w:proofErr w:type="spellStart"/>
            <w:r>
              <w:t>yr</w:t>
            </w:r>
            <w:proofErr w:type="spellEnd"/>
          </w:p>
          <w:p w14:paraId="0CD5392E" w14:textId="3AA315E1" w:rsidR="00EC4A3A" w:rsidRDefault="00C650AB" w:rsidP="00AA5B60">
            <w:pPr>
              <w:pStyle w:val="ListBullet"/>
              <w:tabs>
                <w:tab w:val="clear" w:pos="360"/>
              </w:tabs>
              <w:ind w:left="726" w:hanging="357"/>
              <w:contextualSpacing w:val="0"/>
            </w:pPr>
            <w:r>
              <w:t>No health effects reported in exposed workers (0.032</w:t>
            </w:r>
            <w:r w:rsidR="000F7343">
              <w:t>–</w:t>
            </w:r>
            <w:r w:rsidR="006F1149">
              <w:t xml:space="preserve">7.6 </w:t>
            </w:r>
            <w:r>
              <w:t>mg/m</w:t>
            </w:r>
            <w:r>
              <w:rPr>
                <w:vertAlign w:val="superscript"/>
              </w:rPr>
              <w:t>3</w:t>
            </w:r>
            <w:r w:rsidR="00F97422">
              <w:t>;</w:t>
            </w:r>
            <w:r w:rsidR="00943947">
              <w:t xml:space="preserve"> no further</w:t>
            </w:r>
            <w:r w:rsidR="00B46152">
              <w:t xml:space="preserve"> information available)</w:t>
            </w:r>
            <w:r w:rsidR="00F97422">
              <w:t>.</w:t>
            </w:r>
            <w:r w:rsidR="00B46152">
              <w:t xml:space="preserve"> </w:t>
            </w:r>
          </w:p>
          <w:p w14:paraId="6AFF646A" w14:textId="77777777" w:rsidR="00C650AB" w:rsidRDefault="00C650AB" w:rsidP="00C650AB">
            <w:pPr>
              <w:pStyle w:val="ListBullet"/>
              <w:numPr>
                <w:ilvl w:val="0"/>
                <w:numId w:val="0"/>
              </w:numPr>
            </w:pPr>
            <w:r>
              <w:t>Animal data:</w:t>
            </w:r>
          </w:p>
          <w:p w14:paraId="001B9B5B" w14:textId="5FB12CAE" w:rsidR="00A81570" w:rsidRDefault="00F97422" w:rsidP="00B46152">
            <w:pPr>
              <w:pStyle w:val="ListBullet"/>
              <w:tabs>
                <w:tab w:val="clear" w:pos="360"/>
              </w:tabs>
              <w:ind w:left="731"/>
            </w:pPr>
            <w:r>
              <w:t xml:space="preserve">NOAEL: 1 </w:t>
            </w:r>
            <w:r w:rsidRPr="003D4382">
              <w:rPr>
                <w:rFonts w:cs="Arial"/>
              </w:rPr>
              <w:t>mg/m</w:t>
            </w:r>
            <w:r w:rsidRPr="003D4382">
              <w:rPr>
                <w:rFonts w:cs="Arial"/>
                <w:vertAlign w:val="superscript"/>
              </w:rPr>
              <w:t>3</w:t>
            </w:r>
            <w:r w:rsidR="00A81570">
              <w:rPr>
                <w:rFonts w:cs="Arial"/>
                <w:vertAlign w:val="superscript"/>
              </w:rPr>
              <w:t xml:space="preserve"> </w:t>
            </w:r>
            <w:r w:rsidR="00A81570">
              <w:rPr>
                <w:rFonts w:cs="Arial"/>
              </w:rPr>
              <w:t>(</w:t>
            </w:r>
            <w:r>
              <w:t>r</w:t>
            </w:r>
            <w:r w:rsidR="006C7B3C">
              <w:t>epeat inhalation study in male rats</w:t>
            </w:r>
            <w:r w:rsidR="00A81570">
              <w:t>)</w:t>
            </w:r>
            <w:r w:rsidR="006C7B3C">
              <w:t xml:space="preserve"> </w:t>
            </w:r>
          </w:p>
          <w:p w14:paraId="71151EF4" w14:textId="4DDAF412" w:rsidR="00A81570" w:rsidRDefault="006C7B3C" w:rsidP="00792BD0">
            <w:pPr>
              <w:pStyle w:val="ListBullet"/>
              <w:numPr>
                <w:ilvl w:val="0"/>
                <w:numId w:val="11"/>
              </w:numPr>
              <w:ind w:left="1156"/>
            </w:pPr>
            <w:r>
              <w:t xml:space="preserve">liver </w:t>
            </w:r>
            <w:r w:rsidR="00F50C80">
              <w:t xml:space="preserve">damage </w:t>
            </w:r>
            <w:r>
              <w:t xml:space="preserve">at </w:t>
            </w:r>
            <w:r w:rsidR="00E61961">
              <w:t xml:space="preserve">concentrations </w:t>
            </w:r>
            <w:r w:rsidR="00E61961" w:rsidRPr="00E61961">
              <w:t xml:space="preserve">of </w:t>
            </w:r>
            <w:r w:rsidRPr="00E61961">
              <w:t xml:space="preserve">7.6 and 84 </w:t>
            </w:r>
            <w:r w:rsidR="00A81570" w:rsidRPr="00AA5B60">
              <w:rPr>
                <w:rFonts w:cs="Arial"/>
                <w:szCs w:val="20"/>
              </w:rPr>
              <w:t>mg/</w:t>
            </w:r>
            <w:r w:rsidR="00792BD0" w:rsidRPr="00AA5B60">
              <w:rPr>
                <w:rFonts w:cs="Arial"/>
                <w:szCs w:val="20"/>
              </w:rPr>
              <w:t>m</w:t>
            </w:r>
            <w:r w:rsidR="00792BD0" w:rsidRPr="00AA5B60">
              <w:rPr>
                <w:rFonts w:cs="Arial"/>
                <w:szCs w:val="20"/>
                <w:vertAlign w:val="superscript"/>
              </w:rPr>
              <w:t>3</w:t>
            </w:r>
          </w:p>
          <w:p w14:paraId="62BC1404" w14:textId="35A20485" w:rsidR="00C650AB" w:rsidRPr="00E61961" w:rsidRDefault="00E61961" w:rsidP="00792BD0">
            <w:pPr>
              <w:pStyle w:val="ListBullet"/>
              <w:numPr>
                <w:ilvl w:val="0"/>
                <w:numId w:val="11"/>
              </w:numPr>
              <w:ind w:left="1156"/>
            </w:pPr>
            <w:r>
              <w:t>liver effects were reversible</w:t>
            </w:r>
          </w:p>
          <w:p w14:paraId="6458D1AA" w14:textId="77777777" w:rsidR="000F4AE6" w:rsidRDefault="000F4AE6" w:rsidP="00B46152">
            <w:pPr>
              <w:pStyle w:val="ListBullet"/>
              <w:tabs>
                <w:tab w:val="clear" w:pos="360"/>
              </w:tabs>
              <w:ind w:left="731"/>
            </w:pPr>
            <w:r w:rsidRPr="00E61961">
              <w:t>Increase incidence of testicular</w:t>
            </w:r>
            <w:r>
              <w:t xml:space="preserve"> tumours in rats fed APFO</w:t>
            </w:r>
          </w:p>
          <w:p w14:paraId="3E705C65" w14:textId="6CA1BEC3" w:rsidR="00377348" w:rsidRDefault="00377348" w:rsidP="00D203F2">
            <w:pPr>
              <w:pStyle w:val="ListBullet"/>
              <w:tabs>
                <w:tab w:val="clear" w:pos="360"/>
              </w:tabs>
              <w:ind w:left="731"/>
            </w:pPr>
            <w:r>
              <w:t>LD</w:t>
            </w:r>
            <w:r w:rsidRPr="00C16087">
              <w:rPr>
                <w:vertAlign w:val="subscript"/>
              </w:rPr>
              <w:t>50</w:t>
            </w:r>
            <w:r>
              <w:t>: 4,300 mg/kg (rabbits</w:t>
            </w:r>
            <w:r w:rsidR="00C16087">
              <w:t>, dermal</w:t>
            </w:r>
            <w:r>
              <w:t>); 7,000 mg/kg (male rats</w:t>
            </w:r>
            <w:r w:rsidR="00C16087">
              <w:t>, dermal</w:t>
            </w:r>
            <w:r>
              <w:t>); &gt;7,500 mg/kg (female rats</w:t>
            </w:r>
            <w:r w:rsidR="00C16087">
              <w:t>, dermal</w:t>
            </w:r>
            <w:r>
              <w:t>)</w:t>
            </w:r>
          </w:p>
          <w:p w14:paraId="77956F45" w14:textId="07673113" w:rsidR="00377348" w:rsidRDefault="00377348" w:rsidP="00D203F2">
            <w:pPr>
              <w:pStyle w:val="ListBullet"/>
              <w:tabs>
                <w:tab w:val="clear" w:pos="360"/>
              </w:tabs>
              <w:ind w:left="731"/>
            </w:pPr>
            <w:r>
              <w:t>Liver damage observed with repeated dermal dose</w:t>
            </w:r>
            <w:r w:rsidR="00F50C80">
              <w:t>s</w:t>
            </w:r>
            <w:r>
              <w:t xml:space="preserve"> </w:t>
            </w:r>
            <w:r w:rsidR="00F50C80">
              <w:t xml:space="preserve">between </w:t>
            </w:r>
            <w:r>
              <w:t>20</w:t>
            </w:r>
            <w:r w:rsidR="000F7343">
              <w:t>–</w:t>
            </w:r>
            <w:r w:rsidR="00F50C80">
              <w:t>2,000</w:t>
            </w:r>
            <w:r>
              <w:t xml:space="preserve"> mg/kg to rats</w:t>
            </w:r>
          </w:p>
          <w:p w14:paraId="3ADAAF70" w14:textId="262A264B" w:rsidR="006C7B3C" w:rsidRDefault="00102F20" w:rsidP="00B46152">
            <w:pPr>
              <w:pStyle w:val="ListBullet"/>
              <w:tabs>
                <w:tab w:val="clear" w:pos="360"/>
              </w:tabs>
              <w:ind w:left="731"/>
            </w:pPr>
            <w:r>
              <w:t>No teratogenic effects in rats af</w:t>
            </w:r>
            <w:r w:rsidR="00325507">
              <w:t xml:space="preserve">ter inhalation </w:t>
            </w:r>
            <w:r w:rsidR="009957E7">
              <w:t>&lt;</w:t>
            </w:r>
            <w:r w:rsidR="00325507">
              <w:t>25 mg/m</w:t>
            </w:r>
            <w:r>
              <w:rPr>
                <w:vertAlign w:val="superscript"/>
              </w:rPr>
              <w:t>3</w:t>
            </w:r>
            <w:r w:rsidR="00325507">
              <w:t xml:space="preserve"> (chronic study; no duration)</w:t>
            </w:r>
          </w:p>
          <w:p w14:paraId="728941D0" w14:textId="77777777" w:rsidR="00325507" w:rsidRPr="003D4382" w:rsidRDefault="00325507" w:rsidP="00B46152">
            <w:pPr>
              <w:pStyle w:val="ListBullet"/>
              <w:tabs>
                <w:tab w:val="clear" w:pos="360"/>
              </w:tabs>
              <w:ind w:left="731"/>
            </w:pPr>
            <w:r>
              <w:t xml:space="preserve">Negative mutagenic results in </w:t>
            </w:r>
            <w:r w:rsidRPr="00325507">
              <w:rPr>
                <w:i/>
              </w:rPr>
              <w:t>Salmonella typhimurium</w:t>
            </w:r>
            <w:r>
              <w:rPr>
                <w:i/>
              </w:rPr>
              <w:t>.</w:t>
            </w:r>
          </w:p>
          <w:p w14:paraId="16AEB882" w14:textId="77777777" w:rsidR="00F97422" w:rsidRPr="00F97422" w:rsidRDefault="00F97422" w:rsidP="003D4382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0ED91F3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3DAE03B" w14:textId="7BA4066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B13A40">
                  <w:t>2005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B13A40">
                  <w:t>MAK: 0.005 mg/m</w:t>
                </w:r>
                <w:r w:rsidR="00B13A40">
                  <w:rPr>
                    <w:vertAlign w:val="superscript"/>
                  </w:rPr>
                  <w:t>2</w:t>
                </w:r>
              </w:sdtContent>
            </w:sdt>
          </w:p>
        </w:tc>
      </w:tr>
      <w:tr w:rsidR="00C978F0" w:rsidRPr="00DA352E" w14:paraId="260F7283" w14:textId="77777777" w:rsidTr="0098110E">
        <w:trPr>
          <w:gridAfter w:val="1"/>
          <w:wAfter w:w="8" w:type="pct"/>
        </w:trPr>
        <w:tc>
          <w:tcPr>
            <w:tcW w:w="4992" w:type="pct"/>
          </w:tcPr>
          <w:p w14:paraId="02FA120E" w14:textId="1B9B6DB1" w:rsidR="00BE4B85" w:rsidRDefault="00B13A40" w:rsidP="003365A5">
            <w:pPr>
              <w:pStyle w:val="Tabletextprimarysource"/>
            </w:pPr>
            <w:r>
              <w:t>MAK for perfluorooctanoic acid and its inorganic salts</w:t>
            </w:r>
            <w:r w:rsidR="00BE4B85">
              <w:t>,</w:t>
            </w:r>
            <w:r>
              <w:t xml:space="preserve"> including ammonium perfluorooctanoate</w:t>
            </w:r>
            <w:r w:rsidR="00BE4B85">
              <w:t>,</w:t>
            </w:r>
            <w:r>
              <w:t xml:space="preserve"> </w:t>
            </w:r>
            <w:r w:rsidR="00CB7D6E">
              <w:t xml:space="preserve">is </w:t>
            </w:r>
            <w:r>
              <w:t xml:space="preserve">recommended to protect </w:t>
            </w:r>
            <w:r w:rsidR="00F50C80">
              <w:t xml:space="preserve">for </w:t>
            </w:r>
            <w:r>
              <w:t>liver damage</w:t>
            </w:r>
            <w:r w:rsidR="00BB0733">
              <w:t>.</w:t>
            </w:r>
          </w:p>
          <w:p w14:paraId="2066BA80" w14:textId="1C2CEFD9" w:rsidR="00B13A40" w:rsidRDefault="00B13A40" w:rsidP="003365A5">
            <w:pPr>
              <w:pStyle w:val="Tabletextprimarysource"/>
            </w:pPr>
            <w:r>
              <w:t>Summary of additional data:</w:t>
            </w:r>
          </w:p>
          <w:p w14:paraId="200D87AF" w14:textId="77777777" w:rsidR="002B3AFC" w:rsidRDefault="002B3AFC" w:rsidP="00B46152">
            <w:pPr>
              <w:pStyle w:val="ListBullet"/>
              <w:tabs>
                <w:tab w:val="clear" w:pos="360"/>
              </w:tabs>
              <w:ind w:left="731"/>
            </w:pPr>
            <w:r>
              <w:t xml:space="preserve">APFO absorbed </w:t>
            </w:r>
            <w:r w:rsidR="00516881">
              <w:t>following</w:t>
            </w:r>
            <w:r>
              <w:t xml:space="preserve"> ingestion and inhalation </w:t>
            </w:r>
            <w:r w:rsidR="00C16087">
              <w:t>but</w:t>
            </w:r>
            <w:r>
              <w:t xml:space="preserve"> to a lesser extent</w:t>
            </w:r>
            <w:r w:rsidR="00516881">
              <w:t xml:space="preserve"> </w:t>
            </w:r>
            <w:r w:rsidR="00516881" w:rsidRPr="00792BD0">
              <w:rPr>
                <w:i/>
              </w:rPr>
              <w:t>via</w:t>
            </w:r>
            <w:r w:rsidR="00516881">
              <w:t xml:space="preserve"> </w:t>
            </w:r>
            <w:r w:rsidR="009957E7">
              <w:t>dermal</w:t>
            </w:r>
            <w:r w:rsidR="00516881">
              <w:t xml:space="preserve"> pathway</w:t>
            </w:r>
          </w:p>
          <w:p w14:paraId="421B0D7B" w14:textId="77777777" w:rsidR="002B3AFC" w:rsidRDefault="002B3AFC" w:rsidP="00B46152">
            <w:pPr>
              <w:pStyle w:val="ListBullet"/>
              <w:tabs>
                <w:tab w:val="clear" w:pos="360"/>
              </w:tabs>
              <w:ind w:left="731"/>
            </w:pPr>
            <w:r>
              <w:t xml:space="preserve">Distributed as </w:t>
            </w:r>
            <w:r w:rsidRPr="002B3AFC">
              <w:t>perfluorooctanoic acid (PFOA)</w:t>
            </w:r>
            <w:r>
              <w:t xml:space="preserve"> in rodents via plasma</w:t>
            </w:r>
          </w:p>
          <w:p w14:paraId="22E0F769" w14:textId="77777777" w:rsidR="00B13A40" w:rsidRDefault="002B3AFC" w:rsidP="00B46152">
            <w:pPr>
              <w:pStyle w:val="ListBullet"/>
              <w:tabs>
                <w:tab w:val="clear" w:pos="360"/>
              </w:tabs>
              <w:ind w:left="731"/>
            </w:pPr>
            <w:r>
              <w:t>No evidence of liver damage in epidemiological studies</w:t>
            </w:r>
          </w:p>
          <w:p w14:paraId="2B8034D0" w14:textId="77777777" w:rsidR="002B3AFC" w:rsidRDefault="002B3AFC" w:rsidP="00B46152">
            <w:pPr>
              <w:pStyle w:val="ListBullet"/>
              <w:tabs>
                <w:tab w:val="clear" w:pos="360"/>
              </w:tabs>
              <w:ind w:left="731"/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 xml:space="preserve">: 4,300 mg/kg (rabbits; </w:t>
            </w:r>
            <w:r w:rsidR="00B46152">
              <w:t>dermal); duration not provided</w:t>
            </w:r>
          </w:p>
          <w:p w14:paraId="7076D5D8" w14:textId="77777777" w:rsidR="002B3AFC" w:rsidRDefault="002B3AFC" w:rsidP="00B46152">
            <w:pPr>
              <w:pStyle w:val="ListBullet"/>
              <w:tabs>
                <w:tab w:val="clear" w:pos="360"/>
              </w:tabs>
              <w:ind w:left="731"/>
            </w:pPr>
            <w:r>
              <w:t>Liver hypertrophy</w:t>
            </w:r>
            <w:r w:rsidR="00C16087">
              <w:t xml:space="preserve"> observed</w:t>
            </w:r>
            <w:r>
              <w:t xml:space="preserve"> in monkeys (no further information)</w:t>
            </w:r>
          </w:p>
          <w:p w14:paraId="19F6A7D9" w14:textId="77777777" w:rsidR="002B3AFC" w:rsidRDefault="002B3AFC" w:rsidP="00B46152">
            <w:pPr>
              <w:pStyle w:val="ListBullet"/>
              <w:tabs>
                <w:tab w:val="clear" w:pos="360"/>
              </w:tabs>
              <w:ind w:left="731"/>
            </w:pPr>
            <w:r>
              <w:t xml:space="preserve">Reduced </w:t>
            </w:r>
            <w:r w:rsidR="00A04085">
              <w:t>foetal</w:t>
            </w:r>
            <w:r>
              <w:t xml:space="preserve"> weights</w:t>
            </w:r>
            <w:r w:rsidR="00A04085">
              <w:t xml:space="preserve"> in rats and maternal toxicity after 25 mg/m</w:t>
            </w:r>
            <w:r w:rsidR="00A04085">
              <w:rPr>
                <w:vertAlign w:val="superscript"/>
              </w:rPr>
              <w:t>3</w:t>
            </w:r>
            <w:r w:rsidR="00A04085">
              <w:t xml:space="preserve"> (no further information)</w:t>
            </w:r>
          </w:p>
          <w:p w14:paraId="2691E45C" w14:textId="77777777" w:rsidR="00A04085" w:rsidRDefault="00A04085" w:rsidP="00B46152">
            <w:pPr>
              <w:pStyle w:val="ListBullet"/>
              <w:tabs>
                <w:tab w:val="clear" w:pos="360"/>
              </w:tabs>
              <w:ind w:left="731"/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>: 980 mg/m</w:t>
            </w:r>
            <w:r>
              <w:rPr>
                <w:vertAlign w:val="superscript"/>
              </w:rPr>
              <w:t>3</w:t>
            </w:r>
            <w:r w:rsidR="00B46152">
              <w:t xml:space="preserve"> (rats; 4 h</w:t>
            </w:r>
            <w:r>
              <w:t>)</w:t>
            </w:r>
          </w:p>
          <w:p w14:paraId="45F25D8F" w14:textId="77777777" w:rsidR="00A04085" w:rsidRDefault="00A51C83" w:rsidP="00B46152">
            <w:pPr>
              <w:pStyle w:val="ListBullet"/>
              <w:tabs>
                <w:tab w:val="clear" w:pos="360"/>
              </w:tabs>
              <w:ind w:left="731"/>
            </w:pPr>
            <w:r>
              <w:t>N</w:t>
            </w:r>
            <w:r w:rsidR="00A04085">
              <w:t xml:space="preserve">OAEL of </w:t>
            </w:r>
            <w:r>
              <w:t xml:space="preserve">7 mg/L serum </w:t>
            </w:r>
            <w:r w:rsidR="00B46152">
              <w:t xml:space="preserve">liver weight </w:t>
            </w:r>
            <w:r>
              <w:t>increase in rats corresponds to 0.06 mg/kg APFO</w:t>
            </w:r>
          </w:p>
          <w:p w14:paraId="7DFC235E" w14:textId="495C4A4E" w:rsidR="00A51C83" w:rsidRDefault="00AD3056">
            <w:pPr>
              <w:pStyle w:val="ListBullet"/>
              <w:tabs>
                <w:tab w:val="clear" w:pos="360"/>
              </w:tabs>
              <w:ind w:left="731"/>
            </w:pPr>
            <w:r>
              <w:t xml:space="preserve">Reports that a </w:t>
            </w:r>
            <w:r w:rsidR="00F50C80">
              <w:t>NOAEL of</w:t>
            </w:r>
            <w:r w:rsidR="00A51C83">
              <w:t xml:space="preserve"> 7 mg/L </w:t>
            </w:r>
            <w:r w:rsidR="00053049">
              <w:t xml:space="preserve">in rats also </w:t>
            </w:r>
            <w:r w:rsidR="00A51C83">
              <w:t>applies to humans</w:t>
            </w:r>
            <w:r w:rsidR="00053049">
              <w:t xml:space="preserve"> and</w:t>
            </w:r>
            <w:r>
              <w:t xml:space="preserve"> the concentration in blood </w:t>
            </w:r>
            <w:r w:rsidR="00A51C83">
              <w:t xml:space="preserve">corresponds to </w:t>
            </w:r>
            <w:r>
              <w:t xml:space="preserve">concentration in air of </w:t>
            </w:r>
            <w:r w:rsidR="00A51C83">
              <w:t>0.</w:t>
            </w:r>
            <w:r w:rsidR="00F97422">
              <w:t>005 </w:t>
            </w:r>
            <w:r w:rsidR="00A51C83">
              <w:t>mg/m</w:t>
            </w:r>
            <w:r>
              <w:rPr>
                <w:vertAlign w:val="superscript"/>
              </w:rPr>
              <w:t>3</w:t>
            </w:r>
            <w:r>
              <w:t>; based</w:t>
            </w:r>
            <w:r w:rsidR="00A51C83">
              <w:t xml:space="preserve"> on </w:t>
            </w:r>
            <w:r>
              <w:t xml:space="preserve">the following: </w:t>
            </w:r>
            <w:r w:rsidR="00A51C83">
              <w:t>.</w:t>
            </w:r>
          </w:p>
          <w:p w14:paraId="54135E98" w14:textId="77777777" w:rsidR="00AD3056" w:rsidRDefault="00AD3056" w:rsidP="00EC40C4">
            <w:pPr>
              <w:pStyle w:val="ListBullet"/>
              <w:numPr>
                <w:ilvl w:val="0"/>
                <w:numId w:val="11"/>
              </w:numPr>
              <w:ind w:left="1156"/>
            </w:pPr>
            <w:proofErr w:type="spellStart"/>
            <w:r>
              <w:t>C</w:t>
            </w:r>
            <w:r>
              <w:rPr>
                <w:vertAlign w:val="subscript"/>
              </w:rPr>
              <w:t>air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>= (</w:t>
            </w:r>
            <w:proofErr w:type="spellStart"/>
            <w:r>
              <w:t>C</w:t>
            </w:r>
            <w:r>
              <w:rPr>
                <w:vertAlign w:val="subscript"/>
              </w:rPr>
              <w:t>blood</w:t>
            </w:r>
            <w:proofErr w:type="spellEnd"/>
            <w:r>
              <w:t xml:space="preserve"> x </w:t>
            </w:r>
            <w:proofErr w:type="spellStart"/>
            <w:r>
              <w:t>V</w:t>
            </w:r>
            <w:r>
              <w:rPr>
                <w:vertAlign w:val="subscript"/>
              </w:rPr>
              <w:t>d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>x BW)/(R/100 x AV x t</w:t>
            </w:r>
            <w:r>
              <w:rPr>
                <w:vertAlign w:val="subscript"/>
              </w:rPr>
              <w:t>1/2</w:t>
            </w:r>
            <w:r>
              <w:t>) x 1000</w:t>
            </w:r>
          </w:p>
          <w:p w14:paraId="749B7696" w14:textId="41DC2D06" w:rsidR="00AD3056" w:rsidRDefault="00AA5B60" w:rsidP="00EC40C4">
            <w:pPr>
              <w:pStyle w:val="ListBullet"/>
              <w:numPr>
                <w:ilvl w:val="0"/>
                <w:numId w:val="11"/>
              </w:numPr>
              <w:ind w:left="1156"/>
            </w:pPr>
            <w:r>
              <w:t>a</w:t>
            </w:r>
            <w:r w:rsidR="00AD3056">
              <w:t>ssuming: half-life (t</w:t>
            </w:r>
            <w:r w:rsidR="00AD3056" w:rsidRPr="00AD3056">
              <w:rPr>
                <w:vertAlign w:val="subscript"/>
              </w:rPr>
              <w:t>1/2</w:t>
            </w:r>
            <w:r w:rsidR="00AD3056">
              <w:t xml:space="preserve">) = 3.8 </w:t>
            </w:r>
            <w:proofErr w:type="spellStart"/>
            <w:r w:rsidR="00564A22">
              <w:t>yr</w:t>
            </w:r>
            <w:proofErr w:type="spellEnd"/>
            <w:r w:rsidR="00564A22">
              <w:t xml:space="preserve"> </w:t>
            </w:r>
            <w:r w:rsidR="00AD3056">
              <w:t>= 1,387 d; respiratory volume (AV) = 10,000 L; body weight (BW) = 70 kg; distribution volume (</w:t>
            </w:r>
            <w:proofErr w:type="spellStart"/>
            <w:r w:rsidR="00AD3056">
              <w:t>V</w:t>
            </w:r>
            <w:r w:rsidR="00AD3056">
              <w:rPr>
                <w:vertAlign w:val="subscript"/>
              </w:rPr>
              <w:t>d</w:t>
            </w:r>
            <w:proofErr w:type="spellEnd"/>
            <w:r w:rsidR="00AD3056">
              <w:t>) = 0.21</w:t>
            </w:r>
            <w:r w:rsidR="00564A22">
              <w:t xml:space="preserve"> </w:t>
            </w:r>
            <w:r w:rsidR="00AD3056">
              <w:t>L/kg; retention (R) = 100%</w:t>
            </w:r>
          </w:p>
          <w:p w14:paraId="6509138E" w14:textId="77777777" w:rsidR="00845167" w:rsidRPr="00792BD0" w:rsidRDefault="00845167" w:rsidP="003D4382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szCs w:val="20"/>
              </w:rPr>
            </w:pPr>
            <w:r w:rsidRPr="00792BD0">
              <w:rPr>
                <w:szCs w:val="20"/>
              </w:rPr>
              <w:t>Summary of additional data (2011; prenatal toxicity)</w:t>
            </w:r>
          </w:p>
          <w:p w14:paraId="3386C020" w14:textId="3C71C04A" w:rsidR="00845167" w:rsidRPr="00792BD0" w:rsidRDefault="00845167" w:rsidP="00792BD0">
            <w:pPr>
              <w:pStyle w:val="ListBullet"/>
              <w:tabs>
                <w:tab w:val="clear" w:pos="360"/>
              </w:tabs>
              <w:ind w:left="731"/>
              <w:rPr>
                <w:szCs w:val="20"/>
              </w:rPr>
            </w:pPr>
            <w:r w:rsidRPr="00792BD0">
              <w:rPr>
                <w:szCs w:val="20"/>
              </w:rPr>
              <w:t xml:space="preserve">NOAEC in rats of 10 </w:t>
            </w:r>
            <w:r w:rsidRPr="00792BD0">
              <w:rPr>
                <w:rFonts w:cs="Arial"/>
                <w:szCs w:val="20"/>
              </w:rPr>
              <w:t>mg/m</w:t>
            </w:r>
            <w:r w:rsidRPr="00792BD0">
              <w:rPr>
                <w:rFonts w:cs="Arial"/>
                <w:szCs w:val="20"/>
                <w:vertAlign w:val="superscript"/>
              </w:rPr>
              <w:t>3</w:t>
            </w:r>
            <w:r w:rsidRPr="00792BD0">
              <w:rPr>
                <w:szCs w:val="20"/>
              </w:rPr>
              <w:t xml:space="preserve"> (6 h/d exposure</w:t>
            </w:r>
            <w:r>
              <w:rPr>
                <w:szCs w:val="20"/>
              </w:rPr>
              <w:t xml:space="preserve"> to dust</w:t>
            </w:r>
            <w:r w:rsidRPr="00792BD0">
              <w:rPr>
                <w:szCs w:val="20"/>
              </w:rPr>
              <w:t>, highest dose tested, whole body exposure) for toxic effects on prenatal development</w:t>
            </w:r>
          </w:p>
          <w:p w14:paraId="4CE5C6FB" w14:textId="22953839" w:rsidR="00AA5B60" w:rsidRPr="00DA352E" w:rsidRDefault="0098110E" w:rsidP="00AA5B60">
            <w:pPr>
              <w:pStyle w:val="ListBullet"/>
              <w:numPr>
                <w:ilvl w:val="0"/>
                <w:numId w:val="11"/>
              </w:numPr>
              <w:ind w:left="1156"/>
            </w:pPr>
            <w:proofErr w:type="gramStart"/>
            <w:r>
              <w:lastRenderedPageBreak/>
              <w:t>r</w:t>
            </w:r>
            <w:r w:rsidR="00845167">
              <w:t>ange</w:t>
            </w:r>
            <w:proofErr w:type="gramEnd"/>
            <w:r w:rsidR="00845167">
              <w:t xml:space="preserve"> finding study at </w:t>
            </w:r>
            <w:r w:rsidR="00845167" w:rsidRPr="00792BD0">
              <w:rPr>
                <w:szCs w:val="20"/>
              </w:rPr>
              <w:t xml:space="preserve">25 </w:t>
            </w:r>
            <w:r w:rsidR="00845167" w:rsidRPr="00792BD0">
              <w:rPr>
                <w:rFonts w:cs="Arial"/>
                <w:szCs w:val="20"/>
              </w:rPr>
              <w:t>mg/m</w:t>
            </w:r>
            <w:r w:rsidR="00845167" w:rsidRPr="00792BD0">
              <w:rPr>
                <w:rFonts w:cs="Arial"/>
                <w:szCs w:val="20"/>
                <w:vertAlign w:val="superscript"/>
              </w:rPr>
              <w:t>3</w:t>
            </w:r>
            <w:r w:rsidR="00845167">
              <w:t xml:space="preserve"> for 6 h/d reported 3/12 maternal deaths and reduced foetal weight</w:t>
            </w:r>
            <w:r w:rsidR="00AA5B60">
              <w:t>.</w:t>
            </w:r>
          </w:p>
        </w:tc>
      </w:tr>
      <w:tr w:rsidR="00C978F0" w:rsidRPr="00DA352E" w14:paraId="1C7CC0E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9A8D193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F816D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F816DE">
                  <w:t>NA</w:t>
                </w:r>
              </w:sdtContent>
            </w:sdt>
          </w:p>
        </w:tc>
      </w:tr>
      <w:tr w:rsidR="00C978F0" w:rsidRPr="00DA352E" w14:paraId="4162A10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9014936" w14:textId="0A80B0FF" w:rsidR="00C978F0" w:rsidRPr="00DA352E" w:rsidRDefault="00B46152" w:rsidP="003365A5">
            <w:pPr>
              <w:pStyle w:val="Tabletextprimarysource"/>
            </w:pPr>
            <w:r>
              <w:t>No report</w:t>
            </w:r>
            <w:r w:rsidR="00AA5B60">
              <w:t>.</w:t>
            </w:r>
          </w:p>
        </w:tc>
      </w:tr>
      <w:tr w:rsidR="00DA352E" w:rsidRPr="00DA352E" w14:paraId="3420C18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FC7EECA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F816D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F816DE">
                  <w:t>NA</w:t>
                </w:r>
              </w:sdtContent>
            </w:sdt>
          </w:p>
        </w:tc>
      </w:tr>
      <w:tr w:rsidR="00DA352E" w:rsidRPr="00DA352E" w14:paraId="58B000C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7AC5118" w14:textId="6751574E" w:rsidR="00DA352E" w:rsidRPr="00DA352E" w:rsidRDefault="00B46152" w:rsidP="003365A5">
            <w:pPr>
              <w:pStyle w:val="Tabletextprimarysource"/>
            </w:pPr>
            <w:r>
              <w:t>No report</w:t>
            </w:r>
            <w:r w:rsidR="00AA5B60">
              <w:t>.</w:t>
            </w:r>
          </w:p>
        </w:tc>
      </w:tr>
      <w:tr w:rsidR="00DA352E" w:rsidRPr="00DA352E" w14:paraId="3A81E4B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19A954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F816D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F816DE">
                  <w:t>NA</w:t>
                </w:r>
              </w:sdtContent>
            </w:sdt>
          </w:p>
        </w:tc>
      </w:tr>
      <w:tr w:rsidR="00DA352E" w:rsidRPr="00DA352E" w14:paraId="64910BE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4301B38" w14:textId="6FA70E61" w:rsidR="00DA352E" w:rsidRPr="00DA352E" w:rsidRDefault="00B46152" w:rsidP="003365A5">
            <w:pPr>
              <w:pStyle w:val="Tabletextprimarysource"/>
            </w:pPr>
            <w:r>
              <w:t>No report</w:t>
            </w:r>
            <w:r w:rsidR="00AA5B60">
              <w:t>.</w:t>
            </w:r>
          </w:p>
        </w:tc>
      </w:tr>
    </w:tbl>
    <w:p w14:paraId="2B82B7F2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263255" w14:paraId="79C37EF3" w14:textId="77777777" w:rsidTr="000A6C06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50D791A2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78FAE211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4BBFADCC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137B3C42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55D2E7F" w14:textId="77777777" w:rsidTr="000A6C06">
        <w:trPr>
          <w:cantSplit/>
        </w:trPr>
        <w:tc>
          <w:tcPr>
            <w:tcW w:w="1497" w:type="dxa"/>
          </w:tcPr>
          <w:p w14:paraId="5BEA1B59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4" w:type="dxa"/>
          </w:tcPr>
          <w:p w14:paraId="3F2814E7" w14:textId="77777777" w:rsidR="004966BF" w:rsidRPr="00CE617F" w:rsidRDefault="00B278F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837709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FB6A726" w14:textId="77777777" w:rsidR="004966BF" w:rsidRPr="004C23F4" w:rsidRDefault="00837709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2015</w:t>
            </w:r>
          </w:p>
        </w:tc>
        <w:tc>
          <w:tcPr>
            <w:tcW w:w="6444" w:type="dxa"/>
          </w:tcPr>
          <w:p w14:paraId="1E1F39CA" w14:textId="578EE275" w:rsidR="006F1149" w:rsidRPr="006F1149" w:rsidRDefault="006F1149" w:rsidP="00837709">
            <w:pPr>
              <w:pStyle w:val="ListBullet"/>
              <w:rPr>
                <w:rFonts w:cs="Arial"/>
              </w:rPr>
            </w:pPr>
            <w:r>
              <w:t>NOAEL of 10 mg/m</w:t>
            </w:r>
            <w:r w:rsidRPr="006F1149">
              <w:rPr>
                <w:vertAlign w:val="superscript"/>
              </w:rPr>
              <w:t>3</w:t>
            </w:r>
            <w:r>
              <w:t xml:space="preserve"> developmental toxicity in rat pups (</w:t>
            </w:r>
            <w:r w:rsidR="008F0E95">
              <w:t xml:space="preserve">statistically significant reduced </w:t>
            </w:r>
            <w:r w:rsidR="00B240D6">
              <w:t>bw</w:t>
            </w:r>
            <w:r>
              <w:t xml:space="preserve"> </w:t>
            </w:r>
            <w:r w:rsidR="008F0E95">
              <w:t>at birth</w:t>
            </w:r>
            <w:r>
              <w:t xml:space="preserve">) </w:t>
            </w:r>
          </w:p>
          <w:p w14:paraId="6F067256" w14:textId="65C05239" w:rsidR="004966BF" w:rsidRPr="004C23F4" w:rsidRDefault="000A6C06" w:rsidP="00837709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Endocrine system effects noted for PFOA in human epidemiological findings</w:t>
            </w:r>
            <w:r w:rsidR="00713FCE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68BE7047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arcinogenicity – non-threshold based genotoxic carcinogens"/>
        <w:tblDescription w:val="Is the chemical mutagenic? No, therefore the chemical is not a non-threshold based genotoxic carcinogen."/>
      </w:tblPr>
      <w:tblGrid>
        <w:gridCol w:w="6603"/>
        <w:gridCol w:w="2423"/>
      </w:tblGrid>
      <w:tr w:rsidR="00C16087" w14:paraId="0F601DED" w14:textId="77777777" w:rsidTr="00C16087">
        <w:trPr>
          <w:trHeight w:val="454"/>
          <w:tblHeader/>
        </w:trPr>
        <w:tc>
          <w:tcPr>
            <w:tcW w:w="6603" w:type="dxa"/>
            <w:vAlign w:val="center"/>
          </w:tcPr>
          <w:p w14:paraId="6CE63EDD" w14:textId="77777777" w:rsidR="00C16087" w:rsidRDefault="00C16087" w:rsidP="00C33562">
            <w:pPr>
              <w:pStyle w:val="Tablefont"/>
              <w:keepNext/>
              <w:keepLines/>
              <w:spacing w:before="40" w:after="40"/>
            </w:pPr>
            <w:bookmarkStart w:id="1" w:name="_GoBack" w:colFirst="0" w:colLast="2"/>
            <w:r>
              <w:t>Is the chemical mutagenic?</w:t>
            </w:r>
          </w:p>
        </w:tc>
        <w:sdt>
          <w:sdtPr>
            <w:id w:val="319705052"/>
            <w:placeholder>
              <w:docPart w:val="1D1A21B8EB8F4C49AFCE3B709BCAE649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580693C7" w14:textId="77777777" w:rsidR="00C16087" w:rsidRDefault="00C16087" w:rsidP="00C33562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C16087" w14:paraId="69F34889" w14:textId="77777777" w:rsidTr="00C16087">
        <w:trPr>
          <w:trHeight w:val="454"/>
        </w:trPr>
        <w:sdt>
          <w:sdtPr>
            <w:rPr>
              <w:b/>
            </w:rPr>
            <w:id w:val="1830936485"/>
            <w:placeholder>
              <w:docPart w:val="A5BA9938E88846EBB5AEE302B63A64B1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7568BE66" w14:textId="77777777" w:rsidR="00C16087" w:rsidRPr="006901A2" w:rsidRDefault="00C16087" w:rsidP="00C33562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4E5D3CD3" w14:textId="77777777" w:rsidR="00C16087" w:rsidRDefault="00C16087" w:rsidP="00C33562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532A076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052B59A5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242AFE6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362ED04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5EEC811" w14:textId="77777777" w:rsidTr="00812887">
        <w:trPr>
          <w:cantSplit/>
        </w:trPr>
        <w:tc>
          <w:tcPr>
            <w:tcW w:w="3227" w:type="dxa"/>
          </w:tcPr>
          <w:p w14:paraId="6B1AC257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7C9E74AB" w14:textId="77777777" w:rsidR="00687890" w:rsidRPr="00DD2F9B" w:rsidRDefault="00CE6A52" w:rsidP="00DD2F9B">
            <w:pPr>
              <w:pStyle w:val="Tablefont"/>
            </w:pPr>
            <w:r w:rsidRPr="00CE6A52">
              <w:t>Carc. 2</w:t>
            </w:r>
          </w:p>
        </w:tc>
      </w:tr>
      <w:tr w:rsidR="007925F0" w:rsidRPr="004C23F4" w14:paraId="24CEFD41" w14:textId="77777777" w:rsidTr="00812887">
        <w:trPr>
          <w:cantSplit/>
        </w:trPr>
        <w:tc>
          <w:tcPr>
            <w:tcW w:w="3227" w:type="dxa"/>
          </w:tcPr>
          <w:p w14:paraId="147E2F7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47EE8772" w14:textId="77777777" w:rsidR="007925F0" w:rsidRPr="00DD2F9B" w:rsidRDefault="00633383" w:rsidP="00DD2F9B">
            <w:pPr>
              <w:pStyle w:val="Tablefont"/>
            </w:pPr>
            <w:r>
              <w:t>Carcinogenicity – category 2</w:t>
            </w:r>
          </w:p>
        </w:tc>
      </w:tr>
      <w:tr w:rsidR="00AF483F" w:rsidRPr="004C23F4" w14:paraId="153A6EFC" w14:textId="77777777" w:rsidTr="00812887">
        <w:trPr>
          <w:cantSplit/>
        </w:trPr>
        <w:tc>
          <w:tcPr>
            <w:tcW w:w="3227" w:type="dxa"/>
          </w:tcPr>
          <w:p w14:paraId="33D65C1D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1989289" w14:textId="2FE08C45" w:rsidR="00AF483F" w:rsidRPr="00DD2F9B" w:rsidRDefault="00C63AB2" w:rsidP="00DD2F9B">
            <w:pPr>
              <w:pStyle w:val="Tablefont"/>
            </w:pPr>
            <w:r>
              <w:t>—</w:t>
            </w:r>
          </w:p>
        </w:tc>
      </w:tr>
      <w:tr w:rsidR="00687890" w:rsidRPr="004C23F4" w14:paraId="7A614EEB" w14:textId="77777777" w:rsidTr="00812887">
        <w:trPr>
          <w:cantSplit/>
        </w:trPr>
        <w:tc>
          <w:tcPr>
            <w:tcW w:w="3227" w:type="dxa"/>
          </w:tcPr>
          <w:p w14:paraId="7DC06B85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9E9D370" w14:textId="4999D158" w:rsidR="00687890" w:rsidRPr="00911634" w:rsidRDefault="00C63AB2" w:rsidP="00DD2F9B">
            <w:pPr>
              <w:pStyle w:val="Tablefont"/>
            </w:pPr>
            <w:r>
              <w:t>Carcinogenicity – category 2</w:t>
            </w:r>
          </w:p>
        </w:tc>
      </w:tr>
      <w:tr w:rsidR="00E41A26" w:rsidRPr="004C23F4" w14:paraId="17467195" w14:textId="77777777" w:rsidTr="00812887">
        <w:trPr>
          <w:cantSplit/>
        </w:trPr>
        <w:tc>
          <w:tcPr>
            <w:tcW w:w="3227" w:type="dxa"/>
          </w:tcPr>
          <w:p w14:paraId="021D8868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4206BB26" w14:textId="0CE89A16" w:rsidR="00E41A26" w:rsidRPr="00911634" w:rsidRDefault="00C63AB2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5BBC9CB8" w14:textId="77777777" w:rsidTr="00812887">
        <w:trPr>
          <w:cantSplit/>
        </w:trPr>
        <w:tc>
          <w:tcPr>
            <w:tcW w:w="3227" w:type="dxa"/>
          </w:tcPr>
          <w:p w14:paraId="0480244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2FC14F4" w14:textId="3EA778AB" w:rsidR="002E0D61" w:rsidRPr="00DD2F9B" w:rsidRDefault="00A108FB" w:rsidP="00DD2F9B">
            <w:pPr>
              <w:pStyle w:val="Tablefont"/>
            </w:pPr>
            <w:r>
              <w:t>Carcinogen</w:t>
            </w:r>
            <w:r w:rsidR="00C63AB2">
              <w:t>icity – A3;</w:t>
            </w:r>
            <w:r w:rsidR="00EC4A3A">
              <w:t xml:space="preserve"> Skin</w:t>
            </w:r>
          </w:p>
        </w:tc>
      </w:tr>
      <w:tr w:rsidR="002E0D61" w:rsidRPr="004C23F4" w14:paraId="0EE77BF3" w14:textId="77777777" w:rsidTr="00812887">
        <w:trPr>
          <w:cantSplit/>
        </w:trPr>
        <w:tc>
          <w:tcPr>
            <w:tcW w:w="3227" w:type="dxa"/>
          </w:tcPr>
          <w:p w14:paraId="6DD53501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275F525D" w14:textId="756B5F3D" w:rsidR="002E0D61" w:rsidRPr="00DD2F9B" w:rsidRDefault="002B3AFC" w:rsidP="00DD2F9B">
            <w:pPr>
              <w:pStyle w:val="Tablefont"/>
            </w:pPr>
            <w:r w:rsidRPr="002B3AFC">
              <w:t>Carcinogen</w:t>
            </w:r>
            <w:r w:rsidR="00C16087">
              <w:t>icity – 4</w:t>
            </w:r>
            <w:r w:rsidR="00C63AB2">
              <w:t>;</w:t>
            </w:r>
            <w:r w:rsidR="00C927AC">
              <w:t xml:space="preserve"> H (skin)</w:t>
            </w:r>
            <w:r w:rsidR="00C16087">
              <w:t xml:space="preserve"> </w:t>
            </w:r>
          </w:p>
        </w:tc>
      </w:tr>
      <w:tr w:rsidR="002E0D61" w:rsidRPr="004C23F4" w14:paraId="26B51DA7" w14:textId="77777777" w:rsidTr="00812887">
        <w:trPr>
          <w:cantSplit/>
        </w:trPr>
        <w:tc>
          <w:tcPr>
            <w:tcW w:w="3227" w:type="dxa"/>
          </w:tcPr>
          <w:p w14:paraId="618ADBA9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719E00D" w14:textId="77777777" w:rsidR="002E0D61" w:rsidRPr="00DD2F9B" w:rsidRDefault="00A108F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CE54211" w14:textId="77777777" w:rsidTr="00812887">
        <w:trPr>
          <w:cantSplit/>
        </w:trPr>
        <w:tc>
          <w:tcPr>
            <w:tcW w:w="3227" w:type="dxa"/>
          </w:tcPr>
          <w:p w14:paraId="0D3F5BB9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52AE89B2" w14:textId="77777777" w:rsidR="002E0D61" w:rsidRPr="00DD2F9B" w:rsidRDefault="00A108FB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1680392" w14:textId="77777777" w:rsidTr="00812887">
        <w:trPr>
          <w:cantSplit/>
        </w:trPr>
        <w:tc>
          <w:tcPr>
            <w:tcW w:w="3227" w:type="dxa"/>
          </w:tcPr>
          <w:p w14:paraId="522435D4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231F3EF" w14:textId="71166B77" w:rsidR="00386093" w:rsidRPr="00911634" w:rsidRDefault="00C63AB2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2D5EA462" w14:textId="77777777" w:rsidTr="00812887">
        <w:trPr>
          <w:cantSplit/>
        </w:trPr>
        <w:tc>
          <w:tcPr>
            <w:tcW w:w="3227" w:type="dxa"/>
          </w:tcPr>
          <w:p w14:paraId="6E5DD985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216EA939" w14:textId="3A99B76E" w:rsidR="00386093" w:rsidRPr="00911634" w:rsidRDefault="00C63AB2" w:rsidP="00D87570">
            <w:pPr>
              <w:pStyle w:val="Tablefont"/>
              <w:keepNext/>
            </w:pPr>
            <w:r>
              <w:t>—</w:t>
            </w:r>
          </w:p>
        </w:tc>
      </w:tr>
    </w:tbl>
    <w:bookmarkEnd w:id="2"/>
    <w:p w14:paraId="22D511A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313FE06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DACE6F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10526C4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CD5228D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587"/>
              <w:gridCol w:w="1056"/>
              <w:gridCol w:w="1055"/>
              <w:gridCol w:w="1556"/>
              <w:gridCol w:w="1556"/>
            </w:tblGrid>
            <w:tr w:rsidR="00377348" w:rsidRPr="000B1385" w14:paraId="3D776636" w14:textId="77777777" w:rsidTr="00B85463">
              <w:trPr>
                <w:trHeight w:val="353"/>
              </w:trPr>
              <w:tc>
                <w:tcPr>
                  <w:tcW w:w="203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25BA05" w14:textId="77777777" w:rsidR="00377348" w:rsidRPr="000B1385" w:rsidRDefault="00377348" w:rsidP="0037734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5E2A4E" w14:textId="77777777" w:rsidR="00377348" w:rsidRPr="000B1385" w:rsidRDefault="00377348" w:rsidP="0037734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89E009" w14:textId="77777777" w:rsidR="00377348" w:rsidRPr="000B1385" w:rsidRDefault="00377348" w:rsidP="0037734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B138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6469C0" w14:textId="77777777" w:rsidR="00377348" w:rsidRPr="000B1385" w:rsidRDefault="00377348" w:rsidP="0037734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39B23C" w14:textId="77777777" w:rsidR="00377348" w:rsidRPr="000B1385" w:rsidRDefault="00377348" w:rsidP="0037734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77348" w:rsidRPr="000B1385" w14:paraId="0BD768A3" w14:textId="77777777" w:rsidTr="00B85463">
              <w:trPr>
                <w:trHeight w:val="353"/>
              </w:trPr>
              <w:tc>
                <w:tcPr>
                  <w:tcW w:w="203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990B39" w14:textId="77777777" w:rsidR="00377348" w:rsidRPr="000B1385" w:rsidRDefault="00377348" w:rsidP="0037734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0B1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0B1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5048E0" w14:textId="77777777" w:rsidR="00377348" w:rsidRPr="000B1385" w:rsidRDefault="00377348" w:rsidP="0037734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087193" w14:textId="77777777" w:rsidR="00377348" w:rsidRPr="000B1385" w:rsidRDefault="00377348" w:rsidP="0037734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B138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F9D0B8" w14:textId="77777777" w:rsidR="00377348" w:rsidRPr="000B1385" w:rsidRDefault="00377348" w:rsidP="0037734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C90527" w14:textId="77777777" w:rsidR="00377348" w:rsidRPr="000B1385" w:rsidRDefault="00377348" w:rsidP="0037734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77348" w:rsidRPr="000B1385" w14:paraId="59D51D04" w14:textId="77777777" w:rsidTr="00B85463">
              <w:trPr>
                <w:trHeight w:val="353"/>
              </w:trPr>
              <w:tc>
                <w:tcPr>
                  <w:tcW w:w="203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D5E2EB" w14:textId="77777777" w:rsidR="00377348" w:rsidRPr="000B1385" w:rsidRDefault="00377348" w:rsidP="0037734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656F49EE" w14:textId="77777777" w:rsidR="00377348" w:rsidRPr="000B1385" w:rsidRDefault="00377348" w:rsidP="0037734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0B1385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741343" w14:textId="77777777" w:rsidR="00377348" w:rsidRPr="000B1385" w:rsidRDefault="00377348" w:rsidP="0037734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B138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8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13EF71" w14:textId="77777777" w:rsidR="00377348" w:rsidRPr="000B1385" w:rsidRDefault="00377348" w:rsidP="0037734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D5B6DE" w14:textId="77777777" w:rsidR="00377348" w:rsidRPr="000B1385" w:rsidRDefault="00377348" w:rsidP="0037734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77348" w:rsidRPr="000B1385" w14:paraId="4DB41F73" w14:textId="77777777" w:rsidTr="00B85463">
              <w:trPr>
                <w:trHeight w:val="353"/>
              </w:trPr>
              <w:tc>
                <w:tcPr>
                  <w:tcW w:w="203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C70F66" w14:textId="77777777" w:rsidR="00377348" w:rsidRPr="000B1385" w:rsidRDefault="00377348" w:rsidP="0037734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0B1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0B1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0B1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0B1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A699F0" w14:textId="77777777" w:rsidR="00377348" w:rsidRPr="000B1385" w:rsidRDefault="00377348" w:rsidP="0037734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6C7CE0" w14:textId="77777777" w:rsidR="00377348" w:rsidRPr="000B1385" w:rsidRDefault="00377348" w:rsidP="0037734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B138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FFA4C5" w14:textId="77777777" w:rsidR="00377348" w:rsidRPr="000B1385" w:rsidRDefault="00377348" w:rsidP="0037734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60FC19" w14:textId="77777777" w:rsidR="00377348" w:rsidRPr="000B1385" w:rsidRDefault="00377348" w:rsidP="0037734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77348" w:rsidRPr="000B1385" w14:paraId="461B9804" w14:textId="77777777" w:rsidTr="00B85463">
              <w:trPr>
                <w:trHeight w:val="353"/>
              </w:trPr>
              <w:tc>
                <w:tcPr>
                  <w:tcW w:w="203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276CDA" w14:textId="77777777" w:rsidR="00377348" w:rsidRPr="000B1385" w:rsidRDefault="00377348" w:rsidP="0037734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385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0B1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879428" w14:textId="77777777" w:rsidR="00377348" w:rsidRPr="000B1385" w:rsidRDefault="00377348" w:rsidP="0037734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4B7569" w14:textId="77777777" w:rsidR="00377348" w:rsidRPr="000B1385" w:rsidRDefault="00377348" w:rsidP="0037734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B138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E3FD6F" w14:textId="77777777" w:rsidR="00377348" w:rsidRPr="000B1385" w:rsidRDefault="00377348" w:rsidP="0037734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7E5F51" w14:textId="77777777" w:rsidR="00377348" w:rsidRPr="000B1385" w:rsidRDefault="00377348" w:rsidP="0037734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77348" w:rsidRPr="000B1385" w14:paraId="18BFBFDA" w14:textId="77777777" w:rsidTr="00B85463">
              <w:trPr>
                <w:trHeight w:val="353"/>
              </w:trPr>
              <w:tc>
                <w:tcPr>
                  <w:tcW w:w="203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A3B961" w14:textId="77777777" w:rsidR="00377348" w:rsidRPr="000B1385" w:rsidRDefault="00377348" w:rsidP="0037734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0B959B" w14:textId="77777777" w:rsidR="00377348" w:rsidRPr="000B1385" w:rsidRDefault="00377348" w:rsidP="0037734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772D35" w14:textId="77777777" w:rsidR="00377348" w:rsidRPr="000B1385" w:rsidRDefault="00377348" w:rsidP="0037734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B138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0E1230" w14:textId="77777777" w:rsidR="00377348" w:rsidRPr="000B1385" w:rsidRDefault="00377348" w:rsidP="0037734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DC7D4E" w14:textId="77777777" w:rsidR="00377348" w:rsidRPr="000B1385" w:rsidRDefault="00377348" w:rsidP="0037734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77348" w:rsidRPr="000B1385" w14:paraId="399A1AE7" w14:textId="77777777" w:rsidTr="00B85463">
              <w:trPr>
                <w:trHeight w:val="353"/>
              </w:trPr>
              <w:tc>
                <w:tcPr>
                  <w:tcW w:w="203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2FCF9C" w14:textId="77777777" w:rsidR="00377348" w:rsidRPr="000B1385" w:rsidRDefault="00377348" w:rsidP="0037734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3C5D1A" w14:textId="77777777" w:rsidR="00377348" w:rsidRPr="000B1385" w:rsidRDefault="00377348" w:rsidP="0037734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CC8895" w14:textId="77777777" w:rsidR="00377348" w:rsidRPr="000B1385" w:rsidRDefault="00377348" w:rsidP="0037734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B138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1766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A0A9AE" w14:textId="77777777" w:rsidR="00377348" w:rsidRPr="000B1385" w:rsidRDefault="00377348" w:rsidP="00377348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385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6806ED94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479B689E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4FA829D6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00956B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71511BE6" w14:textId="77777777" w:rsidR="00EB3D1B" w:rsidRDefault="000A6C06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0159C426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4B35C07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BC68B44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3AD9A904" w14:textId="77777777" w:rsidR="001B79E5" w:rsidRDefault="00911634" w:rsidP="001B79E5">
                <w:pPr>
                  <w:pStyle w:val="Tablefont"/>
                </w:pPr>
                <w:r>
                  <w:t xml:space="preserve">431.10 </w:t>
                </w:r>
              </w:p>
            </w:tc>
          </w:sdtContent>
        </w:sdt>
      </w:tr>
      <w:tr w:rsidR="00A31D99" w:rsidRPr="004C23F4" w14:paraId="103A6C9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825700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7F483587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5F8F3A3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C6489BD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804E9EF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C12FFEF" w14:textId="77777777" w:rsidTr="00EA6243">
        <w:trPr>
          <w:cantSplit/>
        </w:trPr>
        <w:tc>
          <w:tcPr>
            <w:tcW w:w="4077" w:type="dxa"/>
            <w:vAlign w:val="center"/>
          </w:tcPr>
          <w:p w14:paraId="14B9E36B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A564E9F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BAF43AC" w14:textId="77777777" w:rsidTr="00EA6243">
        <w:trPr>
          <w:cantSplit/>
        </w:trPr>
        <w:tc>
          <w:tcPr>
            <w:tcW w:w="4077" w:type="dxa"/>
            <w:vAlign w:val="center"/>
          </w:tcPr>
          <w:p w14:paraId="1FF122F5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0D6CE26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65C86ED" w14:textId="77777777" w:rsidTr="00EA6243">
        <w:trPr>
          <w:cantSplit/>
        </w:trPr>
        <w:tc>
          <w:tcPr>
            <w:tcW w:w="4077" w:type="dxa"/>
            <w:vAlign w:val="center"/>
          </w:tcPr>
          <w:p w14:paraId="1DC3FC59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2B49FA1" w14:textId="77777777" w:rsidR="00E06F40" w:rsidRPr="00A006A0" w:rsidRDefault="00B278F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06B12F16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905E2D2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6680235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F299354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70267766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1DB5BF1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37631B98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0EBF7473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1E324EF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20CD7C3" w14:textId="59F0B3DE" w:rsidR="009A4276" w:rsidRDefault="009A4276" w:rsidP="009A4276">
      <w:r w:rsidRPr="002022B6">
        <w:t>Deutsche Forschungsgemeinschaft (DFG)</w:t>
      </w:r>
      <w:r w:rsidR="00AD3056">
        <w:t xml:space="preserve"> (2011</w:t>
      </w:r>
      <w:r>
        <w:t>) Perfluorooctanoic Acid and its Inorganic Salts– MAK value documentation.</w:t>
      </w:r>
    </w:p>
    <w:p w14:paraId="21BE461C" w14:textId="427E81AD" w:rsidR="009A4276" w:rsidRDefault="009A4276" w:rsidP="009A4276">
      <w:r w:rsidRPr="002022B6">
        <w:t>National Industrial Chemicals Notification and Assessment Scheme (NICNAS)</w:t>
      </w:r>
      <w:r>
        <w:t xml:space="preserve"> (2015)</w:t>
      </w:r>
      <w:r w:rsidRPr="009A4276">
        <w:t xml:space="preserve"> Perfluorooctanoic Acid (PFOA) and its Direct Precursors: Human health tier II assessment</w:t>
      </w:r>
      <w:r>
        <w:t xml:space="preserve"> – IMAP report.</w:t>
      </w:r>
    </w:p>
    <w:p w14:paraId="349AC0A0" w14:textId="44E8C10A" w:rsidR="00C63AB2" w:rsidRPr="00351FE0" w:rsidRDefault="00C63AB2" w:rsidP="009A4276">
      <w:r>
        <w:rPr>
          <w:color w:val="000000"/>
        </w:rPr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sectPr w:rsidR="00C63AB2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302911" w14:textId="77777777" w:rsidR="00336013" w:rsidRDefault="00336013" w:rsidP="00F43AD5">
      <w:pPr>
        <w:spacing w:after="0" w:line="240" w:lineRule="auto"/>
      </w:pPr>
      <w:r>
        <w:separator/>
      </w:r>
    </w:p>
  </w:endnote>
  <w:endnote w:type="continuationSeparator" w:id="0">
    <w:p w14:paraId="566FEB40" w14:textId="77777777" w:rsidR="00336013" w:rsidRDefault="00336013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0EBEF98" w14:textId="77777777" w:rsidR="008A36CF" w:rsidRDefault="00363A55" w:rsidP="0034744C">
        <w:pPr>
          <w:pStyle w:val="Footer"/>
          <w:rPr>
            <w:sz w:val="18"/>
            <w:szCs w:val="18"/>
          </w:rPr>
        </w:pPr>
        <w:r w:rsidRPr="00363A55">
          <w:rPr>
            <w:b/>
            <w:sz w:val="18"/>
            <w:szCs w:val="18"/>
          </w:rPr>
          <w:t>Ammonium perfluorooctanoate</w:t>
        </w:r>
        <w:r w:rsidR="008A36CF">
          <w:rPr>
            <w:b/>
            <w:sz w:val="18"/>
            <w:szCs w:val="18"/>
          </w:rPr>
          <w:t xml:space="preserve"> (</w:t>
        </w:r>
        <w:r w:rsidRPr="00363A55">
          <w:rPr>
            <w:b/>
            <w:sz w:val="18"/>
            <w:szCs w:val="18"/>
          </w:rPr>
          <w:t>3825-26-1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76533A6F" w14:textId="7F7793FF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B278F0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27DF3E" w14:textId="77777777" w:rsidR="00336013" w:rsidRDefault="00336013" w:rsidP="00F43AD5">
      <w:pPr>
        <w:spacing w:after="0" w:line="240" w:lineRule="auto"/>
      </w:pPr>
      <w:r>
        <w:separator/>
      </w:r>
    </w:p>
  </w:footnote>
  <w:footnote w:type="continuationSeparator" w:id="0">
    <w:p w14:paraId="107EA7E5" w14:textId="77777777" w:rsidR="00336013" w:rsidRDefault="00336013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F9FF62" w14:textId="77777777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555A4907" wp14:editId="03B0773A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6B558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942231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B1F3555"/>
    <w:multiLevelType w:val="hybridMultilevel"/>
    <w:tmpl w:val="928A38D2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1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AppendixName" w:val="Appendix"/>
  </w:docVars>
  <w:rsids>
    <w:rsidRoot w:val="00610F2E"/>
    <w:rsid w:val="00000109"/>
    <w:rsid w:val="00001D4C"/>
    <w:rsid w:val="00007B80"/>
    <w:rsid w:val="00010A1D"/>
    <w:rsid w:val="00013A22"/>
    <w:rsid w:val="00014C3F"/>
    <w:rsid w:val="00017C82"/>
    <w:rsid w:val="000275F9"/>
    <w:rsid w:val="00032B88"/>
    <w:rsid w:val="00046DF5"/>
    <w:rsid w:val="00050BAB"/>
    <w:rsid w:val="00052060"/>
    <w:rsid w:val="00053049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A1B16"/>
    <w:rsid w:val="000A6C06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0F4AE6"/>
    <w:rsid w:val="000F7343"/>
    <w:rsid w:val="00102F20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61B29"/>
    <w:rsid w:val="00177CA1"/>
    <w:rsid w:val="00183823"/>
    <w:rsid w:val="00183942"/>
    <w:rsid w:val="001A009E"/>
    <w:rsid w:val="001A1287"/>
    <w:rsid w:val="001A3859"/>
    <w:rsid w:val="001A3C9D"/>
    <w:rsid w:val="001A43F8"/>
    <w:rsid w:val="001B44C0"/>
    <w:rsid w:val="001B79E5"/>
    <w:rsid w:val="001D56F0"/>
    <w:rsid w:val="001D663B"/>
    <w:rsid w:val="001D7B41"/>
    <w:rsid w:val="001E2974"/>
    <w:rsid w:val="001E46DA"/>
    <w:rsid w:val="001E7D80"/>
    <w:rsid w:val="001F4B6C"/>
    <w:rsid w:val="001F62CB"/>
    <w:rsid w:val="001F666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587E"/>
    <w:rsid w:val="00276494"/>
    <w:rsid w:val="00277B0C"/>
    <w:rsid w:val="002B1A2C"/>
    <w:rsid w:val="002B3AF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25507"/>
    <w:rsid w:val="003337DA"/>
    <w:rsid w:val="00334EFB"/>
    <w:rsid w:val="00335CDE"/>
    <w:rsid w:val="00336013"/>
    <w:rsid w:val="003365A5"/>
    <w:rsid w:val="00347192"/>
    <w:rsid w:val="0034744C"/>
    <w:rsid w:val="00351FE0"/>
    <w:rsid w:val="00352615"/>
    <w:rsid w:val="0035412B"/>
    <w:rsid w:val="003567A8"/>
    <w:rsid w:val="003610CD"/>
    <w:rsid w:val="00362895"/>
    <w:rsid w:val="00363A55"/>
    <w:rsid w:val="00370DBF"/>
    <w:rsid w:val="003730B8"/>
    <w:rsid w:val="00377348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C6566"/>
    <w:rsid w:val="003D4382"/>
    <w:rsid w:val="003D4FA3"/>
    <w:rsid w:val="003E0807"/>
    <w:rsid w:val="003E1661"/>
    <w:rsid w:val="003E42A9"/>
    <w:rsid w:val="003E51FB"/>
    <w:rsid w:val="003E6B39"/>
    <w:rsid w:val="003F07E1"/>
    <w:rsid w:val="003F694D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668D"/>
    <w:rsid w:val="004C1E3F"/>
    <w:rsid w:val="004C23F4"/>
    <w:rsid w:val="004C3475"/>
    <w:rsid w:val="004C58B6"/>
    <w:rsid w:val="004D16A3"/>
    <w:rsid w:val="004D4AA1"/>
    <w:rsid w:val="004D6D68"/>
    <w:rsid w:val="004E5EDD"/>
    <w:rsid w:val="004F320E"/>
    <w:rsid w:val="004F448A"/>
    <w:rsid w:val="004F493D"/>
    <w:rsid w:val="004F5D91"/>
    <w:rsid w:val="004F65E8"/>
    <w:rsid w:val="0050005E"/>
    <w:rsid w:val="00502B88"/>
    <w:rsid w:val="005142C4"/>
    <w:rsid w:val="0051509C"/>
    <w:rsid w:val="00516881"/>
    <w:rsid w:val="005272E2"/>
    <w:rsid w:val="0053108F"/>
    <w:rsid w:val="00532B56"/>
    <w:rsid w:val="00534B10"/>
    <w:rsid w:val="00542216"/>
    <w:rsid w:val="005446A2"/>
    <w:rsid w:val="00544D2F"/>
    <w:rsid w:val="00551BD8"/>
    <w:rsid w:val="005549B7"/>
    <w:rsid w:val="00564A22"/>
    <w:rsid w:val="00581055"/>
    <w:rsid w:val="00586707"/>
    <w:rsid w:val="00591E38"/>
    <w:rsid w:val="005A19C5"/>
    <w:rsid w:val="005A3034"/>
    <w:rsid w:val="005A462D"/>
    <w:rsid w:val="005A67E7"/>
    <w:rsid w:val="005B253B"/>
    <w:rsid w:val="005B771D"/>
    <w:rsid w:val="005C5D16"/>
    <w:rsid w:val="005D3193"/>
    <w:rsid w:val="005D4A6E"/>
    <w:rsid w:val="005E6979"/>
    <w:rsid w:val="005E75CB"/>
    <w:rsid w:val="005F2C35"/>
    <w:rsid w:val="006013C1"/>
    <w:rsid w:val="0060669E"/>
    <w:rsid w:val="00610F2E"/>
    <w:rsid w:val="00611399"/>
    <w:rsid w:val="00617C64"/>
    <w:rsid w:val="00624C4E"/>
    <w:rsid w:val="00625200"/>
    <w:rsid w:val="00633383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2DE4"/>
    <w:rsid w:val="006B4E6C"/>
    <w:rsid w:val="006B50B6"/>
    <w:rsid w:val="006C7B3C"/>
    <w:rsid w:val="006D79EA"/>
    <w:rsid w:val="006E5D05"/>
    <w:rsid w:val="006F1149"/>
    <w:rsid w:val="00701053"/>
    <w:rsid w:val="00701507"/>
    <w:rsid w:val="00713FCE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2BD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E7D1E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37709"/>
    <w:rsid w:val="008414E4"/>
    <w:rsid w:val="00843E21"/>
    <w:rsid w:val="0084508E"/>
    <w:rsid w:val="00845167"/>
    <w:rsid w:val="00857A8A"/>
    <w:rsid w:val="008630EE"/>
    <w:rsid w:val="00864D13"/>
    <w:rsid w:val="00871CD5"/>
    <w:rsid w:val="008745A2"/>
    <w:rsid w:val="008768A8"/>
    <w:rsid w:val="0088457D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0E95"/>
    <w:rsid w:val="008F5DCD"/>
    <w:rsid w:val="00900951"/>
    <w:rsid w:val="00911248"/>
    <w:rsid w:val="00911634"/>
    <w:rsid w:val="009118A6"/>
    <w:rsid w:val="00916909"/>
    <w:rsid w:val="00916EC0"/>
    <w:rsid w:val="00917A4C"/>
    <w:rsid w:val="00920467"/>
    <w:rsid w:val="00921DE7"/>
    <w:rsid w:val="009226EF"/>
    <w:rsid w:val="00926100"/>
    <w:rsid w:val="00926AC3"/>
    <w:rsid w:val="0093041A"/>
    <w:rsid w:val="00930714"/>
    <w:rsid w:val="00931B03"/>
    <w:rsid w:val="009323B9"/>
    <w:rsid w:val="00932DCE"/>
    <w:rsid w:val="0093327E"/>
    <w:rsid w:val="00934028"/>
    <w:rsid w:val="0093760E"/>
    <w:rsid w:val="00943947"/>
    <w:rsid w:val="00946044"/>
    <w:rsid w:val="0094660B"/>
    <w:rsid w:val="00946A33"/>
    <w:rsid w:val="0095260E"/>
    <w:rsid w:val="009578DD"/>
    <w:rsid w:val="00961124"/>
    <w:rsid w:val="009621B6"/>
    <w:rsid w:val="00972B70"/>
    <w:rsid w:val="00974F2D"/>
    <w:rsid w:val="00977524"/>
    <w:rsid w:val="00977E88"/>
    <w:rsid w:val="0098110E"/>
    <w:rsid w:val="00984920"/>
    <w:rsid w:val="0099303A"/>
    <w:rsid w:val="009957E7"/>
    <w:rsid w:val="009964D4"/>
    <w:rsid w:val="009971C2"/>
    <w:rsid w:val="009A1254"/>
    <w:rsid w:val="009A4276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D7BB9"/>
    <w:rsid w:val="009E0C05"/>
    <w:rsid w:val="009E0D1C"/>
    <w:rsid w:val="009E2214"/>
    <w:rsid w:val="009E269A"/>
    <w:rsid w:val="009E355A"/>
    <w:rsid w:val="009E63E2"/>
    <w:rsid w:val="009F05CF"/>
    <w:rsid w:val="009F0F3A"/>
    <w:rsid w:val="00A01D0C"/>
    <w:rsid w:val="00A04085"/>
    <w:rsid w:val="00A0643F"/>
    <w:rsid w:val="00A067EE"/>
    <w:rsid w:val="00A108FB"/>
    <w:rsid w:val="00A10FCE"/>
    <w:rsid w:val="00A16D91"/>
    <w:rsid w:val="00A174CC"/>
    <w:rsid w:val="00A2073D"/>
    <w:rsid w:val="00A20751"/>
    <w:rsid w:val="00A23E4A"/>
    <w:rsid w:val="00A24BA7"/>
    <w:rsid w:val="00A27E2D"/>
    <w:rsid w:val="00A31D99"/>
    <w:rsid w:val="00A357BA"/>
    <w:rsid w:val="00A35ADC"/>
    <w:rsid w:val="00A402A3"/>
    <w:rsid w:val="00A51C83"/>
    <w:rsid w:val="00A53681"/>
    <w:rsid w:val="00A633D4"/>
    <w:rsid w:val="00A6461A"/>
    <w:rsid w:val="00A66EC3"/>
    <w:rsid w:val="00A81570"/>
    <w:rsid w:val="00A819F2"/>
    <w:rsid w:val="00A84504"/>
    <w:rsid w:val="00A8672F"/>
    <w:rsid w:val="00A93057"/>
    <w:rsid w:val="00A968B0"/>
    <w:rsid w:val="00AA5B60"/>
    <w:rsid w:val="00AB2672"/>
    <w:rsid w:val="00AB2817"/>
    <w:rsid w:val="00AB43C4"/>
    <w:rsid w:val="00AC32E7"/>
    <w:rsid w:val="00AC3A9F"/>
    <w:rsid w:val="00AC6D2F"/>
    <w:rsid w:val="00AD3056"/>
    <w:rsid w:val="00AE2745"/>
    <w:rsid w:val="00AE2F64"/>
    <w:rsid w:val="00AF42CB"/>
    <w:rsid w:val="00AF483F"/>
    <w:rsid w:val="00AF5E07"/>
    <w:rsid w:val="00AF5F06"/>
    <w:rsid w:val="00B00A25"/>
    <w:rsid w:val="00B13A40"/>
    <w:rsid w:val="00B140EA"/>
    <w:rsid w:val="00B1422A"/>
    <w:rsid w:val="00B1765C"/>
    <w:rsid w:val="00B213C4"/>
    <w:rsid w:val="00B240D6"/>
    <w:rsid w:val="00B24D58"/>
    <w:rsid w:val="00B278F0"/>
    <w:rsid w:val="00B40C60"/>
    <w:rsid w:val="00B46152"/>
    <w:rsid w:val="00B479A9"/>
    <w:rsid w:val="00B52EDF"/>
    <w:rsid w:val="00B71188"/>
    <w:rsid w:val="00B76A41"/>
    <w:rsid w:val="00B804E0"/>
    <w:rsid w:val="00B85463"/>
    <w:rsid w:val="00B87D4C"/>
    <w:rsid w:val="00B93646"/>
    <w:rsid w:val="00BA0B38"/>
    <w:rsid w:val="00BA1DBB"/>
    <w:rsid w:val="00BA4510"/>
    <w:rsid w:val="00BA529A"/>
    <w:rsid w:val="00BB0733"/>
    <w:rsid w:val="00BB612A"/>
    <w:rsid w:val="00BD499F"/>
    <w:rsid w:val="00BD56DE"/>
    <w:rsid w:val="00BE4B85"/>
    <w:rsid w:val="00BF2406"/>
    <w:rsid w:val="00BF6935"/>
    <w:rsid w:val="00C16087"/>
    <w:rsid w:val="00C16315"/>
    <w:rsid w:val="00C3091E"/>
    <w:rsid w:val="00C40FF1"/>
    <w:rsid w:val="00C419E2"/>
    <w:rsid w:val="00C42A28"/>
    <w:rsid w:val="00C5020E"/>
    <w:rsid w:val="00C57452"/>
    <w:rsid w:val="00C61EDF"/>
    <w:rsid w:val="00C6239D"/>
    <w:rsid w:val="00C63AB2"/>
    <w:rsid w:val="00C650AB"/>
    <w:rsid w:val="00C6594B"/>
    <w:rsid w:val="00C67FFB"/>
    <w:rsid w:val="00C7155E"/>
    <w:rsid w:val="00C71D1E"/>
    <w:rsid w:val="00C71D7D"/>
    <w:rsid w:val="00C74833"/>
    <w:rsid w:val="00C850A0"/>
    <w:rsid w:val="00C85A86"/>
    <w:rsid w:val="00C927AC"/>
    <w:rsid w:val="00C978F0"/>
    <w:rsid w:val="00CA58FE"/>
    <w:rsid w:val="00CB1CB1"/>
    <w:rsid w:val="00CB6BC1"/>
    <w:rsid w:val="00CB6CB8"/>
    <w:rsid w:val="00CB7D6E"/>
    <w:rsid w:val="00CC1A68"/>
    <w:rsid w:val="00CC2123"/>
    <w:rsid w:val="00CD2BFD"/>
    <w:rsid w:val="00CE0103"/>
    <w:rsid w:val="00CE5AD6"/>
    <w:rsid w:val="00CE617F"/>
    <w:rsid w:val="00CE6A52"/>
    <w:rsid w:val="00CE78EF"/>
    <w:rsid w:val="00D048F7"/>
    <w:rsid w:val="00D0517E"/>
    <w:rsid w:val="00D140FC"/>
    <w:rsid w:val="00D203F2"/>
    <w:rsid w:val="00D21D8C"/>
    <w:rsid w:val="00D223A6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BAB"/>
    <w:rsid w:val="00E07CE8"/>
    <w:rsid w:val="00E26A07"/>
    <w:rsid w:val="00E32595"/>
    <w:rsid w:val="00E37CFD"/>
    <w:rsid w:val="00E41A26"/>
    <w:rsid w:val="00E43CFD"/>
    <w:rsid w:val="00E46BCB"/>
    <w:rsid w:val="00E51CAF"/>
    <w:rsid w:val="00E54BEF"/>
    <w:rsid w:val="00E562A4"/>
    <w:rsid w:val="00E56858"/>
    <w:rsid w:val="00E60F04"/>
    <w:rsid w:val="00E61961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C40C4"/>
    <w:rsid w:val="00EC4A3A"/>
    <w:rsid w:val="00ED1D89"/>
    <w:rsid w:val="00ED66BC"/>
    <w:rsid w:val="00EF233A"/>
    <w:rsid w:val="00EF303E"/>
    <w:rsid w:val="00EF3A40"/>
    <w:rsid w:val="00EF7986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0C80"/>
    <w:rsid w:val="00F56DD0"/>
    <w:rsid w:val="00F61196"/>
    <w:rsid w:val="00F6491C"/>
    <w:rsid w:val="00F67BBB"/>
    <w:rsid w:val="00F73664"/>
    <w:rsid w:val="00F816DE"/>
    <w:rsid w:val="00F87D92"/>
    <w:rsid w:val="00F90AA7"/>
    <w:rsid w:val="00F92498"/>
    <w:rsid w:val="00F9496B"/>
    <w:rsid w:val="00F970C9"/>
    <w:rsid w:val="00F97422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30274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926100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619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196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196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19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1961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5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1D1A21B8EB8F4C49AFCE3B709BCAE6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E02841-A559-47A4-A911-632A084C3DF8}"/>
      </w:docPartPr>
      <w:docPartBody>
        <w:p w:rsidR="009C5C55" w:rsidRDefault="00175E5B" w:rsidP="00175E5B">
          <w:pPr>
            <w:pStyle w:val="1D1A21B8EB8F4C49AFCE3B709BCAE649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A5BA9938E88846EBB5AEE302B63A64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43CDFD-62AB-4DFC-918F-F2CD5EBAD3B5}"/>
      </w:docPartPr>
      <w:docPartBody>
        <w:p w:rsidR="009C5C55" w:rsidRDefault="00175E5B" w:rsidP="00175E5B">
          <w:pPr>
            <w:pStyle w:val="A5BA9938E88846EBB5AEE302B63A64B1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A9F"/>
    <w:rsid w:val="00097D38"/>
    <w:rsid w:val="000B3616"/>
    <w:rsid w:val="00175E5B"/>
    <w:rsid w:val="00404E03"/>
    <w:rsid w:val="009C5C55"/>
    <w:rsid w:val="00A01BDC"/>
    <w:rsid w:val="00C17815"/>
    <w:rsid w:val="00CA0CEF"/>
    <w:rsid w:val="00D21A9F"/>
    <w:rsid w:val="00E51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5E5B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29D96B65566944F4988BAEB665EF7897">
    <w:name w:val="29D96B65566944F4988BAEB665EF7897"/>
  </w:style>
  <w:style w:type="paragraph" w:customStyle="1" w:styleId="C2B44F29000D47BD8588D2D5E8DFA6C8">
    <w:name w:val="C2B44F29000D47BD8588D2D5E8DFA6C8"/>
  </w:style>
  <w:style w:type="paragraph" w:customStyle="1" w:styleId="CC96E8CFB35445F7B98574D62F848316">
    <w:name w:val="CC96E8CFB35445F7B98574D62F848316"/>
  </w:style>
  <w:style w:type="paragraph" w:customStyle="1" w:styleId="20BC8D26515A4C11AC6304FB75A7CBAD">
    <w:name w:val="20BC8D26515A4C11AC6304FB75A7CBAD"/>
  </w:style>
  <w:style w:type="paragraph" w:customStyle="1" w:styleId="0599BE4318CD4CC0836196E577CC2921">
    <w:name w:val="0599BE4318CD4CC0836196E577CC2921"/>
  </w:style>
  <w:style w:type="paragraph" w:customStyle="1" w:styleId="CA68404C5F6B4780904F09DAAE62489A">
    <w:name w:val="CA68404C5F6B4780904F09DAAE62489A"/>
  </w:style>
  <w:style w:type="paragraph" w:customStyle="1" w:styleId="CFFDE270CB50461B826B0194984892C5">
    <w:name w:val="CFFDE270CB50461B826B0194984892C5"/>
  </w:style>
  <w:style w:type="paragraph" w:customStyle="1" w:styleId="EA32968BF93744FAABC5FC124DBE04BD">
    <w:name w:val="EA32968BF93744FAABC5FC124DBE04BD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7B0BAA2441D5427984E6018FB38900E7">
    <w:name w:val="7B0BAA2441D5427984E6018FB38900E7"/>
  </w:style>
  <w:style w:type="paragraph" w:customStyle="1" w:styleId="5C1D38B030D146B59436754F8399D502">
    <w:name w:val="5C1D38B030D146B59436754F8399D502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9AB59FDCFA294C9EBBE8A130F1E86156">
    <w:name w:val="9AB59FDCFA294C9EBBE8A130F1E86156"/>
    <w:rsid w:val="00CA0CEF"/>
  </w:style>
  <w:style w:type="paragraph" w:customStyle="1" w:styleId="1901012638B044B485CE90099B6F1FE4">
    <w:name w:val="1901012638B044B485CE90099B6F1FE4"/>
    <w:rsid w:val="00CA0CEF"/>
  </w:style>
  <w:style w:type="paragraph" w:customStyle="1" w:styleId="4D2DB1575EF04B83A3639F0B7DBC853E">
    <w:name w:val="4D2DB1575EF04B83A3639F0B7DBC853E"/>
    <w:rsid w:val="00CA0CEF"/>
  </w:style>
  <w:style w:type="paragraph" w:customStyle="1" w:styleId="992593A3E756499EB451DC0E4B239203">
    <w:name w:val="992593A3E756499EB451DC0E4B239203"/>
    <w:rsid w:val="00CA0CEF"/>
  </w:style>
  <w:style w:type="paragraph" w:customStyle="1" w:styleId="100F7862B5B640998A8293DAD51F49E2">
    <w:name w:val="100F7862B5B640998A8293DAD51F49E2"/>
    <w:rsid w:val="00CA0CEF"/>
  </w:style>
  <w:style w:type="paragraph" w:customStyle="1" w:styleId="1D1A21B8EB8F4C49AFCE3B709BCAE649">
    <w:name w:val="1D1A21B8EB8F4C49AFCE3B709BCAE649"/>
    <w:rsid w:val="00175E5B"/>
  </w:style>
  <w:style w:type="paragraph" w:customStyle="1" w:styleId="95F5D1CB4A794E35BD870863CA6942A6">
    <w:name w:val="95F5D1CB4A794E35BD870863CA6942A6"/>
    <w:rsid w:val="00175E5B"/>
  </w:style>
  <w:style w:type="paragraph" w:customStyle="1" w:styleId="A5BA9938E88846EBB5AEE302B63A64B1">
    <w:name w:val="A5BA9938E88846EBB5AEE302B63A64B1"/>
    <w:rsid w:val="00175E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3EA3B-3601-49FB-8655-4D41C1E031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4496AB-F075-4938-99E1-8883418DE6CA}">
  <ds:schemaRefs>
    <ds:schemaRef ds:uri="bf54d604-3e62-4e70-ba33-9e9084b96a66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193F782-DA93-4897-80F3-0431B0648D70}"/>
</file>

<file path=customXml/itemProps4.xml><?xml version="1.0" encoding="utf-8"?>
<ds:datastoreItem xmlns:ds="http://schemas.openxmlformats.org/officeDocument/2006/customXml" ds:itemID="{9D3A6471-FE6F-407F-A8E1-129EBA566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DEB6D6A9.dotm</Template>
  <TotalTime>0</TotalTime>
  <Pages>4</Pages>
  <Words>1098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2019-08-16T08:25:00Z</dcterms:created>
  <dcterms:modified xsi:type="dcterms:W3CDTF">2019-08-20T23:43:00Z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</Properties>
</file>