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5503313" w:displacedByCustomXml="next"/>
    <w:sdt>
      <w:sdtPr>
        <w:rPr>
          <w:rFonts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E6E398E" w14:textId="57A97539" w:rsidR="00BD499F" w:rsidRDefault="00766C76" w:rsidP="00B40C60">
          <w:pPr>
            <w:pStyle w:val="Heading1"/>
            <w:jc w:val="center"/>
            <w:rPr>
              <w:rFonts w:cs="Arial"/>
            </w:rPr>
          </w:pPr>
          <w:r w:rsidRPr="00766C76">
            <w:rPr>
              <w:rFonts w:cs="Arial"/>
            </w:rPr>
            <w:t>Aluminium – DUST</w:t>
          </w:r>
          <w:r w:rsidR="0073177F">
            <w:rPr>
              <w:rFonts w:cs="Arial"/>
            </w:rPr>
            <w:t>S</w:t>
          </w:r>
          <w:r w:rsidRPr="00766C76">
            <w:rPr>
              <w:rFonts w:cs="Arial"/>
            </w:rPr>
            <w:t xml:space="preserve"> </w:t>
          </w:r>
          <w:r w:rsidR="00F82438">
            <w:rPr>
              <w:rFonts w:cs="Arial"/>
            </w:rPr>
            <w:t>(METAL</w:t>
          </w:r>
          <w:r w:rsidRPr="008D778F">
            <w:rPr>
              <w:rFonts w:cs="Arial"/>
            </w:rPr>
            <w:t>, PYRO</w:t>
          </w:r>
          <w:r w:rsidR="0073177F">
            <w:rPr>
              <w:rFonts w:cs="Arial"/>
            </w:rPr>
            <w:t>, OXIDE</w:t>
          </w:r>
          <w:r>
            <w:rPr>
              <w:rFonts w:cs="Arial"/>
            </w:rPr>
            <w:t>)</w:t>
          </w:r>
          <w:r w:rsidRPr="00766C76">
            <w:rPr>
              <w:rFonts w:cs="Arial"/>
            </w:rPr>
            <w:t xml:space="preserve"> &amp; COMPOUNDS (soluble</w:t>
          </w:r>
          <w:r>
            <w:rPr>
              <w:rFonts w:cs="Arial"/>
            </w:rPr>
            <w:t xml:space="preserve">, </w:t>
          </w:r>
          <w:r w:rsidRPr="00766C76">
            <w:rPr>
              <w:rFonts w:cs="Arial"/>
            </w:rPr>
            <w:t>ALKYLS)</w:t>
          </w:r>
        </w:p>
      </w:sdtContent>
    </w:sdt>
    <w:bookmarkEnd w:id="0" w:displacedByCustomXml="prev"/>
    <w:p w14:paraId="089BB7D7" w14:textId="77777777" w:rsidR="0073177F" w:rsidRPr="0073177F" w:rsidRDefault="0073177F" w:rsidP="0073177F">
      <w:pPr>
        <w:rPr>
          <w:lang w:eastAsia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45520729" w14:textId="77777777" w:rsidTr="00B76A41">
        <w:trPr>
          <w:cantSplit/>
          <w:tblHeader/>
        </w:trPr>
        <w:tc>
          <w:tcPr>
            <w:tcW w:w="4077" w:type="dxa"/>
          </w:tcPr>
          <w:p w14:paraId="65A2E808" w14:textId="77777777" w:rsidR="00F43AD5" w:rsidRPr="00921DE7" w:rsidRDefault="00CB1CB1" w:rsidP="00B76A41">
            <w:pPr>
              <w:pStyle w:val="Tablerowright"/>
            </w:pPr>
            <w:r w:rsidRPr="00921DE7">
              <w:t>CAS number</w:t>
            </w:r>
            <w:r w:rsidR="004C497B">
              <w:t>s</w:t>
            </w:r>
            <w:r w:rsidRPr="00921DE7">
              <w:t>:</w:t>
            </w:r>
          </w:p>
        </w:tc>
        <w:tc>
          <w:tcPr>
            <w:tcW w:w="5165" w:type="dxa"/>
          </w:tcPr>
          <w:p w14:paraId="35AC6707" w14:textId="15083A5E" w:rsidR="00661A3E" w:rsidRDefault="005C335F" w:rsidP="005C335F">
            <w:pPr>
              <w:pStyle w:val="Tablefon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7429-90-5 (Aluminium and compounds)</w:t>
            </w:r>
          </w:p>
          <w:p w14:paraId="31F95581" w14:textId="4AB83264" w:rsidR="00F43AD5" w:rsidRPr="00717D45" w:rsidRDefault="00B85AA3" w:rsidP="00B76A41">
            <w:pPr>
              <w:pStyle w:val="Tablefont"/>
            </w:pPr>
            <w:r w:rsidRPr="00B85AA3">
              <w:rPr>
                <w:rFonts w:cs="Arial"/>
                <w:color w:val="000000"/>
                <w:szCs w:val="20"/>
              </w:rPr>
              <w:t>1344-28-1</w:t>
            </w:r>
            <w:r w:rsidR="00C146FA">
              <w:rPr>
                <w:rFonts w:cs="Arial"/>
                <w:color w:val="000000"/>
                <w:szCs w:val="20"/>
              </w:rPr>
              <w:t xml:space="preserve"> </w:t>
            </w:r>
            <w:r w:rsidR="005C335F">
              <w:rPr>
                <w:rFonts w:cs="Arial"/>
                <w:color w:val="000000"/>
                <w:szCs w:val="20"/>
              </w:rPr>
              <w:t>(Aluminium oxide)</w:t>
            </w:r>
          </w:p>
        </w:tc>
      </w:tr>
      <w:tr w:rsidR="00F43AD5" w:rsidRPr="004C23F4" w14:paraId="366C7314" w14:textId="77777777" w:rsidTr="00B76A41">
        <w:trPr>
          <w:cantSplit/>
        </w:trPr>
        <w:tc>
          <w:tcPr>
            <w:tcW w:w="4077" w:type="dxa"/>
          </w:tcPr>
          <w:p w14:paraId="76E98CC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8CB9DAA" w14:textId="54F1C236" w:rsidR="00F43AD5" w:rsidRPr="00717D45" w:rsidRDefault="00661A3E" w:rsidP="00B76A41">
            <w:pPr>
              <w:pStyle w:val="Tablefont"/>
            </w:pPr>
            <w:proofErr w:type="spellStart"/>
            <w:r>
              <w:t>Aluminum</w:t>
            </w:r>
            <w:proofErr w:type="spellEnd"/>
            <w:r>
              <w:t xml:space="preserve">, </w:t>
            </w:r>
            <w:r w:rsidR="005C335F">
              <w:t>a</w:t>
            </w:r>
            <w:r>
              <w:t>luminium oxide</w:t>
            </w:r>
            <w:r w:rsidR="0073177F">
              <w:t>s</w:t>
            </w:r>
            <w:r>
              <w:t xml:space="preserve">, </w:t>
            </w:r>
            <w:r w:rsidR="005C335F">
              <w:t>a</w:t>
            </w:r>
            <w:r w:rsidR="001F0659">
              <w:t xml:space="preserve">lkyl and </w:t>
            </w:r>
            <w:proofErr w:type="spellStart"/>
            <w:r w:rsidR="001F0659">
              <w:t>o</w:t>
            </w:r>
            <w:r>
              <w:t>rganoaluminium</w:t>
            </w:r>
            <w:proofErr w:type="spellEnd"/>
            <w:r>
              <w:t xml:space="preserve">  </w:t>
            </w:r>
          </w:p>
        </w:tc>
      </w:tr>
      <w:tr w:rsidR="00F43AD5" w:rsidRPr="004C23F4" w14:paraId="5871F975" w14:textId="77777777" w:rsidTr="00B76A41">
        <w:trPr>
          <w:cantSplit/>
        </w:trPr>
        <w:tc>
          <w:tcPr>
            <w:tcW w:w="4077" w:type="dxa"/>
          </w:tcPr>
          <w:p w14:paraId="7987848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EF42D12" w14:textId="2B14B5D7" w:rsidR="00F43AD5" w:rsidRPr="00717D45" w:rsidRDefault="005C335F" w:rsidP="00B76A41">
            <w:pPr>
              <w:pStyle w:val="Tablefont"/>
            </w:pPr>
            <w:r>
              <w:rPr>
                <w:rFonts w:cs="Arial"/>
                <w:color w:val="000000"/>
                <w:szCs w:val="20"/>
              </w:rPr>
              <w:t>Al (elemental)</w:t>
            </w:r>
          </w:p>
        </w:tc>
      </w:tr>
      <w:tr w:rsidR="00F43AD5" w:rsidRPr="004C23F4" w14:paraId="1A7174D7" w14:textId="77777777" w:rsidTr="00B76A41">
        <w:trPr>
          <w:cantSplit/>
        </w:trPr>
        <w:tc>
          <w:tcPr>
            <w:tcW w:w="4077" w:type="dxa"/>
          </w:tcPr>
          <w:p w14:paraId="277BE94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7B01DBB" w14:textId="17720078" w:rsidR="00F43AD5" w:rsidRPr="00B40C60" w:rsidRDefault="00F31863" w:rsidP="005A5D8F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D9C10C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5387A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EF9F4C2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73C96B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A6F681D" w14:textId="77777777" w:rsidR="002C7AFE" w:rsidRPr="00821D23" w:rsidRDefault="00821D23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26EA044" w14:textId="77777777" w:rsidTr="00921DE7">
        <w:trPr>
          <w:cantSplit/>
        </w:trPr>
        <w:tc>
          <w:tcPr>
            <w:tcW w:w="4077" w:type="dxa"/>
            <w:vAlign w:val="center"/>
          </w:tcPr>
          <w:p w14:paraId="262F704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4F1FC74" w14:textId="73D8BC70" w:rsidR="002C7AFE" w:rsidRPr="00EB3D1B" w:rsidRDefault="00F3186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276301D" w14:textId="77777777" w:rsidTr="00921DE7">
        <w:trPr>
          <w:cantSplit/>
        </w:trPr>
        <w:tc>
          <w:tcPr>
            <w:tcW w:w="4077" w:type="dxa"/>
            <w:vAlign w:val="center"/>
          </w:tcPr>
          <w:p w14:paraId="79073E6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5F1A5E6" w14:textId="5CC1FD10" w:rsidR="002C7AFE" w:rsidRPr="00EB3D1B" w:rsidRDefault="00F3186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6DDFE19" w14:textId="77777777" w:rsidTr="00A2073D">
        <w:trPr>
          <w:cantSplit/>
        </w:trPr>
        <w:tc>
          <w:tcPr>
            <w:tcW w:w="4077" w:type="dxa"/>
          </w:tcPr>
          <w:p w14:paraId="4B208DE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AF151DA" w14:textId="191629B4" w:rsidR="002C7AFE" w:rsidRPr="00EB3D1B" w:rsidRDefault="00F3186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0AFF975" w14:textId="77777777" w:rsidTr="00921DE7">
        <w:trPr>
          <w:cantSplit/>
        </w:trPr>
        <w:tc>
          <w:tcPr>
            <w:tcW w:w="4077" w:type="dxa"/>
            <w:vAlign w:val="center"/>
          </w:tcPr>
          <w:p w14:paraId="01C7D357" w14:textId="4C755997" w:rsidR="00F10C97" w:rsidRPr="002C58FF" w:rsidRDefault="00921DE7" w:rsidP="004E39EE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A036E6B" w14:textId="024A9E89" w:rsidR="002C7AFE" w:rsidRPr="00EB3D1B" w:rsidRDefault="00F3186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4E39EE" w:rsidRPr="004C23F4" w14:paraId="0DA8D037" w14:textId="77777777" w:rsidTr="004E39EE">
        <w:trPr>
          <w:cantSplit/>
        </w:trPr>
        <w:tc>
          <w:tcPr>
            <w:tcW w:w="4077" w:type="dxa"/>
          </w:tcPr>
          <w:p w14:paraId="1DCDAF81" w14:textId="55EC53C2" w:rsidR="004E39EE" w:rsidRDefault="004E39EE" w:rsidP="004E39E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B246E1D" w14:textId="77777777" w:rsidR="004E39EE" w:rsidRPr="004E39EE" w:rsidRDefault="004E39EE" w:rsidP="004E39EE">
            <w:pPr>
              <w:pStyle w:val="Tablefont"/>
            </w:pPr>
            <w:r w:rsidRPr="004E39EE">
              <w:t xml:space="preserve">The recommended value is readily quantifiable through currently available sampling and analysis techniques. </w:t>
            </w:r>
          </w:p>
          <w:p w14:paraId="76D2BCFB" w14:textId="77777777" w:rsidR="004E39EE" w:rsidRDefault="004E39EE" w:rsidP="00017C82">
            <w:pPr>
              <w:pStyle w:val="Tablefont"/>
              <w:rPr>
                <w:b/>
              </w:rPr>
            </w:pPr>
          </w:p>
        </w:tc>
      </w:tr>
    </w:tbl>
    <w:p w14:paraId="1A01CE4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35DBAF4" w14:textId="4317EFC2" w:rsidR="00F31863" w:rsidRDefault="00322437" w:rsidP="000C139A">
      <w:pPr>
        <w:rPr>
          <w:rFonts w:cs="Arial"/>
        </w:rPr>
      </w:pPr>
      <w:r>
        <w:rPr>
          <w:rFonts w:cs="Arial"/>
        </w:rPr>
        <w:t>A</w:t>
      </w:r>
      <w:r w:rsidR="0055723E">
        <w:rPr>
          <w:rFonts w:cs="Arial"/>
        </w:rPr>
        <w:t xml:space="preserve">n interim </w:t>
      </w:r>
      <w:r>
        <w:rPr>
          <w:rFonts w:cs="Arial"/>
        </w:rPr>
        <w:t xml:space="preserve">TWA of </w:t>
      </w:r>
      <w:r w:rsidR="00821D23">
        <w:rPr>
          <w:rFonts w:cs="Arial"/>
        </w:rPr>
        <w:t>1 mg/m</w:t>
      </w:r>
      <w:r w:rsidR="00821D23">
        <w:rPr>
          <w:rFonts w:cs="Arial"/>
          <w:vertAlign w:val="superscript"/>
        </w:rPr>
        <w:t xml:space="preserve">3 </w:t>
      </w:r>
      <w:proofErr w:type="gramStart"/>
      <w:r w:rsidR="004C497B" w:rsidRPr="00B75CEA">
        <w:rPr>
          <w:rFonts w:cs="Arial"/>
        </w:rPr>
        <w:t>is</w:t>
      </w:r>
      <w:r w:rsidR="00821D23" w:rsidRPr="00B75CEA">
        <w:rPr>
          <w:rFonts w:cs="Arial"/>
        </w:rPr>
        <w:t xml:space="preserve"> recommended</w:t>
      </w:r>
      <w:proofErr w:type="gramEnd"/>
      <w:r w:rsidR="00821D23" w:rsidRPr="00B75CEA">
        <w:rPr>
          <w:rFonts w:cs="Arial"/>
        </w:rPr>
        <w:t xml:space="preserve"> to </w:t>
      </w:r>
      <w:r w:rsidR="005C335F">
        <w:rPr>
          <w:rFonts w:cs="Arial"/>
        </w:rPr>
        <w:t xml:space="preserve">protect for </w:t>
      </w:r>
      <w:r w:rsidR="00821D23" w:rsidRPr="00B75CEA">
        <w:rPr>
          <w:rFonts w:cs="Arial"/>
        </w:rPr>
        <w:t>adverse</w:t>
      </w:r>
      <w:r w:rsidR="00661A3E" w:rsidRPr="00B75CEA">
        <w:rPr>
          <w:rFonts w:cs="Arial"/>
        </w:rPr>
        <w:t xml:space="preserve"> effects</w:t>
      </w:r>
      <w:r w:rsidR="00821D23" w:rsidRPr="00B75CEA">
        <w:rPr>
          <w:rFonts w:cs="Arial"/>
        </w:rPr>
        <w:t xml:space="preserve"> in the </w:t>
      </w:r>
      <w:r w:rsidR="00343C83">
        <w:rPr>
          <w:rFonts w:cs="Arial"/>
        </w:rPr>
        <w:t xml:space="preserve">lungs </w:t>
      </w:r>
      <w:r w:rsidR="00821D23" w:rsidRPr="00B75CEA">
        <w:rPr>
          <w:rFonts w:cs="Arial"/>
        </w:rPr>
        <w:t xml:space="preserve">and </w:t>
      </w:r>
      <w:r w:rsidR="00343C83" w:rsidRPr="00B75CEA">
        <w:rPr>
          <w:rFonts w:cs="Arial"/>
        </w:rPr>
        <w:t>central nervous system</w:t>
      </w:r>
      <w:r w:rsidR="00343C83">
        <w:rPr>
          <w:rFonts w:cs="Arial"/>
        </w:rPr>
        <w:t xml:space="preserve"> (CNS)</w:t>
      </w:r>
      <w:r w:rsidR="00343C83" w:rsidRPr="00B75CEA">
        <w:rPr>
          <w:rFonts w:cs="Arial"/>
        </w:rPr>
        <w:t xml:space="preserve"> </w:t>
      </w:r>
      <w:r w:rsidR="00821D23" w:rsidRPr="00B75CEA">
        <w:rPr>
          <w:rFonts w:cs="Arial"/>
        </w:rPr>
        <w:t>in exposed workers.</w:t>
      </w:r>
      <w:r w:rsidR="00261E4B" w:rsidRPr="00B75CEA">
        <w:rPr>
          <w:rFonts w:cs="Arial"/>
        </w:rPr>
        <w:t xml:space="preserve"> </w:t>
      </w:r>
    </w:p>
    <w:p w14:paraId="52534C4A" w14:textId="6381DB48" w:rsidR="00821D23" w:rsidRPr="00821D23" w:rsidRDefault="00F31863" w:rsidP="000C139A">
      <w:pPr>
        <w:rPr>
          <w:rFonts w:cs="Arial"/>
        </w:rPr>
      </w:pPr>
      <w:r>
        <w:rPr>
          <w:rFonts w:cs="Arial"/>
        </w:rPr>
        <w:t>I</w:t>
      </w:r>
      <w:r w:rsidR="00D365D6" w:rsidRPr="00B75CEA">
        <w:rPr>
          <w:rFonts w:cs="Arial"/>
        </w:rPr>
        <w:t>t</w:t>
      </w:r>
      <w:r w:rsidR="00821D23" w:rsidRPr="00B75CEA">
        <w:rPr>
          <w:rFonts w:cs="Arial"/>
        </w:rPr>
        <w:t xml:space="preserve"> </w:t>
      </w:r>
      <w:proofErr w:type="gramStart"/>
      <w:r w:rsidR="00821D23" w:rsidRPr="00B75CEA">
        <w:rPr>
          <w:rFonts w:cs="Arial"/>
        </w:rPr>
        <w:t>is recommended</w:t>
      </w:r>
      <w:proofErr w:type="gramEnd"/>
      <w:r w:rsidR="00821D23" w:rsidRPr="00B75CEA">
        <w:rPr>
          <w:rFonts w:cs="Arial"/>
        </w:rPr>
        <w:t xml:space="preserve"> that a review </w:t>
      </w:r>
      <w:r w:rsidR="00A67F07">
        <w:rPr>
          <w:rFonts w:cs="Arial"/>
        </w:rPr>
        <w:t xml:space="preserve">of additional data sources </w:t>
      </w:r>
      <w:r w:rsidR="00A67F07" w:rsidRPr="00B75CEA">
        <w:rPr>
          <w:rFonts w:cs="Arial"/>
        </w:rPr>
        <w:t xml:space="preserve">be undertaken at the next </w:t>
      </w:r>
      <w:r w:rsidR="00700FDE">
        <w:rPr>
          <w:rFonts w:cs="Arial"/>
        </w:rPr>
        <w:t xml:space="preserve">scheduled </w:t>
      </w:r>
      <w:r w:rsidR="00A67F07" w:rsidRPr="00B75CEA">
        <w:rPr>
          <w:rFonts w:cs="Arial"/>
        </w:rPr>
        <w:t xml:space="preserve">review </w:t>
      </w:r>
      <w:r w:rsidR="00B73C67" w:rsidRPr="00B75CEA">
        <w:rPr>
          <w:rFonts w:cs="Arial"/>
        </w:rPr>
        <w:t xml:space="preserve">for soluble aluminium compounds </w:t>
      </w:r>
      <w:r w:rsidR="00D365D6" w:rsidRPr="00B75CEA">
        <w:rPr>
          <w:rFonts w:cs="Arial"/>
        </w:rPr>
        <w:t xml:space="preserve">due to insufficient data </w:t>
      </w:r>
      <w:r w:rsidR="00941E36" w:rsidRPr="00B75CEA">
        <w:rPr>
          <w:rFonts w:cs="Arial"/>
        </w:rPr>
        <w:t xml:space="preserve">on identified </w:t>
      </w:r>
      <w:r w:rsidR="00D365D6" w:rsidRPr="00B75CEA">
        <w:rPr>
          <w:rFonts w:cs="Arial"/>
        </w:rPr>
        <w:t>dose-response relationship</w:t>
      </w:r>
      <w:r w:rsidR="00E64F27" w:rsidRPr="00B75CEA">
        <w:rPr>
          <w:rFonts w:cs="Arial"/>
        </w:rPr>
        <w:t>s</w:t>
      </w:r>
      <w:r w:rsidR="00D365D6" w:rsidRPr="00B75CEA">
        <w:rPr>
          <w:rFonts w:cs="Arial"/>
        </w:rPr>
        <w:t>.</w:t>
      </w:r>
      <w:r w:rsidR="00D365D6" w:rsidRPr="00C73934">
        <w:rPr>
          <w:rFonts w:cs="Arial"/>
        </w:rPr>
        <w:t xml:space="preserve"> </w:t>
      </w:r>
    </w:p>
    <w:p w14:paraId="60A28C3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6E947C8" w14:textId="43FFA90E" w:rsidR="000A6004" w:rsidRDefault="00685657" w:rsidP="006639B4">
      <w:pPr>
        <w:rPr>
          <w:rFonts w:cs="Arial"/>
        </w:rPr>
      </w:pPr>
      <w:r w:rsidRPr="00685657">
        <w:t xml:space="preserve">Aluminium </w:t>
      </w:r>
      <w:r w:rsidR="005C335F">
        <w:t xml:space="preserve">is </w:t>
      </w:r>
      <w:r w:rsidR="00F31863">
        <w:t>naturally abundant</w:t>
      </w:r>
      <w:r w:rsidR="005C335F">
        <w:t xml:space="preserve"> and used in metal alloys and manufacturing. In</w:t>
      </w:r>
      <w:r w:rsidRPr="00685657">
        <w:t xml:space="preserve"> air</w:t>
      </w:r>
      <w:r w:rsidR="005C335F">
        <w:t>, it</w:t>
      </w:r>
      <w:r w:rsidRPr="00685657">
        <w:t xml:space="preserve"> is usually associated with particulate matter </w:t>
      </w:r>
      <w:r w:rsidR="00B56AB5">
        <w:t xml:space="preserve">with exposure </w:t>
      </w:r>
      <w:proofErr w:type="gramStart"/>
      <w:r w:rsidR="00A82FC1">
        <w:t>impact</w:t>
      </w:r>
      <w:r w:rsidR="00B56AB5">
        <w:t>ing</w:t>
      </w:r>
      <w:proofErr w:type="gramEnd"/>
      <w:r w:rsidR="00B1341E">
        <w:t xml:space="preserve"> </w:t>
      </w:r>
      <w:r w:rsidR="00B56AB5">
        <w:t>the</w:t>
      </w:r>
      <w:r w:rsidR="00B1341E">
        <w:t xml:space="preserve"> lungs and </w:t>
      </w:r>
      <w:r w:rsidR="001F0659">
        <w:t>CNS</w:t>
      </w:r>
      <w:r>
        <w:t>.</w:t>
      </w:r>
      <w:r w:rsidR="00B1341E">
        <w:t xml:space="preserve"> </w:t>
      </w:r>
      <w:r w:rsidR="000A6004">
        <w:t>L</w:t>
      </w:r>
      <w:r w:rsidR="000A6004">
        <w:rPr>
          <w:rFonts w:cs="Arial"/>
        </w:rPr>
        <w:t xml:space="preserve">ess soluble forms of aluminium (e.g. aluminium metal and aluminium oxide) demonstrate </w:t>
      </w:r>
      <w:r w:rsidR="00A82FC1">
        <w:rPr>
          <w:rFonts w:cs="Arial"/>
        </w:rPr>
        <w:t xml:space="preserve">markedly </w:t>
      </w:r>
      <w:r w:rsidR="000A6004">
        <w:rPr>
          <w:rFonts w:cs="Arial"/>
        </w:rPr>
        <w:t xml:space="preserve">less bioavailability </w:t>
      </w:r>
      <w:r w:rsidR="00A82FC1">
        <w:rPr>
          <w:rFonts w:cs="Arial"/>
        </w:rPr>
        <w:t>than</w:t>
      </w:r>
      <w:r w:rsidR="000A6004">
        <w:rPr>
          <w:rFonts w:cs="Arial"/>
        </w:rPr>
        <w:t xml:space="preserve"> the more soluble forms </w:t>
      </w:r>
      <w:r w:rsidR="00A67F07">
        <w:rPr>
          <w:rFonts w:cs="Arial"/>
        </w:rPr>
        <w:t>(e.g.</w:t>
      </w:r>
      <w:r w:rsidR="000A6004">
        <w:rPr>
          <w:rFonts w:cs="Arial"/>
        </w:rPr>
        <w:t xml:space="preserve"> alkyl aluminium compounds</w:t>
      </w:r>
      <w:r w:rsidR="00A67F07">
        <w:rPr>
          <w:rFonts w:cs="Arial"/>
        </w:rPr>
        <w:t>;</w:t>
      </w:r>
      <w:r w:rsidR="000A6004">
        <w:rPr>
          <w:rFonts w:cs="Arial"/>
        </w:rPr>
        <w:t xml:space="preserve"> ACGIH, 2018; DFG 2007; HCTON, 2013).</w:t>
      </w:r>
    </w:p>
    <w:p w14:paraId="01F2D901" w14:textId="7C54AD86" w:rsidR="007D312E" w:rsidRDefault="00EE0854" w:rsidP="0007378E">
      <w:pPr>
        <w:rPr>
          <w:rFonts w:cs="Arial"/>
        </w:rPr>
      </w:pPr>
      <w:r>
        <w:rPr>
          <w:rFonts w:cs="Arial"/>
        </w:rPr>
        <w:t xml:space="preserve">A LOAEL </w:t>
      </w:r>
      <w:proofErr w:type="gramStart"/>
      <w:r>
        <w:rPr>
          <w:rFonts w:cs="Arial"/>
        </w:rPr>
        <w:t>was reported</w:t>
      </w:r>
      <w:proofErr w:type="gramEnd"/>
      <w:r>
        <w:rPr>
          <w:rFonts w:cs="Arial"/>
        </w:rPr>
        <w:t xml:space="preserve"> at</w:t>
      </w:r>
      <w:r w:rsidRPr="00EE0854">
        <w:rPr>
          <w:rFonts w:cs="Arial"/>
        </w:rPr>
        <w:t xml:space="preserve"> 4.6</w:t>
      </w:r>
      <w:r w:rsidR="004F0722">
        <w:rPr>
          <w:rFonts w:cs="Arial"/>
        </w:rPr>
        <w:t xml:space="preserve"> to</w:t>
      </w:r>
      <w:r w:rsidRPr="00EE0854">
        <w:rPr>
          <w:rFonts w:cs="Arial"/>
        </w:rPr>
        <w:t>11.5 mg/m</w:t>
      </w:r>
      <w:r w:rsidRPr="00EE0854">
        <w:rPr>
          <w:rFonts w:cs="Arial"/>
          <w:vertAlign w:val="superscript"/>
        </w:rPr>
        <w:t>3</w:t>
      </w:r>
      <w:r w:rsidRPr="00EE0854">
        <w:rPr>
          <w:rFonts w:cs="Arial"/>
        </w:rPr>
        <w:t xml:space="preserve"> </w:t>
      </w:r>
      <w:r w:rsidR="00B56AB5">
        <w:rPr>
          <w:rFonts w:cs="Arial"/>
        </w:rPr>
        <w:t xml:space="preserve">for </w:t>
      </w:r>
      <w:r w:rsidR="00B56AB5" w:rsidRPr="00EE0854">
        <w:rPr>
          <w:rFonts w:cs="Arial"/>
        </w:rPr>
        <w:t xml:space="preserve">psychomotor and cognitive impairment </w:t>
      </w:r>
      <w:r w:rsidR="00B56AB5">
        <w:rPr>
          <w:rFonts w:cs="Arial"/>
        </w:rPr>
        <w:t>in</w:t>
      </w:r>
      <w:r>
        <w:rPr>
          <w:rFonts w:cs="Arial"/>
        </w:rPr>
        <w:t xml:space="preserve"> a group of </w:t>
      </w:r>
      <w:r w:rsidR="0072184A">
        <w:rPr>
          <w:rFonts w:cs="Arial"/>
        </w:rPr>
        <w:t xml:space="preserve">87 </w:t>
      </w:r>
      <w:r>
        <w:rPr>
          <w:rFonts w:cs="Arial"/>
        </w:rPr>
        <w:t xml:space="preserve">aluminium factory workers occupationally exposed </w:t>
      </w:r>
      <w:r w:rsidR="0072184A">
        <w:rPr>
          <w:rFonts w:cs="Arial"/>
        </w:rPr>
        <w:t xml:space="preserve">for </w:t>
      </w:r>
      <w:r w:rsidR="00A67F07">
        <w:rPr>
          <w:rFonts w:cs="Arial"/>
        </w:rPr>
        <w:t>eight</w:t>
      </w:r>
      <w:r w:rsidR="0072184A">
        <w:rPr>
          <w:rFonts w:cs="Arial"/>
        </w:rPr>
        <w:t xml:space="preserve"> hours over 12 year</w:t>
      </w:r>
      <w:r w:rsidR="0031157C">
        <w:rPr>
          <w:rFonts w:cs="Arial"/>
        </w:rPr>
        <w:t>s</w:t>
      </w:r>
      <w:r w:rsidR="005C335F">
        <w:rPr>
          <w:rFonts w:cs="Arial"/>
        </w:rPr>
        <w:t xml:space="preserve"> (US EPA, 2006). </w:t>
      </w:r>
      <w:r w:rsidR="008A2C8C" w:rsidRPr="008A2C8C">
        <w:rPr>
          <w:rFonts w:cs="Arial"/>
        </w:rPr>
        <w:t>Increased prevalence of neurological effects</w:t>
      </w:r>
      <w:r w:rsidR="008A2C8C">
        <w:rPr>
          <w:rFonts w:cs="Arial"/>
        </w:rPr>
        <w:t xml:space="preserve"> </w:t>
      </w:r>
      <w:proofErr w:type="gramStart"/>
      <w:r w:rsidR="00946B54">
        <w:rPr>
          <w:rFonts w:cs="Arial"/>
        </w:rPr>
        <w:t>was</w:t>
      </w:r>
      <w:r w:rsidR="008A2C8C" w:rsidRPr="008A2C8C">
        <w:rPr>
          <w:rFonts w:cs="Arial"/>
        </w:rPr>
        <w:t xml:space="preserve"> reported</w:t>
      </w:r>
      <w:proofErr w:type="gramEnd"/>
      <w:r w:rsidR="008A2C8C" w:rsidRPr="008A2C8C">
        <w:rPr>
          <w:rFonts w:cs="Arial"/>
        </w:rPr>
        <w:t xml:space="preserve"> at a body burden equivalent to breathing 1.6 mg/m</w:t>
      </w:r>
      <w:r w:rsidR="008A2C8C" w:rsidRPr="008A2C8C">
        <w:rPr>
          <w:rFonts w:cs="Arial"/>
          <w:vertAlign w:val="superscript"/>
        </w:rPr>
        <w:t>3</w:t>
      </w:r>
      <w:r w:rsidR="008A2C8C" w:rsidRPr="008A2C8C">
        <w:rPr>
          <w:rFonts w:cs="Arial"/>
        </w:rPr>
        <w:t xml:space="preserve"> for 40 y</w:t>
      </w:r>
      <w:r w:rsidR="008A2C8C">
        <w:rPr>
          <w:rFonts w:cs="Arial"/>
        </w:rPr>
        <w:t>ea</w:t>
      </w:r>
      <w:r w:rsidR="008A2C8C" w:rsidRPr="008A2C8C">
        <w:rPr>
          <w:rFonts w:cs="Arial"/>
        </w:rPr>
        <w:t>r</w:t>
      </w:r>
      <w:r w:rsidR="008A2C8C">
        <w:rPr>
          <w:rFonts w:cs="Arial"/>
        </w:rPr>
        <w:t>s</w:t>
      </w:r>
      <w:r w:rsidR="008A2C8C" w:rsidRPr="008A2C8C">
        <w:rPr>
          <w:rFonts w:cs="Arial"/>
        </w:rPr>
        <w:t xml:space="preserve"> (insoluble form)</w:t>
      </w:r>
      <w:r w:rsidR="008A2C8C">
        <w:rPr>
          <w:rFonts w:cs="Arial"/>
        </w:rPr>
        <w:t xml:space="preserve">. </w:t>
      </w:r>
      <w:r w:rsidR="007D312E">
        <w:rPr>
          <w:rFonts w:cs="Arial"/>
        </w:rPr>
        <w:t xml:space="preserve">However, these dose-response relationships are not considered </w:t>
      </w:r>
      <w:proofErr w:type="gramStart"/>
      <w:r w:rsidR="007D312E">
        <w:rPr>
          <w:rFonts w:cs="Arial"/>
        </w:rPr>
        <w:t>to be robust</w:t>
      </w:r>
      <w:proofErr w:type="gramEnd"/>
      <w:r w:rsidR="007D312E">
        <w:rPr>
          <w:rFonts w:cs="Arial"/>
        </w:rPr>
        <w:t xml:space="preserve"> and further </w:t>
      </w:r>
      <w:r w:rsidR="00A67F07">
        <w:rPr>
          <w:rFonts w:cs="Arial"/>
        </w:rPr>
        <w:t>investigation is recommended</w:t>
      </w:r>
      <w:r w:rsidR="007D312E">
        <w:rPr>
          <w:rFonts w:cs="Arial"/>
        </w:rPr>
        <w:t>.</w:t>
      </w:r>
    </w:p>
    <w:p w14:paraId="372A73D6" w14:textId="404C13C9" w:rsidR="00946B54" w:rsidRDefault="00946B54" w:rsidP="00946B54">
      <w:r>
        <w:lastRenderedPageBreak/>
        <w:t>A LOAEL of 0.25 mg/m</w:t>
      </w:r>
      <w:r>
        <w:rPr>
          <w:vertAlign w:val="superscript"/>
        </w:rPr>
        <w:t>3</w:t>
      </w:r>
      <w:r>
        <w:t xml:space="preserve"> </w:t>
      </w:r>
      <w:r w:rsidR="00745674">
        <w:t xml:space="preserve">for granulomatous change in the </w:t>
      </w:r>
      <w:proofErr w:type="spellStart"/>
      <w:r w:rsidR="00745674">
        <w:t>peribronchial</w:t>
      </w:r>
      <w:proofErr w:type="spellEnd"/>
      <w:r w:rsidR="00745674">
        <w:t xml:space="preserve"> lymph node in rats </w:t>
      </w:r>
      <w:proofErr w:type="gramStart"/>
      <w:r w:rsidR="00745674">
        <w:t>is reported</w:t>
      </w:r>
      <w:proofErr w:type="gramEnd"/>
      <w:r w:rsidR="00745674">
        <w:t xml:space="preserve"> following </w:t>
      </w:r>
      <w:r>
        <w:t xml:space="preserve">aluminium </w:t>
      </w:r>
      <w:proofErr w:type="spellStart"/>
      <w:r>
        <w:t>chlorohydrate</w:t>
      </w:r>
      <w:proofErr w:type="spellEnd"/>
      <w:r>
        <w:t xml:space="preserve"> exposure. However, the</w:t>
      </w:r>
      <w:r w:rsidR="00745674">
        <w:t>re</w:t>
      </w:r>
      <w:r>
        <w:t xml:space="preserve"> is insufficient information on the factors </w:t>
      </w:r>
      <w:r w:rsidR="00745674">
        <w:t xml:space="preserve">affecting </w:t>
      </w:r>
      <w:r>
        <w:t>aluminium toxicity in the lungs to derive a health-based level</w:t>
      </w:r>
      <w:r w:rsidR="00745674">
        <w:t xml:space="preserve"> for</w:t>
      </w:r>
      <w:r>
        <w:t xml:space="preserve"> </w:t>
      </w:r>
      <w:r w:rsidR="00745674">
        <w:t xml:space="preserve">insoluble and poorly soluble forms of aluminium </w:t>
      </w:r>
      <w:r>
        <w:t xml:space="preserve">from </w:t>
      </w:r>
      <w:r w:rsidR="00A67F07">
        <w:t>the</w:t>
      </w:r>
      <w:r w:rsidR="00745674">
        <w:t xml:space="preserve"> </w:t>
      </w:r>
      <w:proofErr w:type="gramStart"/>
      <w:r>
        <w:t xml:space="preserve">aluminium </w:t>
      </w:r>
      <w:proofErr w:type="spellStart"/>
      <w:r>
        <w:t>chlorohydrate</w:t>
      </w:r>
      <w:proofErr w:type="spellEnd"/>
      <w:r w:rsidR="00343C83">
        <w:t xml:space="preserve"> exposure</w:t>
      </w:r>
      <w:r w:rsidR="00745674">
        <w:t xml:space="preserve"> data</w:t>
      </w:r>
      <w:proofErr w:type="gramEnd"/>
      <w:r w:rsidR="00343C83">
        <w:t xml:space="preserve"> (HCOTN, 2013).</w:t>
      </w:r>
    </w:p>
    <w:p w14:paraId="1625F497" w14:textId="5B9B4151" w:rsidR="00A67F07" w:rsidRDefault="00FC05F6" w:rsidP="0007378E">
      <w:pPr>
        <w:rPr>
          <w:rFonts w:cs="Arial"/>
        </w:rPr>
      </w:pPr>
      <w:r>
        <w:rPr>
          <w:rFonts w:cs="Arial"/>
        </w:rPr>
        <w:t xml:space="preserve">A </w:t>
      </w:r>
      <w:r w:rsidR="00FF2883">
        <w:rPr>
          <w:rFonts w:cs="Arial"/>
        </w:rPr>
        <w:t xml:space="preserve">NOAEL for </w:t>
      </w:r>
      <w:proofErr w:type="spellStart"/>
      <w:r w:rsidR="00FF2883">
        <w:rPr>
          <w:rFonts w:cs="Arial"/>
        </w:rPr>
        <w:t>aluminosis</w:t>
      </w:r>
      <w:proofErr w:type="spellEnd"/>
      <w:r w:rsidR="00FF2883">
        <w:rPr>
          <w:rFonts w:cs="Arial"/>
        </w:rPr>
        <w:t xml:space="preserve"> </w:t>
      </w:r>
      <w:r>
        <w:rPr>
          <w:rFonts w:cs="Arial"/>
        </w:rPr>
        <w:t>of 2.</w:t>
      </w:r>
      <w:r w:rsidR="00FF2883">
        <w:rPr>
          <w:rFonts w:cs="Arial"/>
        </w:rPr>
        <w:t>4</w:t>
      </w:r>
      <w:r>
        <w:rPr>
          <w:rFonts w:cs="Arial"/>
        </w:rPr>
        <w:t>5 mg/m</w:t>
      </w:r>
      <w:r>
        <w:rPr>
          <w:rFonts w:cs="Arial"/>
          <w:vertAlign w:val="superscript"/>
        </w:rPr>
        <w:t xml:space="preserve">3 </w:t>
      </w:r>
      <w:r w:rsidR="001F0659">
        <w:rPr>
          <w:rFonts w:cs="Arial"/>
        </w:rPr>
        <w:t>(a</w:t>
      </w:r>
      <w:r w:rsidR="00FF2883">
        <w:rPr>
          <w:rFonts w:cs="Arial"/>
        </w:rPr>
        <w:t>s aluminium oxide</w:t>
      </w:r>
      <w:r w:rsidR="001F0659">
        <w:rPr>
          <w:rFonts w:cs="Arial"/>
        </w:rPr>
        <w:t>)</w:t>
      </w:r>
      <w:r w:rsidR="00FF2883">
        <w:rPr>
          <w:rFonts w:cs="Arial"/>
        </w:rPr>
        <w:t xml:space="preserve"> </w:t>
      </w:r>
      <w:proofErr w:type="gramStart"/>
      <w:r w:rsidR="001B4088">
        <w:rPr>
          <w:rFonts w:cs="Arial"/>
        </w:rPr>
        <w:t>is</w:t>
      </w:r>
      <w:r w:rsidR="001B4088">
        <w:rPr>
          <w:rFonts w:cs="Arial"/>
          <w:vertAlign w:val="superscript"/>
        </w:rPr>
        <w:t xml:space="preserve"> </w:t>
      </w:r>
      <w:r w:rsidR="005C335F">
        <w:rPr>
          <w:rFonts w:cs="Arial"/>
        </w:rPr>
        <w:t>reported</w:t>
      </w:r>
      <w:proofErr w:type="gramEnd"/>
      <w:r w:rsidR="005C335F">
        <w:rPr>
          <w:rFonts w:cs="Arial"/>
        </w:rPr>
        <w:t xml:space="preserve"> in rats. </w:t>
      </w:r>
      <w:r w:rsidR="00FF2883">
        <w:rPr>
          <w:rFonts w:cs="Arial"/>
        </w:rPr>
        <w:t xml:space="preserve">Minor respiratory effects in rats </w:t>
      </w:r>
      <w:proofErr w:type="gramStart"/>
      <w:r w:rsidR="001B4088">
        <w:rPr>
          <w:rFonts w:cs="Arial"/>
        </w:rPr>
        <w:t xml:space="preserve">are </w:t>
      </w:r>
      <w:r w:rsidR="00FF2883">
        <w:rPr>
          <w:rFonts w:cs="Arial"/>
        </w:rPr>
        <w:t>reported</w:t>
      </w:r>
      <w:proofErr w:type="gramEnd"/>
      <w:r w:rsidR="00FF2883">
        <w:rPr>
          <w:rFonts w:cs="Arial"/>
        </w:rPr>
        <w:t xml:space="preserve"> at 2.5 mg/m</w:t>
      </w:r>
      <w:r w:rsidR="00FF2883">
        <w:rPr>
          <w:rFonts w:cs="Arial"/>
          <w:vertAlign w:val="superscript"/>
        </w:rPr>
        <w:t>3</w:t>
      </w:r>
      <w:r w:rsidR="00FF2883">
        <w:rPr>
          <w:rFonts w:cs="Arial"/>
        </w:rPr>
        <w:t xml:space="preserve"> for insoluble forms of aluminium</w:t>
      </w:r>
      <w:r w:rsidR="0072184A">
        <w:rPr>
          <w:rFonts w:cs="Arial"/>
        </w:rPr>
        <w:t xml:space="preserve"> (HCTON, 2013)</w:t>
      </w:r>
      <w:r w:rsidR="007D312E">
        <w:rPr>
          <w:rFonts w:cs="Arial"/>
        </w:rPr>
        <w:t xml:space="preserve">. </w:t>
      </w:r>
    </w:p>
    <w:p w14:paraId="4E73B9E4" w14:textId="5DA4AC12" w:rsidR="0007378E" w:rsidRPr="00261E4B" w:rsidRDefault="00946FFB" w:rsidP="0007378E">
      <w:pPr>
        <w:rPr>
          <w:rFonts w:cs="Arial"/>
        </w:rPr>
      </w:pPr>
      <w:r>
        <w:rPr>
          <w:rFonts w:cs="Arial"/>
        </w:rPr>
        <w:t>Noting the uncertainties</w:t>
      </w:r>
      <w:r w:rsidR="007F572C">
        <w:rPr>
          <w:rFonts w:cs="Arial"/>
        </w:rPr>
        <w:t xml:space="preserve"> and o</w:t>
      </w:r>
      <w:r w:rsidR="00A67F07">
        <w:rPr>
          <w:rFonts w:cs="Arial"/>
        </w:rPr>
        <w:t>n a weight of evidence</w:t>
      </w:r>
      <w:r w:rsidR="0007378E">
        <w:t xml:space="preserve">, the </w:t>
      </w:r>
      <w:r w:rsidR="007F572C">
        <w:t xml:space="preserve">interim </w:t>
      </w:r>
      <w:r w:rsidR="0007378E">
        <w:t xml:space="preserve">TWA is considered sufficient to protect </w:t>
      </w:r>
      <w:r w:rsidR="00946BFE">
        <w:t xml:space="preserve">for </w:t>
      </w:r>
      <w:r w:rsidR="0007378E">
        <w:t xml:space="preserve">adverse effects in the lungs and </w:t>
      </w:r>
      <w:r w:rsidR="001F0659">
        <w:t>CNS</w:t>
      </w:r>
      <w:r w:rsidR="0007378E">
        <w:t xml:space="preserve"> in </w:t>
      </w:r>
      <w:r w:rsidR="00A67F07">
        <w:t xml:space="preserve">exposed </w:t>
      </w:r>
      <w:r w:rsidR="0007378E">
        <w:t xml:space="preserve">workers. </w:t>
      </w:r>
      <w:r w:rsidR="007F572C">
        <w:t xml:space="preserve">However, further investigation of additional sources </w:t>
      </w:r>
      <w:proofErr w:type="gramStart"/>
      <w:r w:rsidR="007F572C">
        <w:t>is recommended</w:t>
      </w:r>
      <w:proofErr w:type="gramEnd"/>
      <w:r w:rsidR="007F572C">
        <w:t>.</w:t>
      </w:r>
    </w:p>
    <w:p w14:paraId="48AF51C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8E1BD27" w14:textId="77777777" w:rsidR="00261E4B" w:rsidRDefault="00261E4B" w:rsidP="00261E4B">
      <w:r>
        <w:t>Not classified as a carcinogen according to the Globally Harmonized System of Classification and Labelling of Chemicals.</w:t>
      </w:r>
    </w:p>
    <w:p w14:paraId="572243EE" w14:textId="570C331A" w:rsidR="00261E4B" w:rsidRDefault="00261E4B" w:rsidP="00261E4B">
      <w:r>
        <w:t xml:space="preserve">Not classified as a skin </w:t>
      </w:r>
      <w:r w:rsidR="00946BFE">
        <w:t xml:space="preserve">sensitiser </w:t>
      </w:r>
      <w:r>
        <w:t>or respiratory sensitiser according to the GHS</w:t>
      </w:r>
    </w:p>
    <w:p w14:paraId="7267D8BC" w14:textId="2004B2E6" w:rsidR="000C2215" w:rsidRPr="004C23F4" w:rsidRDefault="000C2215" w:rsidP="000C2215">
      <w:pPr>
        <w:rPr>
          <w:rFonts w:cs="Arial"/>
        </w:rPr>
        <w:sectPr w:rsidR="000C2215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0C2215">
        <w:rPr>
          <w:rFonts w:cs="Arial"/>
        </w:rPr>
        <w:t xml:space="preserve">A skin notation </w:t>
      </w:r>
      <w:proofErr w:type="gramStart"/>
      <w:r w:rsidRPr="000C2215">
        <w:rPr>
          <w:rFonts w:cs="Arial"/>
        </w:rPr>
        <w:t xml:space="preserve">is not </w:t>
      </w:r>
      <w:r w:rsidR="00A67F07">
        <w:rPr>
          <w:rFonts w:cs="Arial"/>
        </w:rPr>
        <w:t>recommended</w:t>
      </w:r>
      <w:proofErr w:type="gramEnd"/>
      <w:r w:rsidR="00A67F07" w:rsidRPr="000C2215">
        <w:rPr>
          <w:rFonts w:cs="Arial"/>
        </w:rPr>
        <w:t xml:space="preserve"> </w:t>
      </w:r>
      <w:r w:rsidRPr="000C2215">
        <w:rPr>
          <w:rFonts w:cs="Arial"/>
        </w:rPr>
        <w:t>based on the available evidence.</w:t>
      </w:r>
    </w:p>
    <w:p w14:paraId="03C8143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DBB4BA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3325BDE" w14:textId="77777777" w:rsidTr="001C19D0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5532EA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95D36F3" w14:textId="77777777" w:rsidTr="001C19D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DFB364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A693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A6934">
                  <w:t>TWA: 5 mg/m</w:t>
                </w:r>
                <w:r w:rsidR="002A6934">
                  <w:rPr>
                    <w:vertAlign w:val="superscript"/>
                  </w:rPr>
                  <w:t>3</w:t>
                </w:r>
                <w:r w:rsidR="002A6934">
                  <w:t xml:space="preserve"> (Aluminium metal</w:t>
                </w:r>
                <w:r w:rsidR="00821D23">
                  <w:t>, aluminium pyro powder</w:t>
                </w:r>
                <w:r w:rsidR="002A6934">
                  <w:t xml:space="preserve">); </w:t>
                </w:r>
                <w:r w:rsidR="00387FA5">
                  <w:tab/>
                </w:r>
                <w:r w:rsidR="00387FA5">
                  <w:tab/>
                </w:r>
                <w:r w:rsidR="00387FA5">
                  <w:tab/>
                </w:r>
                <w:r w:rsidR="00387FA5">
                  <w:tab/>
                </w:r>
                <w:r w:rsidR="002A6934">
                  <w:t>TWA: 10 mg/m</w:t>
                </w:r>
                <w:r w:rsidR="002A6934">
                  <w:rPr>
                    <w:vertAlign w:val="superscript"/>
                  </w:rPr>
                  <w:t>3</w:t>
                </w:r>
                <w:r w:rsidR="000A6004">
                  <w:t xml:space="preserve"> (Aluminium welding fumes, </w:t>
                </w:r>
                <w:r w:rsidR="00074DD6">
                  <w:t>aluminium</w:t>
                </w:r>
                <w:r w:rsidR="00821D23">
                  <w:t xml:space="preserve"> </w:t>
                </w:r>
                <w:r w:rsidR="00074DD6">
                  <w:tab/>
                </w:r>
                <w:r w:rsidR="00074DD6">
                  <w:tab/>
                </w:r>
                <w:r w:rsidR="00074DD6">
                  <w:tab/>
                </w:r>
                <w:r w:rsidR="00074DD6">
                  <w:tab/>
                </w:r>
                <w:r w:rsidR="00821D23">
                  <w:t>oxide</w:t>
                </w:r>
                <w:r w:rsidR="002A6934">
                  <w:t>)</w:t>
                </w:r>
                <w:r w:rsidR="00821D23">
                  <w:t>;</w:t>
                </w:r>
                <w:r w:rsidR="00821D23">
                  <w:tab/>
                </w:r>
                <w:r w:rsidR="00821D23">
                  <w:tab/>
                </w:r>
                <w:r w:rsidR="00821D23">
                  <w:tab/>
                </w:r>
                <w:r w:rsidR="00821D23">
                  <w:tab/>
                </w:r>
                <w:r w:rsidR="00821D23">
                  <w:tab/>
                </w:r>
                <w:r w:rsidR="00821D23">
                  <w:tab/>
                </w:r>
                <w:r w:rsidR="00821D23">
                  <w:tab/>
                </w:r>
                <w:r w:rsidR="00821D23">
                  <w:tab/>
                </w:r>
                <w:r w:rsidR="00821D23">
                  <w:tab/>
                </w:r>
                <w:r w:rsidR="00074DD6">
                  <w:tab/>
                </w:r>
                <w:r w:rsidR="00074DD6">
                  <w:tab/>
                </w:r>
                <w:r w:rsidR="00821D23">
                  <w:t>TWA: 2 mg/m</w:t>
                </w:r>
                <w:r w:rsidR="00821D23">
                  <w:rPr>
                    <w:vertAlign w:val="superscript"/>
                  </w:rPr>
                  <w:t xml:space="preserve">3 </w:t>
                </w:r>
                <w:r w:rsidR="00821D23">
                  <w:t>(Aluminium soluble salt</w:t>
                </w:r>
                <w:r w:rsidR="00074DD6">
                  <w:t>s</w:t>
                </w:r>
                <w:r w:rsidR="000A6004">
                  <w:t xml:space="preserve">, </w:t>
                </w:r>
                <w:r w:rsidR="00074DD6">
                  <w:t>aluminium alkyls)</w:t>
                </w:r>
              </w:sdtContent>
            </w:sdt>
          </w:p>
        </w:tc>
      </w:tr>
      <w:tr w:rsidR="00C978F0" w:rsidRPr="00DA352E" w14:paraId="03866EC5" w14:textId="77777777" w:rsidTr="001C19D0">
        <w:trPr>
          <w:gridAfter w:val="1"/>
          <w:wAfter w:w="8" w:type="pct"/>
        </w:trPr>
        <w:tc>
          <w:tcPr>
            <w:tcW w:w="4992" w:type="pct"/>
          </w:tcPr>
          <w:p w14:paraId="1811F23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2FF71C8" w14:textId="77777777" w:rsidTr="001C19D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7542AE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459DE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459DE">
                  <w:t>TLV-TWA: 1 mg/m</w:t>
                </w:r>
                <w:r w:rsidR="007459D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0CF06A6" w14:textId="77777777" w:rsidTr="001C19D0">
        <w:trPr>
          <w:gridAfter w:val="1"/>
          <w:wAfter w:w="8" w:type="pct"/>
        </w:trPr>
        <w:tc>
          <w:tcPr>
            <w:tcW w:w="4992" w:type="pct"/>
          </w:tcPr>
          <w:p w14:paraId="2CBCDB87" w14:textId="215F45A3" w:rsidR="00C978F0" w:rsidRDefault="007459DE" w:rsidP="003365A5">
            <w:pPr>
              <w:pStyle w:val="Tabletextprimarysource"/>
            </w:pPr>
            <w:r>
              <w:t xml:space="preserve">TLV-TWA recommended for insoluble forms </w:t>
            </w:r>
            <w:r w:rsidR="00CB153B">
              <w:t>(</w:t>
            </w:r>
            <w:r w:rsidR="005C335F">
              <w:t>including aluminium metal, aluminium oxide, bauxite ore dust</w:t>
            </w:r>
            <w:r>
              <w:t xml:space="preserve"> and emery dust</w:t>
            </w:r>
            <w:r w:rsidR="00CB153B">
              <w:t xml:space="preserve">) and considered </w:t>
            </w:r>
            <w:r w:rsidR="000C2215">
              <w:t xml:space="preserve">sufficiently </w:t>
            </w:r>
            <w:r w:rsidR="00CB153B">
              <w:t>low to protect against pneumoconiosis</w:t>
            </w:r>
            <w:r w:rsidR="00A67F07">
              <w:t>,</w:t>
            </w:r>
            <w:r w:rsidR="00CB153B">
              <w:t xml:space="preserve"> lower respiratory tract irritation and neurotoxicity.</w:t>
            </w:r>
          </w:p>
          <w:p w14:paraId="171739F2" w14:textId="3E607E19" w:rsidR="003678A5" w:rsidRDefault="00CB153B" w:rsidP="003974B8">
            <w:pPr>
              <w:pStyle w:val="Tabletextprimarysource"/>
            </w:pPr>
            <w:r>
              <w:t>Summary of data:</w:t>
            </w:r>
          </w:p>
          <w:p w14:paraId="4D4DDE62" w14:textId="77777777" w:rsidR="00322437" w:rsidRDefault="00CB153B" w:rsidP="003365A5">
            <w:pPr>
              <w:pStyle w:val="Tabletextprimarysource"/>
            </w:pPr>
            <w:r>
              <w:t>Human data:</w:t>
            </w:r>
          </w:p>
          <w:p w14:paraId="5A5C5D2F" w14:textId="5EFF49AB" w:rsidR="00117073" w:rsidRDefault="00117073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Several studies </w:t>
            </w:r>
            <w:r w:rsidR="00B51BB6">
              <w:t xml:space="preserve">of workers </w:t>
            </w:r>
            <w:r>
              <w:t>reported</w:t>
            </w:r>
            <w:r w:rsidR="00FA2C26">
              <w:t xml:space="preserve"> respiratory effects</w:t>
            </w:r>
            <w:r w:rsidR="00A67F07">
              <w:t>; e</w:t>
            </w:r>
            <w:r w:rsidR="005B20BE">
              <w:t xml:space="preserve">ffects possibly </w:t>
            </w:r>
            <w:r w:rsidR="00FA2C26">
              <w:t>associated with</w:t>
            </w:r>
            <w:r w:rsidR="005B20BE">
              <w:t xml:space="preserve"> co-exposure to fluorides</w:t>
            </w:r>
          </w:p>
          <w:p w14:paraId="0BE2F443" w14:textId="7E5D868C" w:rsidR="00117073" w:rsidRDefault="007422F5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A study </w:t>
            </w:r>
            <w:r w:rsidR="000A6E37">
              <w:t>of</w:t>
            </w:r>
            <w:r>
              <w:t xml:space="preserve"> male </w:t>
            </w:r>
            <w:r w:rsidR="00A67F07">
              <w:t xml:space="preserve">Al </w:t>
            </w:r>
            <w:r>
              <w:t>product workers</w:t>
            </w:r>
            <w:r w:rsidR="000A6E37">
              <w:t xml:space="preserve"> (n=1,142)</w:t>
            </w:r>
            <w:r>
              <w:t xml:space="preserve"> concluded a slight reduction</w:t>
            </w:r>
            <w:r w:rsidR="00FA2C26">
              <w:t xml:space="preserve"> in </w:t>
            </w:r>
            <w:r>
              <w:t>pulmonary function</w:t>
            </w:r>
            <w:r w:rsidR="00FA2C26">
              <w:t xml:space="preserve"> </w:t>
            </w:r>
            <w:r w:rsidR="00763256">
              <w:t xml:space="preserve">likely </w:t>
            </w:r>
            <w:r w:rsidR="00FA2C26">
              <w:t>related to cumulative exposures of &gt;100</w:t>
            </w:r>
            <w:r w:rsidR="008B0FA1">
              <w:t> </w:t>
            </w:r>
            <w:r w:rsidR="00FA2C26">
              <w:t>mg/m</w:t>
            </w:r>
            <w:r w:rsidR="00FA2C26" w:rsidRPr="00741C8D">
              <w:rPr>
                <w:vertAlign w:val="superscript"/>
              </w:rPr>
              <w:t>3</w:t>
            </w:r>
            <w:r w:rsidR="00FA2C26">
              <w:t>.yr</w:t>
            </w:r>
            <w:r w:rsidR="00604C1B">
              <w:t xml:space="preserve"> (as total dust)</w:t>
            </w:r>
          </w:p>
          <w:p w14:paraId="6C891F2E" w14:textId="21DF80F9" w:rsidR="00FA2C26" w:rsidRDefault="00A67F07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>6</w:t>
            </w:r>
            <w:r w:rsidR="00F90FBA">
              <w:t xml:space="preserve"> new cases of asthma reported in </w:t>
            </w:r>
            <w:r>
              <w:t xml:space="preserve">Al </w:t>
            </w:r>
            <w:r w:rsidR="00F90FBA">
              <w:t>refinery w</w:t>
            </w:r>
            <w:r w:rsidR="00FA2C26">
              <w:t>orkers</w:t>
            </w:r>
            <w:r w:rsidR="00F90FBA">
              <w:t xml:space="preserve"> (no number </w:t>
            </w:r>
            <w:r w:rsidR="00F80FCC">
              <w:t xml:space="preserve">subjects </w:t>
            </w:r>
            <w:r w:rsidR="00F90FBA">
              <w:t>provided)</w:t>
            </w:r>
            <w:r w:rsidR="00FA2C26">
              <w:t xml:space="preserve"> exposed to </w:t>
            </w:r>
            <w:r w:rsidR="00F90FBA">
              <w:t>2.6</w:t>
            </w:r>
            <w:r w:rsidR="00EA70BC">
              <w:rPr>
                <w:rStyle w:val="checkbox"/>
                <w:rFonts w:ascii="Arial" w:hAnsi="Arial" w:cs="Arial"/>
              </w:rPr>
              <w:t>–</w:t>
            </w:r>
            <w:r w:rsidR="00F90FBA">
              <w:t>5.5 mg/m</w:t>
            </w:r>
            <w:r w:rsidR="00F90FBA" w:rsidRPr="00741C8D">
              <w:rPr>
                <w:vertAlign w:val="superscript"/>
              </w:rPr>
              <w:t>3</w:t>
            </w:r>
            <w:r w:rsidR="00F90FBA">
              <w:t xml:space="preserve"> </w:t>
            </w:r>
            <w:r w:rsidR="00C05339">
              <w:t xml:space="preserve">following an </w:t>
            </w:r>
            <w:r>
              <w:t>AlF</w:t>
            </w:r>
            <w:r w:rsidRPr="00B81E04">
              <w:rPr>
                <w:vertAlign w:val="subscript"/>
              </w:rPr>
              <w:t>3</w:t>
            </w:r>
            <w:r w:rsidR="00FA2C26">
              <w:t xml:space="preserve"> </w:t>
            </w:r>
            <w:r w:rsidR="00C05339">
              <w:t>leak (no duration specified)</w:t>
            </w:r>
            <w:r>
              <w:t>; s</w:t>
            </w:r>
            <w:r w:rsidR="00F90FBA">
              <w:t xml:space="preserve">harp decline in number of new asthma cases when concentrations </w:t>
            </w:r>
            <w:r w:rsidR="00C66D58">
              <w:t xml:space="preserve">were </w:t>
            </w:r>
            <w:r w:rsidR="00F90FBA">
              <w:t>reduced to 0.4</w:t>
            </w:r>
            <w:r w:rsidR="008B0FA1">
              <w:rPr>
                <w:rStyle w:val="checkbox"/>
                <w:rFonts w:ascii="Arial" w:hAnsi="Arial" w:cs="Arial"/>
              </w:rPr>
              <w:t>–</w:t>
            </w:r>
            <w:r w:rsidR="00F90FBA">
              <w:t>1.0</w:t>
            </w:r>
            <w:r w:rsidR="008B0FA1">
              <w:t> </w:t>
            </w:r>
            <w:r w:rsidR="00F90FBA">
              <w:t>mg/m</w:t>
            </w:r>
            <w:r w:rsidR="00F90FBA" w:rsidRPr="00400E45">
              <w:rPr>
                <w:vertAlign w:val="superscript"/>
              </w:rPr>
              <w:t>3</w:t>
            </w:r>
          </w:p>
          <w:p w14:paraId="687CECDA" w14:textId="68C67738" w:rsidR="00A67F07" w:rsidRDefault="00073860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A study of employees of </w:t>
            </w:r>
            <w:r w:rsidR="00FC3C3A">
              <w:t xml:space="preserve">3 </w:t>
            </w:r>
            <w:r w:rsidR="00A67F07">
              <w:t>Al</w:t>
            </w:r>
            <w:r w:rsidR="00A67F07" w:rsidRPr="00B81E04">
              <w:rPr>
                <w:vertAlign w:val="subscript"/>
              </w:rPr>
              <w:t>2</w:t>
            </w:r>
            <w:r w:rsidR="00A67F07">
              <w:t>O</w:t>
            </w:r>
            <w:r w:rsidR="00A67F07" w:rsidRPr="00B81E04">
              <w:rPr>
                <w:vertAlign w:val="subscript"/>
              </w:rPr>
              <w:t>3</w:t>
            </w:r>
            <w:r w:rsidR="00A67F07">
              <w:t xml:space="preserve"> </w:t>
            </w:r>
            <w:r>
              <w:t xml:space="preserve">refineries exposed to </w:t>
            </w:r>
            <w:r w:rsidR="008B0FA1">
              <w:t>0.98</w:t>
            </w:r>
            <w:r w:rsidR="008B0FA1">
              <w:rPr>
                <w:rStyle w:val="checkbox"/>
                <w:rFonts w:ascii="Arial" w:hAnsi="Arial" w:cs="Arial"/>
              </w:rPr>
              <w:t>–</w:t>
            </w:r>
            <w:r w:rsidR="008B0FA1">
              <w:t>2.18 mg/m</w:t>
            </w:r>
            <w:r w:rsidR="008B0FA1" w:rsidRPr="00400E45">
              <w:rPr>
                <w:vertAlign w:val="superscript"/>
              </w:rPr>
              <w:t>3</w:t>
            </w:r>
            <w:r w:rsidR="005B20BE">
              <w:rPr>
                <w:vertAlign w:val="superscript"/>
              </w:rPr>
              <w:t xml:space="preserve"> </w:t>
            </w:r>
            <w:r w:rsidR="00A67F07">
              <w:t>Al</w:t>
            </w:r>
            <w:r w:rsidR="00A67F07" w:rsidRPr="00492730">
              <w:rPr>
                <w:vertAlign w:val="subscript"/>
              </w:rPr>
              <w:t>2</w:t>
            </w:r>
            <w:r w:rsidR="00A67F07">
              <w:t>O</w:t>
            </w:r>
            <w:r w:rsidR="00A67F07" w:rsidRPr="00492730">
              <w:rPr>
                <w:vertAlign w:val="subscript"/>
              </w:rPr>
              <w:t>3</w:t>
            </w:r>
            <w:r w:rsidR="008B0FA1">
              <w:t xml:space="preserve"> (</w:t>
            </w:r>
            <w:r>
              <w:t>4</w:t>
            </w:r>
            <w:r w:rsidR="008B0FA1">
              <w:t xml:space="preserve"> </w:t>
            </w:r>
            <w:r w:rsidR="00400E45">
              <w:t>h</w:t>
            </w:r>
            <w:r>
              <w:t xml:space="preserve"> weighted average</w:t>
            </w:r>
            <w:r w:rsidR="008B0FA1">
              <w:t>)</w:t>
            </w:r>
            <w:r>
              <w:t xml:space="preserve"> reported no associated significant adverse respiratory effects</w:t>
            </w:r>
          </w:p>
          <w:p w14:paraId="645CDCD9" w14:textId="2EAA6F59" w:rsidR="00073860" w:rsidRDefault="00A67F07" w:rsidP="00B81E04">
            <w:pPr>
              <w:pStyle w:val="ListBullet"/>
              <w:numPr>
                <w:ilvl w:val="0"/>
                <w:numId w:val="14"/>
              </w:numPr>
              <w:spacing w:before="0" w:after="80"/>
              <w:ind w:left="1298"/>
              <w:contextualSpacing w:val="0"/>
            </w:pPr>
            <w:r>
              <w:t>c</w:t>
            </w:r>
            <w:r w:rsidR="00073860">
              <w:t>hanges in pulmonary function</w:t>
            </w:r>
            <w:r w:rsidR="00A45170">
              <w:t xml:space="preserve"> (not clinically significant)</w:t>
            </w:r>
            <w:r w:rsidR="00073860">
              <w:t xml:space="preserve"> a </w:t>
            </w:r>
            <w:r w:rsidR="008B0FA1">
              <w:t xml:space="preserve">likely </w:t>
            </w:r>
            <w:r w:rsidR="00073860">
              <w:t>result of exposure to irritants</w:t>
            </w:r>
          </w:p>
          <w:p w14:paraId="267E478A" w14:textId="315D4C6E" w:rsidR="003B7F0A" w:rsidRPr="003B7F0A" w:rsidRDefault="003B7F0A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 w:rsidRPr="003B7F0A">
              <w:t>Case report of death</w:t>
            </w:r>
            <w:r w:rsidR="00CF531E">
              <w:t xml:space="preserve"> of </w:t>
            </w:r>
            <w:r w:rsidR="00FC3C3A">
              <w:t xml:space="preserve">2 </w:t>
            </w:r>
            <w:r w:rsidR="00CF531E">
              <w:t>workers</w:t>
            </w:r>
            <w:r w:rsidR="005B20BE">
              <w:t xml:space="preserve">, </w:t>
            </w:r>
            <w:r w:rsidR="00A67F07">
              <w:t>1</w:t>
            </w:r>
            <w:r w:rsidRPr="003B7F0A">
              <w:t xml:space="preserve"> </w:t>
            </w:r>
            <w:r w:rsidR="00CF531E">
              <w:t>exposed</w:t>
            </w:r>
            <w:r w:rsidR="00CF531E" w:rsidRPr="003B7F0A">
              <w:t xml:space="preserve"> to</w:t>
            </w:r>
            <w:r w:rsidR="00931526">
              <w:t xml:space="preserve"> concentrations up to 615</w:t>
            </w:r>
            <w:r w:rsidR="00EA70BC">
              <w:rPr>
                <w:rStyle w:val="checkbox"/>
                <w:rFonts w:ascii="Arial" w:hAnsi="Arial" w:cs="Arial"/>
              </w:rPr>
              <w:t>–</w:t>
            </w:r>
            <w:r w:rsidR="00CF531E">
              <w:t>685 mg/m</w:t>
            </w:r>
            <w:r w:rsidR="00CF531E">
              <w:rPr>
                <w:vertAlign w:val="superscript"/>
              </w:rPr>
              <w:t>3</w:t>
            </w:r>
            <w:r w:rsidR="00CF531E">
              <w:t xml:space="preserve"> (total dust</w:t>
            </w:r>
            <w:r w:rsidR="00A67F07">
              <w:t xml:space="preserve">; </w:t>
            </w:r>
            <w:r w:rsidR="00CF531E" w:rsidRPr="003B7F0A">
              <w:t>51 mg/m</w:t>
            </w:r>
            <w:r w:rsidR="00CF531E" w:rsidRPr="003B7F0A">
              <w:rPr>
                <w:vertAlign w:val="superscript"/>
              </w:rPr>
              <w:t>3</w:t>
            </w:r>
            <w:r w:rsidR="00CF531E" w:rsidRPr="003B7F0A">
              <w:t xml:space="preserve"> </w:t>
            </w:r>
            <w:proofErr w:type="spellStart"/>
            <w:r w:rsidR="00CF531E">
              <w:t>respirable</w:t>
            </w:r>
            <w:proofErr w:type="spellEnd"/>
            <w:r w:rsidR="00CF531E">
              <w:t xml:space="preserve"> dust)</w:t>
            </w:r>
            <w:r w:rsidR="00CF531E" w:rsidRPr="003B7F0A">
              <w:t xml:space="preserve"> powdered metallic </w:t>
            </w:r>
            <w:r w:rsidR="00A67F07">
              <w:t>Al</w:t>
            </w:r>
            <w:r w:rsidR="00A67F07" w:rsidRPr="003B7F0A">
              <w:t xml:space="preserve"> </w:t>
            </w:r>
            <w:r w:rsidR="00CF531E" w:rsidRPr="003B7F0A">
              <w:t>(81% metal and 17% oxide)</w:t>
            </w:r>
            <w:r w:rsidR="00CF531E">
              <w:t>;</w:t>
            </w:r>
            <w:r w:rsidR="00CF531E" w:rsidRPr="003B7F0A">
              <w:t xml:space="preserve"> </w:t>
            </w:r>
            <w:r w:rsidR="00A67F07">
              <w:t>1</w:t>
            </w:r>
            <w:r w:rsidR="00FB1214">
              <w:t> </w:t>
            </w:r>
            <w:r w:rsidR="00CF531E">
              <w:t>worker showed</w:t>
            </w:r>
            <w:r w:rsidRPr="003B7F0A">
              <w:t xml:space="preserve"> signs of pulmonary interstitial fibrosis</w:t>
            </w:r>
            <w:r w:rsidR="00CF531E">
              <w:t xml:space="preserve"> after 2 </w:t>
            </w:r>
            <w:proofErr w:type="spellStart"/>
            <w:r w:rsidR="00400E45">
              <w:t>yr</w:t>
            </w:r>
            <w:proofErr w:type="spellEnd"/>
            <w:r w:rsidR="00A0704B">
              <w:t xml:space="preserve">; </w:t>
            </w:r>
            <w:r w:rsidR="00FC3C3A">
              <w:t xml:space="preserve">4 </w:t>
            </w:r>
            <w:r w:rsidR="00A0704B">
              <w:t>other</w:t>
            </w:r>
            <w:r w:rsidR="00A67F07">
              <w:t>s</w:t>
            </w:r>
            <w:r w:rsidR="00A0704B">
              <w:t xml:space="preserve"> showed signs of nodular interstitial fibrosis</w:t>
            </w:r>
            <w:r w:rsidR="00CF531E">
              <w:t xml:space="preserve"> </w:t>
            </w:r>
            <w:r w:rsidRPr="003B7F0A">
              <w:t>(no further information)</w:t>
            </w:r>
          </w:p>
          <w:p w14:paraId="558B4376" w14:textId="347B74AB" w:rsidR="00887AAD" w:rsidRDefault="00887AAD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Case report of </w:t>
            </w:r>
            <w:r w:rsidR="00766C76">
              <w:t xml:space="preserve">worker </w:t>
            </w:r>
            <w:r>
              <w:t xml:space="preserve">death exposed to </w:t>
            </w:r>
            <w:r w:rsidR="00703024">
              <w:t>metal</w:t>
            </w:r>
            <w:r>
              <w:t xml:space="preserve"> flake powder following pulmonary fibrosis</w:t>
            </w:r>
            <w:r w:rsidR="005C335F">
              <w:t>, encephalopathy, seizures</w:t>
            </w:r>
            <w:r w:rsidR="009D7730">
              <w:t xml:space="preserve"> and neurological symptoms (no further information)</w:t>
            </w:r>
          </w:p>
          <w:p w14:paraId="5AA7E6E6" w14:textId="1B4A3312" w:rsidR="009D7730" w:rsidRDefault="00C47456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Increased </w:t>
            </w:r>
            <w:r w:rsidR="00A0704B">
              <w:t xml:space="preserve">prevalence of </w:t>
            </w:r>
            <w:r>
              <w:t>neurological effects reported at a body burden equivalent to breathing 1.6</w:t>
            </w:r>
            <w:r w:rsidR="00C03E4B">
              <w:t> </w:t>
            </w:r>
            <w:r>
              <w:t>mg/m</w:t>
            </w:r>
            <w:r>
              <w:rPr>
                <w:vertAlign w:val="superscript"/>
              </w:rPr>
              <w:t xml:space="preserve">3 </w:t>
            </w:r>
            <w:r>
              <w:t xml:space="preserve">for 40 </w:t>
            </w:r>
            <w:proofErr w:type="spellStart"/>
            <w:r w:rsidR="00766C76">
              <w:t>yr</w:t>
            </w:r>
            <w:proofErr w:type="spellEnd"/>
            <w:r w:rsidR="0007378E">
              <w:t xml:space="preserve"> </w:t>
            </w:r>
            <w:r w:rsidR="005C335F">
              <w:t>(</w:t>
            </w:r>
            <w:r w:rsidR="0007378E">
              <w:t>insoluble form</w:t>
            </w:r>
            <w:r w:rsidR="005C335F">
              <w:t>)</w:t>
            </w:r>
            <w:r w:rsidR="00496DEF">
              <w:t xml:space="preserve">; corresponds to a urinary aluminium level of 100 </w:t>
            </w:r>
            <w:r w:rsidR="00496DEF" w:rsidRPr="00010001">
              <w:rPr>
                <w:rFonts w:cs="Arial"/>
              </w:rPr>
              <w:t>µ</w:t>
            </w:r>
            <w:r w:rsidR="00496DEF">
              <w:t>g/L and represent</w:t>
            </w:r>
            <w:r w:rsidR="00C747C0">
              <w:t>s</w:t>
            </w:r>
            <w:r w:rsidR="00496DEF">
              <w:t xml:space="preserve"> a threshold for neurological effects</w:t>
            </w:r>
          </w:p>
          <w:p w14:paraId="70EFFC91" w14:textId="6349DE3E" w:rsidR="00A45170" w:rsidRDefault="004500A3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Al not considered </w:t>
            </w:r>
            <w:proofErr w:type="gramStart"/>
            <w:r>
              <w:t>to be</w:t>
            </w:r>
            <w:proofErr w:type="gramEnd"/>
            <w:r>
              <w:t xml:space="preserve"> a causal factor in </w:t>
            </w:r>
            <w:r w:rsidR="00A45170">
              <w:t>Alzheimer’</w:t>
            </w:r>
            <w:r>
              <w:t>s disease</w:t>
            </w:r>
            <w:r w:rsidR="00C03E4B">
              <w:t>.</w:t>
            </w:r>
          </w:p>
          <w:p w14:paraId="4B3B65DE" w14:textId="77777777" w:rsidR="00946BFE" w:rsidRDefault="00946BFE" w:rsidP="00C05339">
            <w:pPr>
              <w:pStyle w:val="ListBullet"/>
              <w:numPr>
                <w:ilvl w:val="0"/>
                <w:numId w:val="0"/>
              </w:numPr>
              <w:ind w:left="873"/>
            </w:pPr>
          </w:p>
          <w:p w14:paraId="7651E802" w14:textId="77777777" w:rsidR="00C47456" w:rsidRDefault="00FF4428" w:rsidP="00C47456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3F3E887E" w14:textId="23DFD8E7" w:rsidR="00FF4428" w:rsidRDefault="00FF4428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>NOAEL: 2.45 mg/m</w:t>
            </w:r>
            <w:r>
              <w:rPr>
                <w:vertAlign w:val="superscript"/>
              </w:rPr>
              <w:t xml:space="preserve">3 </w:t>
            </w:r>
            <w:r w:rsidR="00FB1214">
              <w:t>Al</w:t>
            </w:r>
            <w:r w:rsidR="00FB1214" w:rsidRPr="00492730">
              <w:rPr>
                <w:vertAlign w:val="subscript"/>
              </w:rPr>
              <w:t>2</w:t>
            </w:r>
            <w:r w:rsidR="00FB1214">
              <w:t>O</w:t>
            </w:r>
            <w:r w:rsidR="00FB1214" w:rsidRPr="00492730">
              <w:rPr>
                <w:vertAlign w:val="subscript"/>
              </w:rPr>
              <w:t>3</w:t>
            </w:r>
            <w:r w:rsidR="00FB1214" w:rsidDel="00FB1214">
              <w:t xml:space="preserve"> </w:t>
            </w:r>
            <w:r>
              <w:t>(</w:t>
            </w:r>
            <w:r w:rsidR="00EA70BC">
              <w:t xml:space="preserve">rats, </w:t>
            </w:r>
            <w:r>
              <w:t>fibrosis</w:t>
            </w:r>
            <w:r w:rsidR="00A82FC1">
              <w:t>/</w:t>
            </w:r>
            <w:proofErr w:type="spellStart"/>
            <w:r w:rsidR="00A82FC1">
              <w:t>aluminosis</w:t>
            </w:r>
            <w:proofErr w:type="spellEnd"/>
            <w:r>
              <w:t>)</w:t>
            </w:r>
          </w:p>
          <w:p w14:paraId="5D0715AD" w14:textId="77777777" w:rsidR="00FF4428" w:rsidRDefault="00FF4428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>Minor respiratory effects in rats at 2.5 mg/m</w:t>
            </w:r>
            <w:r>
              <w:rPr>
                <w:vertAlign w:val="superscript"/>
              </w:rPr>
              <w:t xml:space="preserve">3 </w:t>
            </w:r>
            <w:r>
              <w:t>(insoluble forms)</w:t>
            </w:r>
          </w:p>
          <w:p w14:paraId="73D767C2" w14:textId="5D90CA5E" w:rsidR="00FF4428" w:rsidRDefault="00B73C67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>E</w:t>
            </w:r>
            <w:r w:rsidR="007800B1">
              <w:t>vidence suggests h</w:t>
            </w:r>
            <w:r w:rsidR="00FF4428">
              <w:t>igh oral doses</w:t>
            </w:r>
            <w:r w:rsidR="00A0704B">
              <w:t xml:space="preserve"> of soluble </w:t>
            </w:r>
            <w:r w:rsidR="00FB1214">
              <w:t xml:space="preserve">Al </w:t>
            </w:r>
            <w:r w:rsidR="00A0704B">
              <w:t>compounds</w:t>
            </w:r>
            <w:r w:rsidR="00FF4428">
              <w:t xml:space="preserve"> may be </w:t>
            </w:r>
            <w:r w:rsidR="007800B1">
              <w:t>associated with</w:t>
            </w:r>
            <w:r w:rsidR="00FF4428">
              <w:t xml:space="preserve"> maternal and foetal toxicity</w:t>
            </w:r>
            <w:r w:rsidR="00C03E4B">
              <w:t>.</w:t>
            </w:r>
          </w:p>
          <w:p w14:paraId="29B47C7B" w14:textId="046AFE59" w:rsidR="00B73C67" w:rsidRDefault="00B73C67" w:rsidP="002F14F8">
            <w:pPr>
              <w:pStyle w:val="ListBullet"/>
              <w:numPr>
                <w:ilvl w:val="0"/>
                <w:numId w:val="0"/>
              </w:numPr>
            </w:pPr>
          </w:p>
          <w:p w14:paraId="0C185008" w14:textId="77777777" w:rsidR="00322437" w:rsidRDefault="00322437" w:rsidP="00B81E04">
            <w:pPr>
              <w:pStyle w:val="ListBullet"/>
              <w:numPr>
                <w:ilvl w:val="0"/>
                <w:numId w:val="0"/>
              </w:numPr>
              <w:spacing w:before="0" w:after="80"/>
              <w:contextualSpacing w:val="0"/>
            </w:pPr>
            <w:r>
              <w:t xml:space="preserve">Insoluble forms </w:t>
            </w:r>
            <w:r w:rsidRPr="00322437">
              <w:t xml:space="preserve">poorly absorbed and readily cleared from the lungs by </w:t>
            </w:r>
            <w:proofErr w:type="spellStart"/>
            <w:r w:rsidRPr="00322437">
              <w:t>mucociliary</w:t>
            </w:r>
            <w:proofErr w:type="spellEnd"/>
            <w:r w:rsidRPr="00322437">
              <w:t xml:space="preserve"> and </w:t>
            </w:r>
            <w:proofErr w:type="spellStart"/>
            <w:r w:rsidRPr="00322437">
              <w:t>bronchoalveolar</w:t>
            </w:r>
            <w:proofErr w:type="spellEnd"/>
            <w:r w:rsidRPr="00322437">
              <w:t xml:space="preserve"> </w:t>
            </w:r>
            <w:r>
              <w:t>activity</w:t>
            </w:r>
            <w:r w:rsidR="00B73C67">
              <w:t>.</w:t>
            </w:r>
          </w:p>
          <w:p w14:paraId="32373EAC" w14:textId="77777777" w:rsidR="00C747C0" w:rsidRDefault="002F14F8" w:rsidP="003974B8">
            <w:pPr>
              <w:pStyle w:val="ListBullet"/>
              <w:numPr>
                <w:ilvl w:val="0"/>
                <w:numId w:val="0"/>
              </w:numPr>
            </w:pPr>
            <w:r>
              <w:t xml:space="preserve">Toxicological data for the soluble compounds, alkyl compounds, and for metal flakes and powder coated with </w:t>
            </w:r>
            <w:proofErr w:type="gramStart"/>
            <w:r>
              <w:t>oxidation inhibited</w:t>
            </w:r>
            <w:proofErr w:type="gramEnd"/>
            <w:r>
              <w:t xml:space="preserve"> oils were considered inadequate.</w:t>
            </w:r>
          </w:p>
          <w:p w14:paraId="19AB6B87" w14:textId="77777777" w:rsidR="00C747C0" w:rsidRDefault="00C747C0" w:rsidP="003974B8">
            <w:pPr>
              <w:pStyle w:val="ListBullet"/>
              <w:numPr>
                <w:ilvl w:val="0"/>
                <w:numId w:val="0"/>
              </w:numPr>
            </w:pPr>
          </w:p>
          <w:p w14:paraId="284DDD43" w14:textId="4A1E25FE" w:rsidR="00C747C0" w:rsidRDefault="00395EAD" w:rsidP="003974B8">
            <w:pPr>
              <w:pStyle w:val="ListBullet"/>
              <w:numPr>
                <w:ilvl w:val="0"/>
                <w:numId w:val="0"/>
              </w:numPr>
            </w:pPr>
            <w:r>
              <w:lastRenderedPageBreak/>
              <w:t xml:space="preserve">TLV-TWA of </w:t>
            </w:r>
            <w:r w:rsidR="00C747C0">
              <w:t>1 mg/m</w:t>
            </w:r>
            <w:r w:rsidR="00C747C0" w:rsidRPr="00C747C0">
              <w:rPr>
                <w:vertAlign w:val="superscript"/>
              </w:rPr>
              <w:t>3</w:t>
            </w:r>
            <w:r w:rsidR="00C747C0">
              <w:t xml:space="preserve"> </w:t>
            </w:r>
            <w:proofErr w:type="gramStart"/>
            <w:r w:rsidR="00C747C0">
              <w:t xml:space="preserve">is </w:t>
            </w:r>
            <w:r w:rsidR="004D5DC7">
              <w:t>recommended</w:t>
            </w:r>
            <w:proofErr w:type="gramEnd"/>
            <w:r w:rsidR="004D5DC7">
              <w:t xml:space="preserve"> based on the neurological effects from the inhalational of 1.6 mg/m</w:t>
            </w:r>
            <w:r w:rsidR="004D5DC7">
              <w:rPr>
                <w:vertAlign w:val="superscript"/>
              </w:rPr>
              <w:t xml:space="preserve">3 </w:t>
            </w:r>
            <w:r w:rsidR="004D5DC7">
              <w:t xml:space="preserve">for 40 </w:t>
            </w:r>
            <w:proofErr w:type="spellStart"/>
            <w:r w:rsidR="004D5DC7">
              <w:t>yr</w:t>
            </w:r>
            <w:proofErr w:type="spellEnd"/>
            <w:r w:rsidR="004D5DC7">
              <w:t xml:space="preserve">, considering all </w:t>
            </w:r>
            <w:r w:rsidR="00C747C0">
              <w:t>available animal and human data.</w:t>
            </w:r>
          </w:p>
          <w:p w14:paraId="1BC2F21D" w14:textId="7476577F" w:rsidR="00C03E4B" w:rsidRPr="00DA352E" w:rsidRDefault="00C03E4B" w:rsidP="002F14F8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2040BFF5" w14:textId="77777777" w:rsidTr="001C19D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13EC60D" w14:textId="45AD1AB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D2CAF">
                  <w:t>20</w:t>
                </w:r>
                <w:r w:rsidR="002F14F8">
                  <w:t>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C335F">
                  <w:t>MAK</w:t>
                </w:r>
                <w:r w:rsidR="002D2CAF">
                  <w:t>: 1.5 mg/m</w:t>
                </w:r>
                <w:r w:rsidR="002D2CAF">
                  <w:rPr>
                    <w:vertAlign w:val="superscript"/>
                  </w:rPr>
                  <w:t>3</w:t>
                </w:r>
                <w:r w:rsidR="00D8694E">
                  <w:rPr>
                    <w:vertAlign w:val="superscript"/>
                  </w:rPr>
                  <w:t xml:space="preserve"> </w:t>
                </w:r>
                <w:r w:rsidR="002D2CAF">
                  <w:t>(</w:t>
                </w:r>
                <w:proofErr w:type="spellStart"/>
                <w:r w:rsidR="002D2CAF">
                  <w:t>respirable</w:t>
                </w:r>
                <w:proofErr w:type="spellEnd"/>
                <w:r w:rsidR="002D2CAF">
                  <w:t>); 4 mg/m</w:t>
                </w:r>
                <w:r w:rsidR="002D2CAF">
                  <w:rPr>
                    <w:vertAlign w:val="superscript"/>
                  </w:rPr>
                  <w:t>3</w:t>
                </w:r>
                <w:r w:rsidR="00D8694E">
                  <w:rPr>
                    <w:vertAlign w:val="superscript"/>
                  </w:rPr>
                  <w:t xml:space="preserve"> </w:t>
                </w:r>
                <w:r w:rsidR="002D2CAF">
                  <w:t>(inhalable)</w:t>
                </w:r>
              </w:sdtContent>
            </w:sdt>
          </w:p>
        </w:tc>
      </w:tr>
      <w:tr w:rsidR="00C978F0" w:rsidRPr="00DA352E" w14:paraId="2E2F03BE" w14:textId="77777777" w:rsidTr="001C19D0">
        <w:trPr>
          <w:gridAfter w:val="1"/>
          <w:wAfter w:w="8" w:type="pct"/>
        </w:trPr>
        <w:tc>
          <w:tcPr>
            <w:tcW w:w="4992" w:type="pct"/>
          </w:tcPr>
          <w:p w14:paraId="488B6475" w14:textId="08D329F8" w:rsidR="00FB1214" w:rsidRDefault="005C335F" w:rsidP="003365A5">
            <w:pPr>
              <w:pStyle w:val="Tabletextprimarysource"/>
            </w:pPr>
            <w:r>
              <w:t>MAK</w:t>
            </w:r>
            <w:r w:rsidR="002F14F8">
              <w:t xml:space="preserve"> recommended for dusts containing </w:t>
            </w:r>
            <w:r w:rsidR="00FB1214">
              <w:t xml:space="preserve">Al </w:t>
            </w:r>
            <w:r w:rsidR="002F14F8">
              <w:t xml:space="preserve">metal, oxide or hydroxide and is considered protective of effects </w:t>
            </w:r>
            <w:r w:rsidR="00733FC3">
              <w:t xml:space="preserve">in the lungs and </w:t>
            </w:r>
            <w:r w:rsidR="00B73C67">
              <w:t>CNS</w:t>
            </w:r>
            <w:r w:rsidR="00733FC3">
              <w:t xml:space="preserve"> (excl</w:t>
            </w:r>
            <w:r w:rsidR="0018311F">
              <w:t xml:space="preserve">udes ultrafine particles, which </w:t>
            </w:r>
            <w:r w:rsidR="00733FC3">
              <w:t xml:space="preserve">can occur during </w:t>
            </w:r>
            <w:r w:rsidR="00FB1214">
              <w:t xml:space="preserve">Al </w:t>
            </w:r>
            <w:r w:rsidR="0018311F">
              <w:t>welding</w:t>
            </w:r>
            <w:r w:rsidR="00733FC3">
              <w:t>)</w:t>
            </w:r>
            <w:r w:rsidR="0018311F">
              <w:t>.</w:t>
            </w:r>
          </w:p>
          <w:p w14:paraId="77A12010" w14:textId="695A4EBC" w:rsidR="00CD3325" w:rsidRDefault="00CD3325" w:rsidP="003365A5">
            <w:pPr>
              <w:pStyle w:val="Tabletextprimarysource"/>
            </w:pPr>
            <w:r>
              <w:t>Summary of additional data:</w:t>
            </w:r>
          </w:p>
          <w:p w14:paraId="7B57EF15" w14:textId="77777777" w:rsidR="007A349F" w:rsidRDefault="007A349F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Soluble salts </w:t>
            </w:r>
            <w:r w:rsidRPr="007A349F">
              <w:t xml:space="preserve">have a </w:t>
            </w:r>
            <w:r>
              <w:t>markedly higher bioavailability than insoluble forms</w:t>
            </w:r>
          </w:p>
          <w:p w14:paraId="777C00C5" w14:textId="77777777" w:rsidR="00912F4F" w:rsidRDefault="00912F4F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NOAEL </w:t>
            </w:r>
            <w:r w:rsidR="00B73C67">
              <w:t xml:space="preserve">data </w:t>
            </w:r>
            <w:r>
              <w:t>in humans inadequate</w:t>
            </w:r>
          </w:p>
          <w:p w14:paraId="25F5E578" w14:textId="4966FCC9" w:rsidR="00912F4F" w:rsidRDefault="00010001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High </w:t>
            </w:r>
            <w:r w:rsidR="00FB1214">
              <w:t xml:space="preserve">Al </w:t>
            </w:r>
            <w:r>
              <w:t xml:space="preserve">concentrations in workplace air caused lung fibrosis and </w:t>
            </w:r>
            <w:proofErr w:type="spellStart"/>
            <w:r>
              <w:t>aluminosis</w:t>
            </w:r>
            <w:proofErr w:type="spellEnd"/>
            <w:r>
              <w:t xml:space="preserve">. </w:t>
            </w:r>
            <w:r w:rsidR="00912F4F">
              <w:t>(no further information)</w:t>
            </w:r>
            <w:r>
              <w:t xml:space="preserve">; </w:t>
            </w:r>
            <w:r w:rsidR="00FB1214">
              <w:t xml:space="preserve">Al </w:t>
            </w:r>
            <w:r>
              <w:t>concentration in urine in such situations reported</w:t>
            </w:r>
            <w:r w:rsidR="00FB1214">
              <w:t xml:space="preserve"> &gt;</w:t>
            </w:r>
            <w:r w:rsidR="00912F4F">
              <w:t xml:space="preserve">200 </w:t>
            </w:r>
            <w:r w:rsidR="00912F4F" w:rsidRPr="00010001">
              <w:rPr>
                <w:rFonts w:cs="Arial"/>
              </w:rPr>
              <w:t>µ</w:t>
            </w:r>
            <w:r w:rsidR="00912F4F">
              <w:t>g/</w:t>
            </w:r>
            <w:r>
              <w:t>L (BAT value)</w:t>
            </w:r>
          </w:p>
          <w:p w14:paraId="6570FF16" w14:textId="6480E4D6" w:rsidR="00912F4F" w:rsidRDefault="00B73C67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>C</w:t>
            </w:r>
            <w:r w:rsidR="00912F4F">
              <w:t xml:space="preserve">oncentrations in urine &gt;200 </w:t>
            </w:r>
            <w:r w:rsidR="00912F4F">
              <w:rPr>
                <w:rFonts w:cs="Arial"/>
              </w:rPr>
              <w:t>µ</w:t>
            </w:r>
            <w:r w:rsidR="00912F4F">
              <w:t xml:space="preserve">g/L associated with a significant increase </w:t>
            </w:r>
            <w:r w:rsidR="003E2DA9">
              <w:t xml:space="preserve">in </w:t>
            </w:r>
            <w:proofErr w:type="spellStart"/>
            <w:r w:rsidR="003E2DA9">
              <w:t>aluminosis</w:t>
            </w:r>
            <w:proofErr w:type="spellEnd"/>
          </w:p>
          <w:p w14:paraId="4D028FDE" w14:textId="77777777" w:rsidR="002F14F8" w:rsidRDefault="00703024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>N</w:t>
            </w:r>
            <w:r w:rsidR="00D8694E" w:rsidRPr="00D8694E">
              <w:t>ot found to be mutagenic in bacterial and in mammalian cell tests</w:t>
            </w:r>
            <w:r w:rsidR="00941E36">
              <w:t>.</w:t>
            </w:r>
          </w:p>
          <w:p w14:paraId="3AF6EEAC" w14:textId="697BCA08" w:rsidR="008313C7" w:rsidRPr="00DA352E" w:rsidRDefault="008313C7" w:rsidP="008313C7">
            <w:pPr>
              <w:pStyle w:val="ListBullet"/>
              <w:numPr>
                <w:ilvl w:val="0"/>
                <w:numId w:val="0"/>
              </w:numPr>
              <w:ind w:left="873"/>
            </w:pPr>
          </w:p>
        </w:tc>
      </w:tr>
      <w:tr w:rsidR="00C978F0" w:rsidRPr="00DA352E" w14:paraId="4EFEC628" w14:textId="77777777" w:rsidTr="001C19D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CAF5FE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72C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8694E">
                  <w:t>NA</w:t>
                </w:r>
                <w:proofErr w:type="spellEnd"/>
              </w:sdtContent>
            </w:sdt>
          </w:p>
        </w:tc>
      </w:tr>
      <w:tr w:rsidR="00C978F0" w:rsidRPr="00DA352E" w14:paraId="16D049F4" w14:textId="77777777" w:rsidTr="001C19D0">
        <w:trPr>
          <w:gridAfter w:val="1"/>
          <w:wAfter w:w="8" w:type="pct"/>
        </w:trPr>
        <w:tc>
          <w:tcPr>
            <w:tcW w:w="4992" w:type="pct"/>
          </w:tcPr>
          <w:p w14:paraId="1F04D0F0" w14:textId="77777777" w:rsidR="00174003" w:rsidRPr="00DA352E" w:rsidRDefault="00972CC0" w:rsidP="00972CC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No report</w:t>
            </w:r>
          </w:p>
        </w:tc>
      </w:tr>
      <w:tr w:rsidR="00DA352E" w:rsidRPr="00DA352E" w14:paraId="7194800B" w14:textId="77777777" w:rsidTr="001C19D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FB1C30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72C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72CC0">
                  <w:t>NA</w:t>
                </w:r>
                <w:proofErr w:type="spellEnd"/>
              </w:sdtContent>
            </w:sdt>
          </w:p>
        </w:tc>
      </w:tr>
      <w:tr w:rsidR="00DA352E" w:rsidRPr="00DA352E" w14:paraId="6A5A38C2" w14:textId="77777777" w:rsidTr="001C19D0">
        <w:trPr>
          <w:gridAfter w:val="1"/>
          <w:wAfter w:w="8" w:type="pct"/>
        </w:trPr>
        <w:tc>
          <w:tcPr>
            <w:tcW w:w="4992" w:type="pct"/>
          </w:tcPr>
          <w:p w14:paraId="69011A48" w14:textId="77777777" w:rsidR="00DA352E" w:rsidRPr="00DA352E" w:rsidRDefault="00972CC0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CAE025C" w14:textId="77777777" w:rsidTr="001C19D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2406D4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A6934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r w:rsidR="0012480E">
              <w:t xml:space="preserve"> </w:t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D313B">
                  <w:t>NA</w:t>
                </w:r>
              </w:sdtContent>
            </w:sdt>
          </w:p>
        </w:tc>
      </w:tr>
      <w:tr w:rsidR="002A6934" w:rsidRPr="00DA352E" w14:paraId="63F0B047" w14:textId="77777777" w:rsidTr="001C19D0">
        <w:trPr>
          <w:gridAfter w:val="1"/>
          <w:wAfter w:w="8" w:type="pct"/>
        </w:trPr>
        <w:tc>
          <w:tcPr>
            <w:tcW w:w="4992" w:type="pct"/>
          </w:tcPr>
          <w:p w14:paraId="180F432D" w14:textId="6F109E23" w:rsidR="00FB1214" w:rsidRDefault="009D313B" w:rsidP="002A6934">
            <w:pPr>
              <w:pStyle w:val="Tabletextprimarysource"/>
            </w:pPr>
            <w:r w:rsidRPr="009D313B">
              <w:t xml:space="preserve">No health-based </w:t>
            </w:r>
            <w:r w:rsidR="00703024">
              <w:t>OEL</w:t>
            </w:r>
            <w:r w:rsidRPr="009D313B">
              <w:t xml:space="preserve"> recommended for metal or other compounds</w:t>
            </w:r>
            <w:r>
              <w:t>.</w:t>
            </w:r>
            <w:r w:rsidRPr="009D313B">
              <w:t xml:space="preserve"> </w:t>
            </w:r>
          </w:p>
          <w:p w14:paraId="5DA03818" w14:textId="2B091FA2" w:rsidR="002A6934" w:rsidRDefault="002A6934" w:rsidP="002A6934">
            <w:pPr>
              <w:pStyle w:val="Tabletextprimarysource"/>
            </w:pPr>
            <w:r>
              <w:t>Summary of additional data:</w:t>
            </w:r>
          </w:p>
          <w:p w14:paraId="6694DAAA" w14:textId="72D60320" w:rsidR="002A6934" w:rsidRDefault="002A6934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Considers available human data insufficient to derive health based </w:t>
            </w:r>
            <w:r w:rsidR="00941E36">
              <w:t>OEL</w:t>
            </w:r>
            <w:r>
              <w:t xml:space="preserve"> for metal and compounds</w:t>
            </w:r>
            <w:r w:rsidR="00010001">
              <w:t>; animal data</w:t>
            </w:r>
            <w:r>
              <w:t xml:space="preserve"> </w:t>
            </w:r>
            <w:r w:rsidR="00010001">
              <w:t>available for</w:t>
            </w:r>
            <w:r>
              <w:t xml:space="preserve"> </w:t>
            </w:r>
            <w:r w:rsidR="00FB1214" w:rsidRPr="00FB1214">
              <w:t>Al</w:t>
            </w:r>
            <w:r w:rsidR="00FB1214" w:rsidRPr="00B81E04">
              <w:rPr>
                <w:vertAlign w:val="subscript"/>
              </w:rPr>
              <w:t>2</w:t>
            </w:r>
            <w:r w:rsidR="00FB1214" w:rsidRPr="00FB1214">
              <w:t>Cl(OH)</w:t>
            </w:r>
            <w:r w:rsidR="00FB1214" w:rsidRPr="00B81E04">
              <w:rPr>
                <w:vertAlign w:val="subscript"/>
              </w:rPr>
              <w:t>5</w:t>
            </w:r>
            <w:r w:rsidR="00FB1214">
              <w:t>:</w:t>
            </w:r>
          </w:p>
          <w:p w14:paraId="7795A5D0" w14:textId="473E71EB" w:rsidR="0018311F" w:rsidRDefault="00FB1214" w:rsidP="00B81E04">
            <w:pPr>
              <w:pStyle w:val="ListBullet"/>
              <w:numPr>
                <w:ilvl w:val="0"/>
                <w:numId w:val="14"/>
              </w:numPr>
              <w:spacing w:before="0" w:after="80"/>
              <w:ind w:left="1298"/>
              <w:contextualSpacing w:val="0"/>
            </w:pPr>
            <w:r>
              <w:t>h</w:t>
            </w:r>
            <w:r w:rsidR="0018311F">
              <w:t xml:space="preserve">igh incidences of changes in </w:t>
            </w:r>
            <w:proofErr w:type="spellStart"/>
            <w:r w:rsidR="0018311F">
              <w:t>peribronchial</w:t>
            </w:r>
            <w:proofErr w:type="spellEnd"/>
            <w:r w:rsidR="0018311F">
              <w:t xml:space="preserve"> lymph node at 2.5 mg/m</w:t>
            </w:r>
            <w:r w:rsidR="0018311F" w:rsidRPr="00741C8D">
              <w:rPr>
                <w:vertAlign w:val="superscript"/>
              </w:rPr>
              <w:t>3</w:t>
            </w:r>
            <w:r w:rsidR="0018311F">
              <w:t xml:space="preserve"> </w:t>
            </w:r>
            <w:r w:rsidRPr="00FB1214">
              <w:t>Al</w:t>
            </w:r>
            <w:r w:rsidRPr="00492730">
              <w:rPr>
                <w:vertAlign w:val="subscript"/>
              </w:rPr>
              <w:t>2</w:t>
            </w:r>
            <w:r w:rsidRPr="00FB1214">
              <w:t>Cl(OH)</w:t>
            </w:r>
            <w:r w:rsidRPr="00492730">
              <w:rPr>
                <w:vertAlign w:val="subscript"/>
              </w:rPr>
              <w:t>5</w:t>
            </w:r>
            <w:r w:rsidDel="00FB1214">
              <w:t xml:space="preserve"> </w:t>
            </w:r>
            <w:r w:rsidR="0018311F">
              <w:t>(</w:t>
            </w:r>
            <w:r w:rsidR="00703024">
              <w:t xml:space="preserve">rat, 6 </w:t>
            </w:r>
            <w:proofErr w:type="spellStart"/>
            <w:r w:rsidR="00703024">
              <w:t>mo</w:t>
            </w:r>
            <w:proofErr w:type="spellEnd"/>
            <w:r w:rsidR="0018311F">
              <w:t>); minimal changes at 0.25 mg/m</w:t>
            </w:r>
            <w:r w:rsidR="0018311F" w:rsidRPr="00741C8D">
              <w:rPr>
                <w:vertAlign w:val="superscript"/>
              </w:rPr>
              <w:t>3</w:t>
            </w:r>
            <w:r w:rsidR="0018311F">
              <w:t xml:space="preserve"> </w:t>
            </w:r>
            <w:r w:rsidRPr="00FB1214">
              <w:t>Al</w:t>
            </w:r>
            <w:r w:rsidRPr="00492730">
              <w:rPr>
                <w:vertAlign w:val="subscript"/>
              </w:rPr>
              <w:t>2</w:t>
            </w:r>
            <w:r w:rsidRPr="00FB1214">
              <w:t>Cl(OH)</w:t>
            </w:r>
            <w:r w:rsidRPr="00492730">
              <w:rPr>
                <w:vertAlign w:val="subscript"/>
              </w:rPr>
              <w:t>5</w:t>
            </w:r>
            <w:r w:rsidDel="00FB1214">
              <w:t xml:space="preserve"> </w:t>
            </w:r>
            <w:r w:rsidR="0018311F">
              <w:t>(LOAEL)</w:t>
            </w:r>
            <w:r w:rsidR="00946B54">
              <w:t xml:space="preserve"> </w:t>
            </w:r>
          </w:p>
          <w:p w14:paraId="430718A5" w14:textId="016413BC" w:rsidR="002A6934" w:rsidRDefault="00B81E04" w:rsidP="00B81E04">
            <w:pPr>
              <w:pStyle w:val="ListBullet"/>
              <w:numPr>
                <w:ilvl w:val="0"/>
                <w:numId w:val="14"/>
              </w:numPr>
              <w:spacing w:before="0" w:after="80"/>
              <w:ind w:left="1298"/>
              <w:contextualSpacing w:val="0"/>
            </w:pPr>
            <w:r>
              <w:t>b</w:t>
            </w:r>
            <w:r w:rsidR="002A6934">
              <w:t>ased on LOAEL in rats of 0.25 mg/m</w:t>
            </w:r>
            <w:r w:rsidR="002A6934" w:rsidRPr="00741C8D">
              <w:rPr>
                <w:vertAlign w:val="superscript"/>
              </w:rPr>
              <w:t>3</w:t>
            </w:r>
            <w:r w:rsidR="00941E36" w:rsidRPr="00941E36">
              <w:t>,</w:t>
            </w:r>
            <w:r w:rsidR="00941E36" w:rsidRPr="00117073">
              <w:t xml:space="preserve"> </w:t>
            </w:r>
            <w:r w:rsidR="00DD6B16">
              <w:t>recommends</w:t>
            </w:r>
            <w:r w:rsidR="002A6934">
              <w:t xml:space="preserve"> health based </w:t>
            </w:r>
            <w:r w:rsidR="00703024">
              <w:t>OEL</w:t>
            </w:r>
            <w:r w:rsidR="002A6934">
              <w:t xml:space="preserve"> for </w:t>
            </w:r>
            <w:r w:rsidR="00FB1214" w:rsidRPr="00FB1214">
              <w:t>Al</w:t>
            </w:r>
            <w:r w:rsidR="00FB1214" w:rsidRPr="00492730">
              <w:rPr>
                <w:vertAlign w:val="subscript"/>
              </w:rPr>
              <w:t>2</w:t>
            </w:r>
            <w:r w:rsidR="00FB1214" w:rsidRPr="00FB1214">
              <w:t>Cl(OH)</w:t>
            </w:r>
            <w:r w:rsidR="00FB1214" w:rsidRPr="00492730">
              <w:rPr>
                <w:vertAlign w:val="subscript"/>
              </w:rPr>
              <w:t>5</w:t>
            </w:r>
            <w:r w:rsidR="002A6934">
              <w:t xml:space="preserve"> of 0.05 mg/m</w:t>
            </w:r>
            <w:r w:rsidR="002A6934" w:rsidRPr="00741C8D">
              <w:rPr>
                <w:vertAlign w:val="superscript"/>
              </w:rPr>
              <w:t>3</w:t>
            </w:r>
            <w:r w:rsidR="002A6934">
              <w:t>, as inhalable dust</w:t>
            </w:r>
          </w:p>
          <w:p w14:paraId="024943FE" w14:textId="0B5A1885" w:rsidR="002A6934" w:rsidRDefault="00703024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Suggests </w:t>
            </w:r>
            <w:r w:rsidR="002A6934">
              <w:t>insoluble or poorly soluble forms of</w:t>
            </w:r>
            <w:r w:rsidR="00FB1214">
              <w:t xml:space="preserve"> Al</w:t>
            </w:r>
            <w:r w:rsidR="002A6934">
              <w:t xml:space="preserve"> </w:t>
            </w:r>
            <w:r w:rsidR="00946B54">
              <w:t xml:space="preserve">may act similarly in the lungs but the is insufficient information on the factors effecting </w:t>
            </w:r>
            <w:r w:rsidR="00FB1214">
              <w:t xml:space="preserve">Al </w:t>
            </w:r>
            <w:r w:rsidR="00946B54">
              <w:t xml:space="preserve">toxicity in the lungs </w:t>
            </w:r>
            <w:r w:rsidR="002A6934">
              <w:t xml:space="preserve">applying the health-based </w:t>
            </w:r>
            <w:r>
              <w:t>OEL</w:t>
            </w:r>
            <w:r w:rsidR="00946B54">
              <w:t xml:space="preserve"> derived from</w:t>
            </w:r>
            <w:r w:rsidR="002A6934">
              <w:t xml:space="preserve"> </w:t>
            </w:r>
            <w:r w:rsidR="00FB1214" w:rsidRPr="00FB1214">
              <w:t>Al</w:t>
            </w:r>
            <w:r w:rsidR="00FB1214" w:rsidRPr="00492730">
              <w:rPr>
                <w:vertAlign w:val="subscript"/>
              </w:rPr>
              <w:t>2</w:t>
            </w:r>
            <w:r w:rsidR="00FB1214" w:rsidRPr="00FB1214">
              <w:t>Cl(OH)</w:t>
            </w:r>
            <w:r w:rsidR="00FB1214" w:rsidRPr="00492730">
              <w:rPr>
                <w:vertAlign w:val="subscript"/>
              </w:rPr>
              <w:t>5</w:t>
            </w:r>
            <w:r w:rsidR="00FB1214">
              <w:t xml:space="preserve"> </w:t>
            </w:r>
            <w:r w:rsidR="002A6934">
              <w:t>for insoluble and poorly soluble f</w:t>
            </w:r>
            <w:r w:rsidR="007B076A">
              <w:t xml:space="preserve">orms of </w:t>
            </w:r>
            <w:r w:rsidR="00FB1214">
              <w:t xml:space="preserve">Al </w:t>
            </w:r>
            <w:r w:rsidR="007B076A">
              <w:t xml:space="preserve">is </w:t>
            </w:r>
            <w:r w:rsidR="00946B54">
              <w:t xml:space="preserve">not </w:t>
            </w:r>
            <w:r w:rsidR="007B076A">
              <w:t>acceptable</w:t>
            </w:r>
          </w:p>
          <w:p w14:paraId="017A2CD1" w14:textId="66153BC9" w:rsidR="007B076A" w:rsidRDefault="007B076A" w:rsidP="00B81E04">
            <w:pPr>
              <w:pStyle w:val="ListBullet"/>
              <w:tabs>
                <w:tab w:val="clear" w:pos="360"/>
              </w:tabs>
              <w:spacing w:before="0" w:after="80"/>
              <w:ind w:left="867" w:hanging="357"/>
              <w:contextualSpacing w:val="0"/>
            </w:pPr>
            <w:r>
              <w:t xml:space="preserve">Lists </w:t>
            </w:r>
            <w:r w:rsidR="00B75CEA">
              <w:t>OELs</w:t>
            </w:r>
            <w:r>
              <w:t xml:space="preserve"> for soluble salts from other international bodies </w:t>
            </w:r>
            <w:r w:rsidR="00941E36">
              <w:t>as</w:t>
            </w:r>
            <w:r>
              <w:t xml:space="preserve"> 1</w:t>
            </w:r>
            <w:r w:rsidR="00EA70BC">
              <w:rPr>
                <w:rStyle w:val="checkbox"/>
                <w:rFonts w:ascii="Arial" w:hAnsi="Arial" w:cs="Arial"/>
              </w:rPr>
              <w:t>–</w:t>
            </w:r>
            <w:r>
              <w:t>2 mg/m</w:t>
            </w:r>
            <w:r w:rsidRPr="00741C8D">
              <w:rPr>
                <w:vertAlign w:val="superscript"/>
              </w:rPr>
              <w:t>3</w:t>
            </w:r>
            <w:r w:rsidR="00941E36">
              <w:t>.</w:t>
            </w:r>
          </w:p>
          <w:p w14:paraId="4FC216C7" w14:textId="0939979E" w:rsidR="00C03E4B" w:rsidRPr="00DA352E" w:rsidRDefault="00C03E4B" w:rsidP="001B4088">
            <w:pPr>
              <w:pStyle w:val="ListBullet"/>
              <w:numPr>
                <w:ilvl w:val="0"/>
                <w:numId w:val="0"/>
              </w:numPr>
              <w:ind w:left="873"/>
            </w:pPr>
          </w:p>
        </w:tc>
      </w:tr>
    </w:tbl>
    <w:p w14:paraId="23A7786C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33810E82" w14:textId="77777777" w:rsidTr="00972CC0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6AC39EE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6DB3CB5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258C0CF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08DA231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E82B958" w14:textId="77777777" w:rsidTr="00972CC0">
        <w:trPr>
          <w:cantSplit/>
        </w:trPr>
        <w:tc>
          <w:tcPr>
            <w:tcW w:w="1498" w:type="dxa"/>
          </w:tcPr>
          <w:p w14:paraId="7916734E" w14:textId="77777777" w:rsidR="004966BF" w:rsidRPr="004C23F4" w:rsidRDefault="00046102" w:rsidP="00224EE2">
            <w:pPr>
              <w:pStyle w:val="Tablefont"/>
            </w:pPr>
            <w:r w:rsidRPr="00C73934">
              <w:t>ECHA</w:t>
            </w:r>
            <w:r w:rsidR="00C73934">
              <w:t xml:space="preserve"> </w:t>
            </w:r>
          </w:p>
        </w:tc>
        <w:tc>
          <w:tcPr>
            <w:tcW w:w="424" w:type="dxa"/>
          </w:tcPr>
          <w:p w14:paraId="6D526E9F" w14:textId="77777777" w:rsidR="004966BF" w:rsidRPr="00CE617F" w:rsidRDefault="0039608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248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E6AAA33" w14:textId="77777777" w:rsidR="004966BF" w:rsidRPr="004C23F4" w:rsidRDefault="00941E3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54" w:type="dxa"/>
          </w:tcPr>
          <w:p w14:paraId="2D101150" w14:textId="1652D567" w:rsidR="00703024" w:rsidRDefault="0096248C" w:rsidP="00703024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96248C">
              <w:rPr>
                <w:rStyle w:val="checkbox"/>
                <w:rFonts w:ascii="Arial" w:hAnsi="Arial" w:cs="Arial"/>
              </w:rPr>
              <w:t>LC</w:t>
            </w:r>
            <w:r w:rsidRPr="0096248C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703024">
              <w:rPr>
                <w:rStyle w:val="checkbox"/>
                <w:rFonts w:ascii="Arial" w:hAnsi="Arial" w:cs="Arial"/>
                <w:vertAlign w:val="subscript"/>
              </w:rPr>
              <w:t>:</w:t>
            </w:r>
            <w:r w:rsidR="00703024" w:rsidRPr="0096248C">
              <w:rPr>
                <w:rStyle w:val="checkbox"/>
                <w:rFonts w:ascii="Arial" w:hAnsi="Arial" w:cs="Arial"/>
              </w:rPr>
              <w:t xml:space="preserve"> &gt;2.3 mg/L</w:t>
            </w:r>
            <w:r w:rsidR="00703024">
              <w:rPr>
                <w:rStyle w:val="checkbox"/>
                <w:rFonts w:ascii="Arial" w:hAnsi="Arial" w:cs="Arial"/>
              </w:rPr>
              <w:t xml:space="preserve"> (oxide) </w:t>
            </w:r>
            <w:r w:rsidRPr="0096248C">
              <w:rPr>
                <w:rStyle w:val="checkbox"/>
                <w:rFonts w:ascii="Arial" w:hAnsi="Arial" w:cs="Arial"/>
              </w:rPr>
              <w:t>(rat</w:t>
            </w:r>
            <w:r w:rsidR="00703024">
              <w:rPr>
                <w:rStyle w:val="checkbox"/>
                <w:rFonts w:ascii="Arial" w:hAnsi="Arial" w:cs="Arial"/>
              </w:rPr>
              <w:t>, inhalation</w:t>
            </w:r>
            <w:r w:rsidR="00046102">
              <w:rPr>
                <w:rStyle w:val="checkbox"/>
                <w:rFonts w:ascii="Arial" w:hAnsi="Arial" w:cs="Arial"/>
              </w:rPr>
              <w:t>)</w:t>
            </w:r>
            <w:r w:rsidRPr="0096248C">
              <w:rPr>
                <w:rStyle w:val="checkbox"/>
                <w:rFonts w:ascii="Arial" w:hAnsi="Arial" w:cs="Arial"/>
              </w:rPr>
              <w:t xml:space="preserve"> </w:t>
            </w:r>
            <w:r w:rsidR="005C335F">
              <w:rPr>
                <w:rStyle w:val="checkbox"/>
                <w:rFonts w:ascii="Arial" w:hAnsi="Arial" w:cs="Arial"/>
              </w:rPr>
              <w:t xml:space="preserve">as </w:t>
            </w:r>
            <w:r w:rsidR="00FB1214">
              <w:rPr>
                <w:rStyle w:val="checkbox"/>
                <w:rFonts w:ascii="Arial" w:hAnsi="Arial" w:cs="Arial"/>
              </w:rPr>
              <w:t>Al(OH)</w:t>
            </w:r>
            <w:r w:rsidR="00FB1214" w:rsidRPr="00B81E04">
              <w:rPr>
                <w:rStyle w:val="checkbox"/>
                <w:rFonts w:ascii="Arial" w:hAnsi="Arial" w:cs="Arial"/>
                <w:vertAlign w:val="subscript"/>
              </w:rPr>
              <w:t>3</w:t>
            </w:r>
          </w:p>
          <w:p w14:paraId="5C74F909" w14:textId="21FC2275" w:rsidR="0096248C" w:rsidRPr="004C23F4" w:rsidRDefault="0096248C" w:rsidP="00703024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</w:t>
            </w:r>
            <w:r w:rsidR="009D7F31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9D7F31">
              <w:rPr>
                <w:rStyle w:val="checkbox"/>
                <w:rFonts w:ascii="Arial" w:hAnsi="Arial" w:cs="Arial"/>
              </w:rPr>
              <w:t xml:space="preserve">70 mg/m³ (inhalable oxide); </w:t>
            </w:r>
            <w:r>
              <w:rPr>
                <w:rStyle w:val="checkbox"/>
                <w:rFonts w:ascii="Arial" w:hAnsi="Arial" w:cs="Arial"/>
              </w:rPr>
              <w:t>(</w:t>
            </w:r>
            <w:r w:rsidR="00DD6B16">
              <w:rPr>
                <w:rStyle w:val="checkbox"/>
                <w:rFonts w:ascii="Arial" w:hAnsi="Arial" w:cs="Arial"/>
              </w:rPr>
              <w:t xml:space="preserve">rat, </w:t>
            </w:r>
            <w:proofErr w:type="spellStart"/>
            <w:r w:rsidR="00DD6B16">
              <w:rPr>
                <w:rStyle w:val="checkbox"/>
                <w:rFonts w:ascii="Arial" w:hAnsi="Arial" w:cs="Arial"/>
              </w:rPr>
              <w:t>subchronic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) </w:t>
            </w:r>
            <w:r w:rsidR="00B75CEA">
              <w:rPr>
                <w:rStyle w:val="checkbox"/>
                <w:rFonts w:ascii="Arial" w:hAnsi="Arial" w:cs="Arial"/>
              </w:rPr>
              <w:t xml:space="preserve">as </w:t>
            </w:r>
            <w:proofErr w:type="gramStart"/>
            <w:r w:rsidR="00FB1214">
              <w:rPr>
                <w:rStyle w:val="checkbox"/>
                <w:rFonts w:ascii="Arial" w:hAnsi="Arial" w:cs="Arial"/>
              </w:rPr>
              <w:t>Al(</w:t>
            </w:r>
            <w:proofErr w:type="gramEnd"/>
            <w:r w:rsidR="00FB1214">
              <w:rPr>
                <w:rStyle w:val="checkbox"/>
                <w:rFonts w:ascii="Arial" w:hAnsi="Arial" w:cs="Arial"/>
              </w:rPr>
              <w:t>OH)</w:t>
            </w:r>
            <w:r w:rsidR="00FB1214" w:rsidRPr="00492730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F56B3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C73934" w:rsidRPr="004C23F4" w14:paraId="2AAE4369" w14:textId="77777777" w:rsidTr="00972CC0">
        <w:trPr>
          <w:cantSplit/>
        </w:trPr>
        <w:tc>
          <w:tcPr>
            <w:tcW w:w="1498" w:type="dxa"/>
          </w:tcPr>
          <w:p w14:paraId="480D2E19" w14:textId="3013F6E6" w:rsidR="00C73934" w:rsidRPr="00C73934" w:rsidRDefault="00C73934" w:rsidP="00224EE2">
            <w:pPr>
              <w:pStyle w:val="Tablefont"/>
            </w:pPr>
            <w:r>
              <w:t>US</w:t>
            </w:r>
            <w:r w:rsidR="00694E9D">
              <w:t xml:space="preserve"> </w:t>
            </w:r>
            <w:r>
              <w:t>EPA</w:t>
            </w:r>
          </w:p>
        </w:tc>
        <w:tc>
          <w:tcPr>
            <w:tcW w:w="424" w:type="dxa"/>
          </w:tcPr>
          <w:p w14:paraId="3CAE59B6" w14:textId="77777777" w:rsidR="00C73934" w:rsidRDefault="0039608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606735604"/>
                <w:placeholder>
                  <w:docPart w:val="1DECAE9A98874926807177B7A474906E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7393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7B472C9" w14:textId="77777777" w:rsidR="00C73934" w:rsidRPr="004C23F4" w:rsidRDefault="00C7393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54" w:type="dxa"/>
          </w:tcPr>
          <w:p w14:paraId="30A4506D" w14:textId="3897E76C" w:rsidR="00C73934" w:rsidRPr="0096248C" w:rsidRDefault="00C73934" w:rsidP="00703024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LOAEL: 4.6–11.5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(human; 8 h occupational); </w:t>
            </w:r>
            <w:r>
              <w:t>psychomotor and cognitive impairment</w:t>
            </w:r>
            <w:r w:rsidR="005C335F">
              <w:t xml:space="preserve"> (as Al)</w:t>
            </w:r>
            <w:r w:rsidR="00F56B30">
              <w:t>.</w:t>
            </w:r>
          </w:p>
        </w:tc>
      </w:tr>
    </w:tbl>
    <w:bookmarkEnd w:id="1"/>
    <w:p w14:paraId="569DF804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– non-threshold based genotoxic carcinogens"/>
        <w:tblDescription w:val="Is the chemical mutagenic? No, therefore the chemical is not a non-threshold based genotoxic carcinogen. "/>
      </w:tblPr>
      <w:tblGrid>
        <w:gridCol w:w="6603"/>
        <w:gridCol w:w="2423"/>
      </w:tblGrid>
      <w:tr w:rsidR="005C335F" w14:paraId="1E52CDA7" w14:textId="77777777" w:rsidTr="005C335F">
        <w:trPr>
          <w:trHeight w:val="454"/>
          <w:tblHeader/>
        </w:trPr>
        <w:tc>
          <w:tcPr>
            <w:tcW w:w="6603" w:type="dxa"/>
            <w:vAlign w:val="center"/>
          </w:tcPr>
          <w:p w14:paraId="0A36D6B8" w14:textId="77777777" w:rsidR="005C335F" w:rsidRDefault="005C335F" w:rsidP="00C33562">
            <w:pPr>
              <w:pStyle w:val="Tablefont"/>
              <w:keepNext/>
              <w:keepLines/>
              <w:spacing w:before="40" w:after="40"/>
            </w:pPr>
            <w:bookmarkStart w:id="2" w:name="_GoBack"/>
            <w:r>
              <w:t>Is the chemical mutagenic?</w:t>
            </w:r>
          </w:p>
        </w:tc>
        <w:sdt>
          <w:sdtPr>
            <w:id w:val="319705052"/>
            <w:placeholder>
              <w:docPart w:val="75CAF4DDD44B4088BB34BCBED7E09A97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4D8055E" w14:textId="77777777" w:rsidR="005C335F" w:rsidRDefault="005C335F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5C335F" w14:paraId="6D1FB4F2" w14:textId="77777777" w:rsidTr="005C335F">
        <w:trPr>
          <w:trHeight w:val="454"/>
        </w:trPr>
        <w:sdt>
          <w:sdtPr>
            <w:rPr>
              <w:b/>
            </w:rPr>
            <w:id w:val="1830936485"/>
            <w:placeholder>
              <w:docPart w:val="76424D649AF34855BA7C531E253ACEB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3D7D5AF" w14:textId="77777777" w:rsidR="005C335F" w:rsidRPr="006901A2" w:rsidRDefault="005C335F" w:rsidP="00C33562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A2D7649" w14:textId="77777777" w:rsidR="005C335F" w:rsidRDefault="005C335F" w:rsidP="00C33562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2176A2C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B58A3D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F4F6D41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51F42F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8F9558A" w14:textId="77777777" w:rsidTr="00812887">
        <w:trPr>
          <w:cantSplit/>
        </w:trPr>
        <w:tc>
          <w:tcPr>
            <w:tcW w:w="3227" w:type="dxa"/>
          </w:tcPr>
          <w:p w14:paraId="329366F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BE12FF3" w14:textId="4850A172" w:rsidR="00687890" w:rsidRPr="00DD2F9B" w:rsidRDefault="00EA70B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F92CAEE" w14:textId="77777777" w:rsidTr="00812887">
        <w:trPr>
          <w:cantSplit/>
        </w:trPr>
        <w:tc>
          <w:tcPr>
            <w:tcW w:w="3227" w:type="dxa"/>
          </w:tcPr>
          <w:p w14:paraId="40538E4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08669B9" w14:textId="584E72EC" w:rsidR="007925F0" w:rsidRPr="00DD2F9B" w:rsidRDefault="00EA70BC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4D726EF" w14:textId="77777777" w:rsidTr="00812887">
        <w:trPr>
          <w:cantSplit/>
        </w:trPr>
        <w:tc>
          <w:tcPr>
            <w:tcW w:w="3227" w:type="dxa"/>
          </w:tcPr>
          <w:p w14:paraId="5D7FD57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C2C26BF" w14:textId="549B9FC6" w:rsidR="00AF483F" w:rsidRPr="00DD2F9B" w:rsidRDefault="00EA70BC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4D59E857" w14:textId="77777777" w:rsidTr="00812887">
        <w:trPr>
          <w:cantSplit/>
        </w:trPr>
        <w:tc>
          <w:tcPr>
            <w:tcW w:w="3227" w:type="dxa"/>
          </w:tcPr>
          <w:p w14:paraId="1CFD657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02B048A" w14:textId="714D592D" w:rsidR="00687890" w:rsidRPr="00DD2F9B" w:rsidRDefault="00EA70BC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1FEA9A57" w14:textId="77777777" w:rsidTr="00812887">
        <w:trPr>
          <w:cantSplit/>
        </w:trPr>
        <w:tc>
          <w:tcPr>
            <w:tcW w:w="3227" w:type="dxa"/>
          </w:tcPr>
          <w:p w14:paraId="0D33330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038D907" w14:textId="3F6302EB" w:rsidR="00E41A26" w:rsidRPr="00DD2F9B" w:rsidRDefault="00EA70B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59F3244" w14:textId="77777777" w:rsidTr="00812887">
        <w:trPr>
          <w:cantSplit/>
        </w:trPr>
        <w:tc>
          <w:tcPr>
            <w:tcW w:w="3227" w:type="dxa"/>
          </w:tcPr>
          <w:p w14:paraId="062FC95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24AAB6C" w14:textId="77777777" w:rsidR="002E0D61" w:rsidRPr="00DD2F9B" w:rsidRDefault="00261E4B" w:rsidP="00DD2F9B">
            <w:pPr>
              <w:pStyle w:val="Tablefont"/>
            </w:pPr>
            <w:r w:rsidRPr="00261E4B">
              <w:t>Carcinogenicity – A4</w:t>
            </w:r>
            <w:r>
              <w:t xml:space="preserve"> (7429-90-5)</w:t>
            </w:r>
          </w:p>
        </w:tc>
      </w:tr>
      <w:tr w:rsidR="002E0D61" w:rsidRPr="004C23F4" w14:paraId="5411E170" w14:textId="77777777" w:rsidTr="00812887">
        <w:trPr>
          <w:cantSplit/>
        </w:trPr>
        <w:tc>
          <w:tcPr>
            <w:tcW w:w="3227" w:type="dxa"/>
          </w:tcPr>
          <w:p w14:paraId="3758211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AF92BCB" w14:textId="5473B6AE" w:rsidR="002E0D61" w:rsidRPr="00DD2F9B" w:rsidRDefault="00EA70B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A38BA03" w14:textId="77777777" w:rsidTr="00812887">
        <w:trPr>
          <w:cantSplit/>
        </w:trPr>
        <w:tc>
          <w:tcPr>
            <w:tcW w:w="3227" w:type="dxa"/>
          </w:tcPr>
          <w:p w14:paraId="4D02659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000653D" w14:textId="77777777" w:rsidR="002E0D61" w:rsidRPr="00DD2F9B" w:rsidRDefault="009D7F3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05F8830" w14:textId="77777777" w:rsidTr="00812887">
        <w:trPr>
          <w:cantSplit/>
        </w:trPr>
        <w:tc>
          <w:tcPr>
            <w:tcW w:w="3227" w:type="dxa"/>
          </w:tcPr>
          <w:p w14:paraId="4D44F1C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8FD818A" w14:textId="76340BB9" w:rsidR="002E0D61" w:rsidRPr="00DD2F9B" w:rsidRDefault="00EA70BC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3242FBC4" w14:textId="77777777" w:rsidTr="00812887">
        <w:trPr>
          <w:cantSplit/>
        </w:trPr>
        <w:tc>
          <w:tcPr>
            <w:tcW w:w="3227" w:type="dxa"/>
          </w:tcPr>
          <w:p w14:paraId="4BF8795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65411FE" w14:textId="45B2A23B" w:rsidR="00386093" w:rsidRPr="00DD2F9B" w:rsidRDefault="00EA70BC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0A3FD27" w14:textId="77777777" w:rsidTr="00812887">
        <w:trPr>
          <w:cantSplit/>
        </w:trPr>
        <w:tc>
          <w:tcPr>
            <w:tcW w:w="3227" w:type="dxa"/>
          </w:tcPr>
          <w:p w14:paraId="4EC1546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9D0218D" w14:textId="71068C2B" w:rsidR="00386093" w:rsidRPr="00DD2F9B" w:rsidRDefault="00EA70BC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5E33C6B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8A8A171" w14:textId="77777777" w:rsidR="00CE3E10" w:rsidRDefault="00CE3E10" w:rsidP="00CE3E10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CE3E10" w:rsidRPr="004C23F4" w14:paraId="7BF6C1DB" w14:textId="77777777" w:rsidTr="00A17336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8464CA2" w14:textId="77777777" w:rsidR="00CE3E10" w:rsidRPr="004C23F4" w:rsidRDefault="00CE3E10" w:rsidP="00A17336">
            <w:pPr>
              <w:pStyle w:val="Tableheader"/>
              <w:keepNext/>
              <w:tabs>
                <w:tab w:val="right" w:pos="8800"/>
              </w:tabs>
            </w:pPr>
            <w:r>
              <w:t>Calculation</w:t>
            </w:r>
            <w:r>
              <w:tab/>
            </w:r>
          </w:p>
        </w:tc>
      </w:tr>
      <w:tr w:rsidR="00CE3E10" w:rsidRPr="004C23F4" w14:paraId="043DA2D5" w14:textId="77777777" w:rsidTr="00A17336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669"/>
              <w:gridCol w:w="1079"/>
              <w:gridCol w:w="1078"/>
              <w:gridCol w:w="1492"/>
              <w:gridCol w:w="1492"/>
            </w:tblGrid>
            <w:tr w:rsidR="00CE3E10" w:rsidRPr="000A6C06" w14:paraId="0768E790" w14:textId="77777777" w:rsidTr="00CD7F88">
              <w:trPr>
                <w:trHeight w:val="351"/>
              </w:trPr>
              <w:tc>
                <w:tcPr>
                  <w:tcW w:w="20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77FB0D" w14:textId="77777777" w:rsidR="00CE3E10" w:rsidRPr="000A6C06" w:rsidRDefault="00CE3E10" w:rsidP="00A173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E6EB60" w14:textId="77777777" w:rsidR="00CE3E10" w:rsidRPr="000A6C06" w:rsidRDefault="00CE3E10" w:rsidP="00A173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E0B0EB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F0088D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84F99E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3E10" w:rsidRPr="000A6C06" w14:paraId="27570F93" w14:textId="77777777" w:rsidTr="00CD7F88">
              <w:trPr>
                <w:trHeight w:val="351"/>
              </w:trPr>
              <w:tc>
                <w:tcPr>
                  <w:tcW w:w="20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82586" w14:textId="77777777" w:rsidR="00CE3E10" w:rsidRPr="000A6C06" w:rsidRDefault="00CE3E10" w:rsidP="00A173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1477F2" w14:textId="77777777" w:rsidR="00CE3E10" w:rsidRPr="000A6C06" w:rsidRDefault="00CE3E10" w:rsidP="00A173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4A58D4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3E95A8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00234D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3E10" w:rsidRPr="000A6C06" w14:paraId="3591E32C" w14:textId="77777777" w:rsidTr="00CD7F88">
              <w:trPr>
                <w:trHeight w:val="351"/>
              </w:trPr>
              <w:tc>
                <w:tcPr>
                  <w:tcW w:w="20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FD42A2" w14:textId="77777777" w:rsidR="00CE3E10" w:rsidRPr="000A6C06" w:rsidRDefault="00CE3E10" w:rsidP="00A173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F21E95" w14:textId="77777777" w:rsidR="00CE3E10" w:rsidRPr="000A6C06" w:rsidRDefault="00CE3E10" w:rsidP="00A173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8C4340" w14:textId="77777777" w:rsidR="00CE3E10" w:rsidRPr="000A6C06" w:rsidRDefault="00CE3E10" w:rsidP="00A173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8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FCB150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2B1357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3E10" w:rsidRPr="000A6C06" w14:paraId="6612F421" w14:textId="77777777" w:rsidTr="00CD7F88">
              <w:trPr>
                <w:trHeight w:val="351"/>
              </w:trPr>
              <w:tc>
                <w:tcPr>
                  <w:tcW w:w="20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C4DE69" w14:textId="77777777" w:rsidR="00CE3E10" w:rsidRPr="000A6C06" w:rsidRDefault="00CE3E10" w:rsidP="00A173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52A4C" w14:textId="77777777" w:rsidR="00CE3E10" w:rsidRPr="000A6C06" w:rsidRDefault="00CE3E10" w:rsidP="00A173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84A2BD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6413B0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541769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3E10" w:rsidRPr="000A6C06" w14:paraId="709C4259" w14:textId="77777777" w:rsidTr="00CD7F88">
              <w:trPr>
                <w:trHeight w:val="351"/>
              </w:trPr>
              <w:tc>
                <w:tcPr>
                  <w:tcW w:w="20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2C7FCB" w14:textId="77777777" w:rsidR="00CE3E10" w:rsidRPr="000A6C06" w:rsidRDefault="00CE3E10" w:rsidP="00A173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2F2E24" w14:textId="77777777" w:rsidR="00CE3E10" w:rsidRPr="000A6C06" w:rsidRDefault="00CE3E10" w:rsidP="00A173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09F90B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A3D450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14FF8A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3E10" w:rsidRPr="000A6C06" w14:paraId="1DABD508" w14:textId="77777777" w:rsidTr="00CD7F88">
              <w:trPr>
                <w:trHeight w:val="351"/>
              </w:trPr>
              <w:tc>
                <w:tcPr>
                  <w:tcW w:w="20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AA3BDB" w14:textId="77777777" w:rsidR="00CE3E10" w:rsidRPr="000A6C06" w:rsidRDefault="00CE3E10" w:rsidP="00A173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C70D35" w14:textId="77777777" w:rsidR="00CE3E10" w:rsidRPr="000A6C06" w:rsidRDefault="00CE3E10" w:rsidP="00A173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52A37E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56C835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4B4BE9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3E10" w:rsidRPr="000A6C06" w14:paraId="1F4C6310" w14:textId="77777777" w:rsidTr="00CD7F88">
              <w:trPr>
                <w:trHeight w:val="351"/>
              </w:trPr>
              <w:tc>
                <w:tcPr>
                  <w:tcW w:w="20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184DE7" w14:textId="77777777" w:rsidR="00CE3E10" w:rsidRPr="000A6C06" w:rsidRDefault="00CE3E10" w:rsidP="00A173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717807" w14:textId="77777777" w:rsidR="00CE3E10" w:rsidRPr="000A6C06" w:rsidRDefault="00CE3E10" w:rsidP="00A173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16679C" w14:textId="77777777" w:rsidR="00CE3E10" w:rsidRPr="000A6C06" w:rsidRDefault="00CE3E10" w:rsidP="00A173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</w:t>
                  </w:r>
                </w:p>
              </w:tc>
              <w:tc>
                <w:tcPr>
                  <w:tcW w:w="169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916E98" w14:textId="77777777" w:rsidR="00CE3E10" w:rsidRPr="000A6C06" w:rsidRDefault="00CE3E10" w:rsidP="00A1733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6C0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50811CE0" w14:textId="77777777" w:rsidR="00CE3E10" w:rsidRPr="004C23F4" w:rsidRDefault="00CE3E10" w:rsidP="00A17336">
            <w:pPr>
              <w:pStyle w:val="Tablefont"/>
            </w:pPr>
          </w:p>
        </w:tc>
      </w:tr>
    </w:tbl>
    <w:p w14:paraId="4C7EFF1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9B9D96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F0DB71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C3649CC" w14:textId="77777777" w:rsidR="00EB3D1B" w:rsidRDefault="0024060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D6D490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2"/>
        <w:gridCol w:w="5034"/>
      </w:tblGrid>
      <w:tr w:rsidR="001B79E5" w:rsidRPr="004C23F4" w14:paraId="2FABA03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1A5410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BBB68AE" w14:textId="2EBC8B92" w:rsidR="001B79E5" w:rsidRDefault="005C335F" w:rsidP="001B79E5">
                <w:pPr>
                  <w:pStyle w:val="Tablefont"/>
                </w:pPr>
                <w:r>
                  <w:t>26.98 (elemental)</w:t>
                </w:r>
              </w:p>
            </w:tc>
          </w:sdtContent>
        </w:sdt>
      </w:tr>
      <w:tr w:rsidR="00A31D99" w:rsidRPr="004C23F4" w14:paraId="2AD1D47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62E695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1D8C4F7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9EA9B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D178B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11760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E1467DB" w14:textId="77777777" w:rsidTr="00EA6243">
        <w:trPr>
          <w:cantSplit/>
        </w:trPr>
        <w:tc>
          <w:tcPr>
            <w:tcW w:w="4077" w:type="dxa"/>
            <w:vAlign w:val="center"/>
          </w:tcPr>
          <w:p w14:paraId="585F41D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6E0DC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2EF714A" w14:textId="77777777" w:rsidTr="00EA6243">
        <w:trPr>
          <w:cantSplit/>
        </w:trPr>
        <w:tc>
          <w:tcPr>
            <w:tcW w:w="4077" w:type="dxa"/>
            <w:vAlign w:val="center"/>
          </w:tcPr>
          <w:p w14:paraId="1FE13C7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D9571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E123546" w14:textId="77777777" w:rsidTr="00EA6243">
        <w:trPr>
          <w:cantSplit/>
        </w:trPr>
        <w:tc>
          <w:tcPr>
            <w:tcW w:w="4077" w:type="dxa"/>
            <w:vAlign w:val="center"/>
          </w:tcPr>
          <w:p w14:paraId="06D9EC7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152519F" w14:textId="77777777" w:rsidR="00E06F40" w:rsidRPr="00A006A0" w:rsidRDefault="0039608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13EE7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B92A9A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F4E35E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48342C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AA6E28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3E95DB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675DFD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319128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ABD6C6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FF3ADD7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260DA75" w14:textId="77777777" w:rsidR="00240606" w:rsidRDefault="00240606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(2007) </w:t>
      </w:r>
      <w:r w:rsidRPr="00240606">
        <w:t>Aluminium Dusts containing aluminium as metal aluminium oxide and aluminium hydroxide</w:t>
      </w:r>
      <w:r>
        <w:t xml:space="preserve"> – MAK value documentation.</w:t>
      </w:r>
    </w:p>
    <w:p w14:paraId="38A9B40A" w14:textId="77777777" w:rsidR="009D313B" w:rsidRDefault="009D313B" w:rsidP="009D313B">
      <w:r w:rsidRPr="009D313B">
        <w:t xml:space="preserve">Health Council </w:t>
      </w:r>
      <w:r>
        <w:t>of the Netherlands (HCOTN) (2010</w:t>
      </w:r>
      <w:r w:rsidRPr="009D313B">
        <w:t xml:space="preserve">) </w:t>
      </w:r>
      <w:r>
        <w:t>Aluminium and aluminium compounds</w:t>
      </w:r>
      <w:r w:rsidRPr="009D313B">
        <w:t>. Health-based calculated occupational cancer risk values. The Hague: Health Council of the Netherlands; publication no. 2012/32.</w:t>
      </w:r>
    </w:p>
    <w:p w14:paraId="616CAEEF" w14:textId="77777777" w:rsidR="009D313B" w:rsidRDefault="00D365D6" w:rsidP="00D365D6">
      <w:r w:rsidRPr="00D365D6">
        <w:t xml:space="preserve">European Chemicals Agency (ECHA) (2002) </w:t>
      </w:r>
      <w:r>
        <w:t xml:space="preserve">Aluminium hydroxide </w:t>
      </w:r>
      <w:r w:rsidRPr="00D365D6">
        <w:t>– REACH assessment.</w:t>
      </w:r>
    </w:p>
    <w:p w14:paraId="217FF5B8" w14:textId="77777777" w:rsidR="00C73934" w:rsidRPr="00351FE0" w:rsidRDefault="00C73934" w:rsidP="00D365D6">
      <w:r w:rsidRPr="00C73934">
        <w:t xml:space="preserve">US Environmental </w:t>
      </w:r>
      <w:r>
        <w:t>Protection Agency (US EPA) (2006</w:t>
      </w:r>
      <w:r w:rsidRPr="00C73934">
        <w:t xml:space="preserve">) </w:t>
      </w:r>
      <w:r>
        <w:t xml:space="preserve">Provisional Peer Reviewed Toxicity Values for </w:t>
      </w:r>
      <w:proofErr w:type="spellStart"/>
      <w:r>
        <w:t>Aluminum</w:t>
      </w:r>
      <w:proofErr w:type="spellEnd"/>
      <w:r w:rsidRPr="00C73934">
        <w:t>.</w:t>
      </w:r>
    </w:p>
    <w:sectPr w:rsidR="00C73934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7CB05E" w16cid:durableId="20EC9152"/>
  <w16cid:commentId w16cid:paraId="35611598" w16cid:durableId="20EC92E0"/>
  <w16cid:commentId w16cid:paraId="1663983E" w16cid:durableId="20EC92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D06D5" w14:textId="77777777" w:rsidR="00614C8A" w:rsidRDefault="00614C8A" w:rsidP="00F43AD5">
      <w:pPr>
        <w:spacing w:after="0" w:line="240" w:lineRule="auto"/>
      </w:pPr>
      <w:r>
        <w:separator/>
      </w:r>
    </w:p>
  </w:endnote>
  <w:endnote w:type="continuationSeparator" w:id="0">
    <w:p w14:paraId="750E04F6" w14:textId="77777777" w:rsidR="00614C8A" w:rsidRDefault="00614C8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21440" w14:textId="77777777" w:rsidR="00F62D11" w:rsidRDefault="00F62D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503477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D5C38E3" w14:textId="28ED588E" w:rsidR="000C2215" w:rsidRDefault="00F82438" w:rsidP="0034744C">
        <w:pPr>
          <w:pStyle w:val="Footer"/>
          <w:rPr>
            <w:sz w:val="18"/>
            <w:szCs w:val="18"/>
          </w:rPr>
        </w:pPr>
        <w:r w:rsidRPr="00F82438">
          <w:rPr>
            <w:b/>
            <w:sz w:val="18"/>
            <w:szCs w:val="18"/>
          </w:rPr>
          <w:t>Aluminium</w:t>
        </w:r>
        <w:r>
          <w:rPr>
            <w:b/>
            <w:sz w:val="18"/>
            <w:szCs w:val="18"/>
          </w:rPr>
          <w:t xml:space="preserve"> Dust</w:t>
        </w:r>
        <w:r w:rsidR="0073177F">
          <w:rPr>
            <w:b/>
            <w:sz w:val="18"/>
            <w:szCs w:val="18"/>
          </w:rPr>
          <w:t>s</w:t>
        </w:r>
        <w:r>
          <w:rPr>
            <w:b/>
            <w:sz w:val="18"/>
            <w:szCs w:val="18"/>
          </w:rPr>
          <w:t xml:space="preserve"> (metal, pyro</w:t>
        </w:r>
        <w:r w:rsidR="0073177F">
          <w:rPr>
            <w:b/>
            <w:sz w:val="18"/>
            <w:szCs w:val="18"/>
          </w:rPr>
          <w:t>, oxide) and Compounds (</w:t>
        </w:r>
        <w:r>
          <w:rPr>
            <w:b/>
            <w:sz w:val="18"/>
            <w:szCs w:val="18"/>
          </w:rPr>
          <w:t xml:space="preserve">soluble and alkyls) </w:t>
        </w:r>
        <w:r w:rsidR="000C2215">
          <w:rPr>
            <w:b/>
            <w:sz w:val="18"/>
            <w:szCs w:val="18"/>
          </w:rPr>
          <w:t>(</w:t>
        </w:r>
        <w:r w:rsidRPr="00F82438">
          <w:rPr>
            <w:rFonts w:cs="Arial"/>
            <w:b/>
            <w:color w:val="000000"/>
            <w:sz w:val="18"/>
            <w:szCs w:val="20"/>
          </w:rPr>
          <w:t>7429-90--5</w:t>
        </w:r>
        <w:r w:rsidR="000C2215">
          <w:rPr>
            <w:b/>
            <w:sz w:val="18"/>
            <w:szCs w:val="18"/>
          </w:rPr>
          <w:t>)</w:t>
        </w:r>
        <w:r w:rsidR="0073177F">
          <w:rPr>
            <w:b/>
            <w:sz w:val="18"/>
            <w:szCs w:val="18"/>
          </w:rPr>
          <w:t>, (1344-28-1</w:t>
        </w:r>
        <w:proofErr w:type="gramStart"/>
        <w:r w:rsidR="0073177F">
          <w:rPr>
            <w:b/>
            <w:sz w:val="18"/>
            <w:szCs w:val="18"/>
          </w:rPr>
          <w:t>)</w:t>
        </w:r>
        <w:proofErr w:type="gramEnd"/>
        <w:r w:rsidR="000C2215" w:rsidRPr="00F43AD5">
          <w:rPr>
            <w:sz w:val="18"/>
            <w:szCs w:val="18"/>
          </w:rPr>
          <w:br/>
          <w:t xml:space="preserve">Safe Work Australia </w:t>
        </w:r>
        <w:r w:rsidR="000C2215" w:rsidRPr="00F43AD5">
          <w:rPr>
            <w:rFonts w:ascii="Courier New" w:hAnsi="Courier New" w:cs="Courier New"/>
            <w:sz w:val="18"/>
            <w:szCs w:val="18"/>
          </w:rPr>
          <w:t>—</w:t>
        </w:r>
        <w:r w:rsidR="000C2215" w:rsidRPr="00F43AD5">
          <w:rPr>
            <w:sz w:val="18"/>
            <w:szCs w:val="18"/>
          </w:rPr>
          <w:t xml:space="preserve"> 201</w:t>
        </w:r>
        <w:r w:rsidR="000C2215">
          <w:rPr>
            <w:sz w:val="18"/>
            <w:szCs w:val="18"/>
          </w:rPr>
          <w:t>9</w:t>
        </w:r>
      </w:p>
      <w:p w14:paraId="45FF3076" w14:textId="03290315" w:rsidR="000C2215" w:rsidRPr="00F43AD5" w:rsidRDefault="000C2215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96085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6E3FC" w14:textId="77777777" w:rsidR="00F62D11" w:rsidRDefault="00F62D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9F5B5" w14:textId="77777777" w:rsidR="00614C8A" w:rsidRDefault="00614C8A" w:rsidP="00F43AD5">
      <w:pPr>
        <w:spacing w:after="0" w:line="240" w:lineRule="auto"/>
      </w:pPr>
      <w:r>
        <w:separator/>
      </w:r>
    </w:p>
  </w:footnote>
  <w:footnote w:type="continuationSeparator" w:id="0">
    <w:p w14:paraId="63FDF9D6" w14:textId="77777777" w:rsidR="00614C8A" w:rsidRDefault="00614C8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B20B7" w14:textId="77777777" w:rsidR="00F62D11" w:rsidRDefault="00F62D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29DFC" w14:textId="77777777" w:rsidR="000C2215" w:rsidRDefault="000C2215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70B82A5" wp14:editId="7F9FCB4E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AEC33" w14:textId="77777777" w:rsidR="00F62D11" w:rsidRDefault="00F62D1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79511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ABA71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C3883"/>
    <w:multiLevelType w:val="hybridMultilevel"/>
    <w:tmpl w:val="740A26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242E3"/>
    <w:multiLevelType w:val="hybridMultilevel"/>
    <w:tmpl w:val="86A87FC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D605EE"/>
    <w:multiLevelType w:val="hybridMultilevel"/>
    <w:tmpl w:val="F7C25442"/>
    <w:lvl w:ilvl="0" w:tplc="656C36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9725A"/>
    <w:multiLevelType w:val="hybridMultilevel"/>
    <w:tmpl w:val="48F65EC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4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001"/>
    <w:rsid w:val="00013A22"/>
    <w:rsid w:val="00014C3F"/>
    <w:rsid w:val="00017C82"/>
    <w:rsid w:val="00032B88"/>
    <w:rsid w:val="00046102"/>
    <w:rsid w:val="00046DF5"/>
    <w:rsid w:val="00052060"/>
    <w:rsid w:val="0005574A"/>
    <w:rsid w:val="00055FE1"/>
    <w:rsid w:val="00056EC2"/>
    <w:rsid w:val="00060B48"/>
    <w:rsid w:val="00067F32"/>
    <w:rsid w:val="00071807"/>
    <w:rsid w:val="0007378E"/>
    <w:rsid w:val="00073860"/>
    <w:rsid w:val="00074DD6"/>
    <w:rsid w:val="000803E1"/>
    <w:rsid w:val="00084513"/>
    <w:rsid w:val="00084859"/>
    <w:rsid w:val="00092D94"/>
    <w:rsid w:val="000A6004"/>
    <w:rsid w:val="000A6E37"/>
    <w:rsid w:val="000B0868"/>
    <w:rsid w:val="000B3E12"/>
    <w:rsid w:val="000B3E78"/>
    <w:rsid w:val="000B7B48"/>
    <w:rsid w:val="000C096D"/>
    <w:rsid w:val="000C139A"/>
    <w:rsid w:val="000C2053"/>
    <w:rsid w:val="000C2215"/>
    <w:rsid w:val="000C248C"/>
    <w:rsid w:val="000D291C"/>
    <w:rsid w:val="000E5A54"/>
    <w:rsid w:val="000E63D3"/>
    <w:rsid w:val="000E67CF"/>
    <w:rsid w:val="0010461E"/>
    <w:rsid w:val="00106FAA"/>
    <w:rsid w:val="00113443"/>
    <w:rsid w:val="00117073"/>
    <w:rsid w:val="0012480E"/>
    <w:rsid w:val="001269A7"/>
    <w:rsid w:val="00131092"/>
    <w:rsid w:val="00132295"/>
    <w:rsid w:val="00140E6A"/>
    <w:rsid w:val="00146545"/>
    <w:rsid w:val="00146B75"/>
    <w:rsid w:val="0015266D"/>
    <w:rsid w:val="0015288A"/>
    <w:rsid w:val="0015387A"/>
    <w:rsid w:val="00160F47"/>
    <w:rsid w:val="00174003"/>
    <w:rsid w:val="00177CA1"/>
    <w:rsid w:val="0018311F"/>
    <w:rsid w:val="00183823"/>
    <w:rsid w:val="00183942"/>
    <w:rsid w:val="001A009E"/>
    <w:rsid w:val="001A1287"/>
    <w:rsid w:val="001A3859"/>
    <w:rsid w:val="001A3C9D"/>
    <w:rsid w:val="001A43F8"/>
    <w:rsid w:val="001B4088"/>
    <w:rsid w:val="001B79E5"/>
    <w:rsid w:val="001C19D0"/>
    <w:rsid w:val="001D56F0"/>
    <w:rsid w:val="001D663B"/>
    <w:rsid w:val="001D7B41"/>
    <w:rsid w:val="001E46DA"/>
    <w:rsid w:val="001E7D80"/>
    <w:rsid w:val="001F0659"/>
    <w:rsid w:val="001F4B6C"/>
    <w:rsid w:val="001F62CB"/>
    <w:rsid w:val="001F6ED0"/>
    <w:rsid w:val="001F72E6"/>
    <w:rsid w:val="001F73C5"/>
    <w:rsid w:val="002046A6"/>
    <w:rsid w:val="00204956"/>
    <w:rsid w:val="00204D3C"/>
    <w:rsid w:val="00213640"/>
    <w:rsid w:val="00221547"/>
    <w:rsid w:val="002216FC"/>
    <w:rsid w:val="00222533"/>
    <w:rsid w:val="00222F30"/>
    <w:rsid w:val="00224EE2"/>
    <w:rsid w:val="00227EC7"/>
    <w:rsid w:val="00240606"/>
    <w:rsid w:val="00244AD1"/>
    <w:rsid w:val="002463BC"/>
    <w:rsid w:val="002465CE"/>
    <w:rsid w:val="0025734A"/>
    <w:rsid w:val="00261E4B"/>
    <w:rsid w:val="00263255"/>
    <w:rsid w:val="00276494"/>
    <w:rsid w:val="00277B0C"/>
    <w:rsid w:val="002A6934"/>
    <w:rsid w:val="002B1A2C"/>
    <w:rsid w:val="002C0599"/>
    <w:rsid w:val="002C34F2"/>
    <w:rsid w:val="002C58FF"/>
    <w:rsid w:val="002C7AFE"/>
    <w:rsid w:val="002D05D2"/>
    <w:rsid w:val="002D2CAF"/>
    <w:rsid w:val="002E0D61"/>
    <w:rsid w:val="002E4C7B"/>
    <w:rsid w:val="002F14F8"/>
    <w:rsid w:val="0030740C"/>
    <w:rsid w:val="0031157C"/>
    <w:rsid w:val="00315833"/>
    <w:rsid w:val="003215EE"/>
    <w:rsid w:val="00322437"/>
    <w:rsid w:val="003224BF"/>
    <w:rsid w:val="003241A8"/>
    <w:rsid w:val="003253F0"/>
    <w:rsid w:val="003337DA"/>
    <w:rsid w:val="00334EFB"/>
    <w:rsid w:val="00335CDE"/>
    <w:rsid w:val="003365A5"/>
    <w:rsid w:val="00343C83"/>
    <w:rsid w:val="00347192"/>
    <w:rsid w:val="0034744C"/>
    <w:rsid w:val="00351FE0"/>
    <w:rsid w:val="00352615"/>
    <w:rsid w:val="0035412B"/>
    <w:rsid w:val="003567A8"/>
    <w:rsid w:val="00362895"/>
    <w:rsid w:val="003678A5"/>
    <w:rsid w:val="00370DBF"/>
    <w:rsid w:val="00386093"/>
    <w:rsid w:val="00387FA5"/>
    <w:rsid w:val="003904A4"/>
    <w:rsid w:val="00391841"/>
    <w:rsid w:val="00391B6D"/>
    <w:rsid w:val="00394922"/>
    <w:rsid w:val="00395EAD"/>
    <w:rsid w:val="00396085"/>
    <w:rsid w:val="003974B8"/>
    <w:rsid w:val="003A0E32"/>
    <w:rsid w:val="003A2B94"/>
    <w:rsid w:val="003B387D"/>
    <w:rsid w:val="003B7F0A"/>
    <w:rsid w:val="003C0D58"/>
    <w:rsid w:val="003D4FA3"/>
    <w:rsid w:val="003E0807"/>
    <w:rsid w:val="003E2DA9"/>
    <w:rsid w:val="003E51FB"/>
    <w:rsid w:val="003E6B39"/>
    <w:rsid w:val="003F07E1"/>
    <w:rsid w:val="00400E45"/>
    <w:rsid w:val="004026DB"/>
    <w:rsid w:val="004030BC"/>
    <w:rsid w:val="00403F7D"/>
    <w:rsid w:val="00406785"/>
    <w:rsid w:val="004079B4"/>
    <w:rsid w:val="00417A56"/>
    <w:rsid w:val="00420957"/>
    <w:rsid w:val="00422A10"/>
    <w:rsid w:val="00430179"/>
    <w:rsid w:val="004328FC"/>
    <w:rsid w:val="004414B5"/>
    <w:rsid w:val="00444482"/>
    <w:rsid w:val="00444B42"/>
    <w:rsid w:val="00445E44"/>
    <w:rsid w:val="004500A3"/>
    <w:rsid w:val="004509E2"/>
    <w:rsid w:val="004515EE"/>
    <w:rsid w:val="004529F0"/>
    <w:rsid w:val="00460A03"/>
    <w:rsid w:val="00472A11"/>
    <w:rsid w:val="00472AAD"/>
    <w:rsid w:val="00474E33"/>
    <w:rsid w:val="00476803"/>
    <w:rsid w:val="00477B17"/>
    <w:rsid w:val="00485BFD"/>
    <w:rsid w:val="004867A2"/>
    <w:rsid w:val="004873F2"/>
    <w:rsid w:val="00490D4C"/>
    <w:rsid w:val="004934CB"/>
    <w:rsid w:val="00493A35"/>
    <w:rsid w:val="0049527A"/>
    <w:rsid w:val="004966BF"/>
    <w:rsid w:val="00496DEF"/>
    <w:rsid w:val="00497984"/>
    <w:rsid w:val="004A15F5"/>
    <w:rsid w:val="004A5088"/>
    <w:rsid w:val="004C1E3F"/>
    <w:rsid w:val="004C23F4"/>
    <w:rsid w:val="004C3475"/>
    <w:rsid w:val="004C497B"/>
    <w:rsid w:val="004C58B6"/>
    <w:rsid w:val="004D16A3"/>
    <w:rsid w:val="004D4AA1"/>
    <w:rsid w:val="004D5DC7"/>
    <w:rsid w:val="004D6D68"/>
    <w:rsid w:val="004E39EE"/>
    <w:rsid w:val="004E5EDD"/>
    <w:rsid w:val="004F0722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7A1B"/>
    <w:rsid w:val="00551BD8"/>
    <w:rsid w:val="0055723E"/>
    <w:rsid w:val="00581055"/>
    <w:rsid w:val="00591E38"/>
    <w:rsid w:val="005A19C5"/>
    <w:rsid w:val="005A3034"/>
    <w:rsid w:val="005A462D"/>
    <w:rsid w:val="005A5D8F"/>
    <w:rsid w:val="005B20BE"/>
    <w:rsid w:val="005B253B"/>
    <w:rsid w:val="005B771D"/>
    <w:rsid w:val="005C335F"/>
    <w:rsid w:val="005C5D16"/>
    <w:rsid w:val="005D3193"/>
    <w:rsid w:val="005D4A6E"/>
    <w:rsid w:val="005E6979"/>
    <w:rsid w:val="005E75CB"/>
    <w:rsid w:val="006013C1"/>
    <w:rsid w:val="00604C1B"/>
    <w:rsid w:val="0060669E"/>
    <w:rsid w:val="00610F2E"/>
    <w:rsid w:val="00611399"/>
    <w:rsid w:val="006137DC"/>
    <w:rsid w:val="00614C8A"/>
    <w:rsid w:val="0061716F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1A3E"/>
    <w:rsid w:val="0066333C"/>
    <w:rsid w:val="006639B4"/>
    <w:rsid w:val="006650FE"/>
    <w:rsid w:val="0067305D"/>
    <w:rsid w:val="00677D9B"/>
    <w:rsid w:val="00685657"/>
    <w:rsid w:val="006867F3"/>
    <w:rsid w:val="00687890"/>
    <w:rsid w:val="006901A2"/>
    <w:rsid w:val="00690368"/>
    <w:rsid w:val="0069079C"/>
    <w:rsid w:val="00690B53"/>
    <w:rsid w:val="00694E9D"/>
    <w:rsid w:val="00695B72"/>
    <w:rsid w:val="006A49A4"/>
    <w:rsid w:val="006B160A"/>
    <w:rsid w:val="006B49A5"/>
    <w:rsid w:val="006B4E6C"/>
    <w:rsid w:val="006B50B6"/>
    <w:rsid w:val="006D79EA"/>
    <w:rsid w:val="006E5D05"/>
    <w:rsid w:val="006F01FE"/>
    <w:rsid w:val="00700FDE"/>
    <w:rsid w:val="00701053"/>
    <w:rsid w:val="00701507"/>
    <w:rsid w:val="00703024"/>
    <w:rsid w:val="00714021"/>
    <w:rsid w:val="00716A0F"/>
    <w:rsid w:val="00717D45"/>
    <w:rsid w:val="007208F7"/>
    <w:rsid w:val="0072184A"/>
    <w:rsid w:val="007218AF"/>
    <w:rsid w:val="0073177F"/>
    <w:rsid w:val="00733FC3"/>
    <w:rsid w:val="007365D1"/>
    <w:rsid w:val="00740E0E"/>
    <w:rsid w:val="00741C8D"/>
    <w:rsid w:val="007422F5"/>
    <w:rsid w:val="00745674"/>
    <w:rsid w:val="007459DE"/>
    <w:rsid w:val="00750212"/>
    <w:rsid w:val="00754779"/>
    <w:rsid w:val="0075716D"/>
    <w:rsid w:val="00763256"/>
    <w:rsid w:val="00765F14"/>
    <w:rsid w:val="00766C76"/>
    <w:rsid w:val="00770E31"/>
    <w:rsid w:val="007770F1"/>
    <w:rsid w:val="007800B1"/>
    <w:rsid w:val="00783FB1"/>
    <w:rsid w:val="00785CDD"/>
    <w:rsid w:val="00791847"/>
    <w:rsid w:val="007925F0"/>
    <w:rsid w:val="007939B3"/>
    <w:rsid w:val="0079509C"/>
    <w:rsid w:val="00796708"/>
    <w:rsid w:val="007A349F"/>
    <w:rsid w:val="007B076A"/>
    <w:rsid w:val="007B1B42"/>
    <w:rsid w:val="007C30EB"/>
    <w:rsid w:val="007D312E"/>
    <w:rsid w:val="007E063C"/>
    <w:rsid w:val="007E2A4B"/>
    <w:rsid w:val="007E307D"/>
    <w:rsid w:val="007E6A4E"/>
    <w:rsid w:val="007E6C94"/>
    <w:rsid w:val="007F1005"/>
    <w:rsid w:val="007F25E0"/>
    <w:rsid w:val="007F5328"/>
    <w:rsid w:val="007F572C"/>
    <w:rsid w:val="00804F5A"/>
    <w:rsid w:val="00806C20"/>
    <w:rsid w:val="00810C6D"/>
    <w:rsid w:val="00812887"/>
    <w:rsid w:val="00821D23"/>
    <w:rsid w:val="00826F21"/>
    <w:rsid w:val="008313C7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AAD"/>
    <w:rsid w:val="00887E4B"/>
    <w:rsid w:val="008915C8"/>
    <w:rsid w:val="008A2C8C"/>
    <w:rsid w:val="008A36CF"/>
    <w:rsid w:val="008A3BC4"/>
    <w:rsid w:val="008B0FA1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1D51"/>
    <w:rsid w:val="009118A6"/>
    <w:rsid w:val="00912F4F"/>
    <w:rsid w:val="00916909"/>
    <w:rsid w:val="00916EC0"/>
    <w:rsid w:val="00920467"/>
    <w:rsid w:val="00921DE7"/>
    <w:rsid w:val="0093041A"/>
    <w:rsid w:val="00930714"/>
    <w:rsid w:val="00931526"/>
    <w:rsid w:val="00931B03"/>
    <w:rsid w:val="009323B9"/>
    <w:rsid w:val="00932DCE"/>
    <w:rsid w:val="0093327E"/>
    <w:rsid w:val="00934028"/>
    <w:rsid w:val="0093760E"/>
    <w:rsid w:val="00941E36"/>
    <w:rsid w:val="00946044"/>
    <w:rsid w:val="0094660B"/>
    <w:rsid w:val="00946A33"/>
    <w:rsid w:val="00946B54"/>
    <w:rsid w:val="00946BFE"/>
    <w:rsid w:val="00946FFB"/>
    <w:rsid w:val="0095260E"/>
    <w:rsid w:val="009578DD"/>
    <w:rsid w:val="00961124"/>
    <w:rsid w:val="009621B6"/>
    <w:rsid w:val="0096248C"/>
    <w:rsid w:val="00972CC0"/>
    <w:rsid w:val="00974F2D"/>
    <w:rsid w:val="00977524"/>
    <w:rsid w:val="00977E88"/>
    <w:rsid w:val="00984920"/>
    <w:rsid w:val="0099303A"/>
    <w:rsid w:val="009971C2"/>
    <w:rsid w:val="009A1254"/>
    <w:rsid w:val="009A39D8"/>
    <w:rsid w:val="009B2FF2"/>
    <w:rsid w:val="009B380C"/>
    <w:rsid w:val="009B4843"/>
    <w:rsid w:val="009B6543"/>
    <w:rsid w:val="009C199D"/>
    <w:rsid w:val="009C278F"/>
    <w:rsid w:val="009C2B94"/>
    <w:rsid w:val="009C5874"/>
    <w:rsid w:val="009D313B"/>
    <w:rsid w:val="009D3B5A"/>
    <w:rsid w:val="009D7730"/>
    <w:rsid w:val="009D7F31"/>
    <w:rsid w:val="009E0C05"/>
    <w:rsid w:val="009E0D1C"/>
    <w:rsid w:val="009E2214"/>
    <w:rsid w:val="009E355A"/>
    <w:rsid w:val="009E63E2"/>
    <w:rsid w:val="009F05CF"/>
    <w:rsid w:val="009F0F3A"/>
    <w:rsid w:val="009F474F"/>
    <w:rsid w:val="00A01D0C"/>
    <w:rsid w:val="00A0643F"/>
    <w:rsid w:val="00A067EE"/>
    <w:rsid w:val="00A0704B"/>
    <w:rsid w:val="00A10FCE"/>
    <w:rsid w:val="00A16D91"/>
    <w:rsid w:val="00A174CC"/>
    <w:rsid w:val="00A2073D"/>
    <w:rsid w:val="00A20751"/>
    <w:rsid w:val="00A211E9"/>
    <w:rsid w:val="00A27E2D"/>
    <w:rsid w:val="00A31D99"/>
    <w:rsid w:val="00A357BA"/>
    <w:rsid w:val="00A35ADC"/>
    <w:rsid w:val="00A402A3"/>
    <w:rsid w:val="00A45170"/>
    <w:rsid w:val="00A47E9C"/>
    <w:rsid w:val="00A53681"/>
    <w:rsid w:val="00A633D4"/>
    <w:rsid w:val="00A6461A"/>
    <w:rsid w:val="00A67F07"/>
    <w:rsid w:val="00A82FC1"/>
    <w:rsid w:val="00A84504"/>
    <w:rsid w:val="00A8672F"/>
    <w:rsid w:val="00A93057"/>
    <w:rsid w:val="00A968B0"/>
    <w:rsid w:val="00AA2E92"/>
    <w:rsid w:val="00AB2672"/>
    <w:rsid w:val="00AB2817"/>
    <w:rsid w:val="00AB43C4"/>
    <w:rsid w:val="00AC32E7"/>
    <w:rsid w:val="00AC3A9F"/>
    <w:rsid w:val="00AC6D2F"/>
    <w:rsid w:val="00AD5AB0"/>
    <w:rsid w:val="00AE2745"/>
    <w:rsid w:val="00AE2F64"/>
    <w:rsid w:val="00AF42CB"/>
    <w:rsid w:val="00AF483F"/>
    <w:rsid w:val="00AF5E07"/>
    <w:rsid w:val="00AF5F06"/>
    <w:rsid w:val="00B00A25"/>
    <w:rsid w:val="00B1341E"/>
    <w:rsid w:val="00B1422A"/>
    <w:rsid w:val="00B1765C"/>
    <w:rsid w:val="00B213C4"/>
    <w:rsid w:val="00B40C60"/>
    <w:rsid w:val="00B479A9"/>
    <w:rsid w:val="00B51BB6"/>
    <w:rsid w:val="00B52EDF"/>
    <w:rsid w:val="00B56AB5"/>
    <w:rsid w:val="00B71188"/>
    <w:rsid w:val="00B73C67"/>
    <w:rsid w:val="00B75CEA"/>
    <w:rsid w:val="00B76A41"/>
    <w:rsid w:val="00B81E04"/>
    <w:rsid w:val="00B85AA3"/>
    <w:rsid w:val="00B87D4C"/>
    <w:rsid w:val="00B93646"/>
    <w:rsid w:val="00BA0B38"/>
    <w:rsid w:val="00BA1DBB"/>
    <w:rsid w:val="00BA4510"/>
    <w:rsid w:val="00BA529A"/>
    <w:rsid w:val="00BA5A42"/>
    <w:rsid w:val="00BB612A"/>
    <w:rsid w:val="00BB7B13"/>
    <w:rsid w:val="00BD499F"/>
    <w:rsid w:val="00BD56DE"/>
    <w:rsid w:val="00BF2406"/>
    <w:rsid w:val="00C03E4B"/>
    <w:rsid w:val="00C05339"/>
    <w:rsid w:val="00C146FA"/>
    <w:rsid w:val="00C16315"/>
    <w:rsid w:val="00C3091E"/>
    <w:rsid w:val="00C40FF1"/>
    <w:rsid w:val="00C419E2"/>
    <w:rsid w:val="00C42802"/>
    <w:rsid w:val="00C47456"/>
    <w:rsid w:val="00C5020E"/>
    <w:rsid w:val="00C57452"/>
    <w:rsid w:val="00C61EDF"/>
    <w:rsid w:val="00C6239D"/>
    <w:rsid w:val="00C6594B"/>
    <w:rsid w:val="00C66D58"/>
    <w:rsid w:val="00C67FFB"/>
    <w:rsid w:val="00C7155E"/>
    <w:rsid w:val="00C71D1E"/>
    <w:rsid w:val="00C71D7D"/>
    <w:rsid w:val="00C73934"/>
    <w:rsid w:val="00C747C0"/>
    <w:rsid w:val="00C74833"/>
    <w:rsid w:val="00C76312"/>
    <w:rsid w:val="00C850A0"/>
    <w:rsid w:val="00C85A86"/>
    <w:rsid w:val="00C978F0"/>
    <w:rsid w:val="00CA58FE"/>
    <w:rsid w:val="00CB153B"/>
    <w:rsid w:val="00CB1CB1"/>
    <w:rsid w:val="00CB6BC1"/>
    <w:rsid w:val="00CB6CB8"/>
    <w:rsid w:val="00CC1A68"/>
    <w:rsid w:val="00CC2123"/>
    <w:rsid w:val="00CD2BFD"/>
    <w:rsid w:val="00CD3325"/>
    <w:rsid w:val="00CD7F88"/>
    <w:rsid w:val="00CE3E10"/>
    <w:rsid w:val="00CE5AD6"/>
    <w:rsid w:val="00CE617F"/>
    <w:rsid w:val="00CE78EF"/>
    <w:rsid w:val="00CF531E"/>
    <w:rsid w:val="00D048F7"/>
    <w:rsid w:val="00D0517E"/>
    <w:rsid w:val="00D140FC"/>
    <w:rsid w:val="00D21D8C"/>
    <w:rsid w:val="00D31357"/>
    <w:rsid w:val="00D3319C"/>
    <w:rsid w:val="00D33220"/>
    <w:rsid w:val="00D334D1"/>
    <w:rsid w:val="00D365D6"/>
    <w:rsid w:val="00D44C89"/>
    <w:rsid w:val="00D516CD"/>
    <w:rsid w:val="00D668E6"/>
    <w:rsid w:val="00D70670"/>
    <w:rsid w:val="00D74D80"/>
    <w:rsid w:val="00D76624"/>
    <w:rsid w:val="00D8694E"/>
    <w:rsid w:val="00D87570"/>
    <w:rsid w:val="00D91CB9"/>
    <w:rsid w:val="00D97989"/>
    <w:rsid w:val="00D97D8D"/>
    <w:rsid w:val="00DA352E"/>
    <w:rsid w:val="00DC7694"/>
    <w:rsid w:val="00DD1BF6"/>
    <w:rsid w:val="00DD2F9B"/>
    <w:rsid w:val="00DD6B16"/>
    <w:rsid w:val="00DE2513"/>
    <w:rsid w:val="00DE26E8"/>
    <w:rsid w:val="00DF6F36"/>
    <w:rsid w:val="00E0084C"/>
    <w:rsid w:val="00E025AB"/>
    <w:rsid w:val="00E02B23"/>
    <w:rsid w:val="00E06F40"/>
    <w:rsid w:val="00E07CE8"/>
    <w:rsid w:val="00E159D6"/>
    <w:rsid w:val="00E26A07"/>
    <w:rsid w:val="00E32595"/>
    <w:rsid w:val="00E37CFD"/>
    <w:rsid w:val="00E41A26"/>
    <w:rsid w:val="00E46BCB"/>
    <w:rsid w:val="00E51CAF"/>
    <w:rsid w:val="00E60F04"/>
    <w:rsid w:val="00E62AAC"/>
    <w:rsid w:val="00E64F27"/>
    <w:rsid w:val="00E67C2F"/>
    <w:rsid w:val="00E67EF5"/>
    <w:rsid w:val="00E77231"/>
    <w:rsid w:val="00E804EA"/>
    <w:rsid w:val="00E80A71"/>
    <w:rsid w:val="00E82337"/>
    <w:rsid w:val="00E92499"/>
    <w:rsid w:val="00E949AF"/>
    <w:rsid w:val="00E96077"/>
    <w:rsid w:val="00EA0A06"/>
    <w:rsid w:val="00EA6243"/>
    <w:rsid w:val="00EA70BC"/>
    <w:rsid w:val="00EA74AB"/>
    <w:rsid w:val="00EB2B30"/>
    <w:rsid w:val="00EB3D1B"/>
    <w:rsid w:val="00ED1D89"/>
    <w:rsid w:val="00ED66BC"/>
    <w:rsid w:val="00EE085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EE7"/>
    <w:rsid w:val="00F16019"/>
    <w:rsid w:val="00F20E68"/>
    <w:rsid w:val="00F22093"/>
    <w:rsid w:val="00F236DF"/>
    <w:rsid w:val="00F31863"/>
    <w:rsid w:val="00F43AD5"/>
    <w:rsid w:val="00F4402E"/>
    <w:rsid w:val="00F56B30"/>
    <w:rsid w:val="00F56DD0"/>
    <w:rsid w:val="00F62D11"/>
    <w:rsid w:val="00F6491C"/>
    <w:rsid w:val="00F67BBB"/>
    <w:rsid w:val="00F80FCC"/>
    <w:rsid w:val="00F82438"/>
    <w:rsid w:val="00F87D92"/>
    <w:rsid w:val="00F90AA7"/>
    <w:rsid w:val="00F90FBA"/>
    <w:rsid w:val="00F92498"/>
    <w:rsid w:val="00F9496B"/>
    <w:rsid w:val="00F970C9"/>
    <w:rsid w:val="00FA06A8"/>
    <w:rsid w:val="00FA2C26"/>
    <w:rsid w:val="00FA3DF5"/>
    <w:rsid w:val="00FA741F"/>
    <w:rsid w:val="00FB1214"/>
    <w:rsid w:val="00FB4E07"/>
    <w:rsid w:val="00FB755A"/>
    <w:rsid w:val="00FC05F6"/>
    <w:rsid w:val="00FC2643"/>
    <w:rsid w:val="00FC3C3A"/>
    <w:rsid w:val="00FC60A2"/>
    <w:rsid w:val="00FD1871"/>
    <w:rsid w:val="00FD3110"/>
    <w:rsid w:val="00FD6A78"/>
    <w:rsid w:val="00FE227A"/>
    <w:rsid w:val="00FF2883"/>
    <w:rsid w:val="00FF442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01C0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B153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4F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F2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F2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F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F2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4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DECAE9A98874926807177B7A4749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FC7A9-93C7-4413-8BF0-EF756C03C017}"/>
      </w:docPartPr>
      <w:docPartBody>
        <w:p w:rsidR="00317BED" w:rsidRDefault="00C934B3" w:rsidP="00C934B3">
          <w:pPr>
            <w:pStyle w:val="1DECAE9A98874926807177B7A474906E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75CAF4DDD44B4088BB34BCBED7E09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04588-09FF-4343-BDD2-474E1158B881}"/>
      </w:docPartPr>
      <w:docPartBody>
        <w:p w:rsidR="00CF314B" w:rsidRDefault="00B232C0" w:rsidP="00B232C0">
          <w:pPr>
            <w:pStyle w:val="75CAF4DDD44B4088BB34BCBED7E09A97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6424D649AF34855BA7C531E253AC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9F28D-F83C-4870-A0B1-AEF69F1A81DD}"/>
      </w:docPartPr>
      <w:docPartBody>
        <w:p w:rsidR="00CF314B" w:rsidRDefault="00B232C0" w:rsidP="00B232C0">
          <w:pPr>
            <w:pStyle w:val="76424D649AF34855BA7C531E253ACEB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317BED"/>
    <w:rsid w:val="003F4916"/>
    <w:rsid w:val="006A315A"/>
    <w:rsid w:val="00AB7F45"/>
    <w:rsid w:val="00B232C0"/>
    <w:rsid w:val="00C934B3"/>
    <w:rsid w:val="00CF314B"/>
    <w:rsid w:val="00D21A9F"/>
    <w:rsid w:val="00E45436"/>
    <w:rsid w:val="00F4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7F4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E431814AE6449AA9B70A70F7A22BEF9">
    <w:name w:val="7E431814AE6449AA9B70A70F7A22BEF9"/>
    <w:rsid w:val="00E45436"/>
  </w:style>
  <w:style w:type="paragraph" w:customStyle="1" w:styleId="A97E495B48C64DF59A0A5EFCFFA95B2E">
    <w:name w:val="A97E495B48C64DF59A0A5EFCFFA95B2E"/>
    <w:rsid w:val="00E45436"/>
  </w:style>
  <w:style w:type="paragraph" w:customStyle="1" w:styleId="1DECAE9A98874926807177B7A474906E">
    <w:name w:val="1DECAE9A98874926807177B7A474906E"/>
    <w:rsid w:val="00C934B3"/>
  </w:style>
  <w:style w:type="paragraph" w:customStyle="1" w:styleId="75CAF4DDD44B4088BB34BCBED7E09A97">
    <w:name w:val="75CAF4DDD44B4088BB34BCBED7E09A97"/>
    <w:rsid w:val="00B232C0"/>
  </w:style>
  <w:style w:type="paragraph" w:customStyle="1" w:styleId="2819B4CFF3E248B3908A48A0F7570C8D">
    <w:name w:val="2819B4CFF3E248B3908A48A0F7570C8D"/>
    <w:rsid w:val="00B232C0"/>
  </w:style>
  <w:style w:type="paragraph" w:customStyle="1" w:styleId="76424D649AF34855BA7C531E253ACEBE">
    <w:name w:val="76424D649AF34855BA7C531E253ACEBE"/>
    <w:rsid w:val="00B232C0"/>
  </w:style>
  <w:style w:type="paragraph" w:customStyle="1" w:styleId="BA43F5611402462C91571CCE955FB069">
    <w:name w:val="BA43F5611402462C91571CCE955FB069"/>
    <w:rsid w:val="00AB7F45"/>
  </w:style>
  <w:style w:type="paragraph" w:customStyle="1" w:styleId="5092E09FAFEF49A9833300EB20EF92F0">
    <w:name w:val="5092E09FAFEF49A9833300EB20EF92F0"/>
    <w:rsid w:val="00AB7F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5B236-2209-4035-9CA2-CC3C8B9FFC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CB6C8-CB84-4631-93DF-1FC6E6A7CF1C}"/>
</file>

<file path=customXml/itemProps3.xml><?xml version="1.0" encoding="utf-8"?>
<ds:datastoreItem xmlns:ds="http://schemas.openxmlformats.org/officeDocument/2006/customXml" ds:itemID="{CC0C68BE-615E-4D06-965C-10B1BA5BED2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bf54d604-3e62-4e70-ba33-9e9084b96a6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A62274-A6ED-4ED7-BC46-3E82B7081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5970831.dotm</Template>
  <TotalTime>0</TotalTime>
  <Pages>6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2019-07-19T02:05:00Z</dcterms:created>
  <dcterms:modified xsi:type="dcterms:W3CDTF">2019-08-20T23:06:00Z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