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481739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3F3EE9" w14:textId="77777777" w:rsidR="00BD499F" w:rsidRPr="004C23F4" w:rsidRDefault="00D066E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Allyl Glycidyl Ether (AGE)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0D15DA0D" w14:textId="77777777" w:rsidTr="00B76A41">
        <w:trPr>
          <w:cantSplit/>
          <w:tblHeader/>
        </w:trPr>
        <w:tc>
          <w:tcPr>
            <w:tcW w:w="4077" w:type="dxa"/>
          </w:tcPr>
          <w:p w14:paraId="625D4BF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038C622" w14:textId="77777777" w:rsidR="00F43AD5" w:rsidRPr="00717D45" w:rsidRDefault="00D066EE" w:rsidP="00B76A41">
            <w:pPr>
              <w:pStyle w:val="Tablefont"/>
            </w:pPr>
            <w:r>
              <w:t>106-92-3</w:t>
            </w:r>
          </w:p>
        </w:tc>
      </w:tr>
      <w:tr w:rsidR="00F43AD5" w:rsidRPr="004C23F4" w14:paraId="34B233EE" w14:textId="77777777" w:rsidTr="00B76A41">
        <w:trPr>
          <w:cantSplit/>
        </w:trPr>
        <w:tc>
          <w:tcPr>
            <w:tcW w:w="4077" w:type="dxa"/>
          </w:tcPr>
          <w:p w14:paraId="1A5AD41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986D550" w14:textId="77777777" w:rsidR="00F43AD5" w:rsidRPr="00717D45" w:rsidRDefault="00B96886" w:rsidP="00243841">
            <w:pPr>
              <w:pStyle w:val="Tablefont"/>
            </w:pPr>
            <w:r w:rsidRPr="00B96886">
              <w:t>2-(prop-2-enoxymethyl)</w:t>
            </w:r>
            <w:proofErr w:type="spellStart"/>
            <w:r w:rsidRPr="00B96886">
              <w:t>oxirane</w:t>
            </w:r>
            <w:proofErr w:type="spellEnd"/>
            <w:r w:rsidR="00243841">
              <w:t>:</w:t>
            </w:r>
            <w:r>
              <w:t xml:space="preserve"> AGE</w:t>
            </w:r>
            <w:r w:rsidR="00243841">
              <w:t>:</w:t>
            </w:r>
            <w:r>
              <w:t xml:space="preserve"> </w:t>
            </w:r>
            <w:r w:rsidR="00243841">
              <w:br/>
            </w:r>
            <w:proofErr w:type="spellStart"/>
            <w:r>
              <w:t>g</w:t>
            </w:r>
            <w:r w:rsidRPr="00B96886">
              <w:t>lycidyl</w:t>
            </w:r>
            <w:proofErr w:type="spellEnd"/>
            <w:r w:rsidRPr="00B96886">
              <w:t xml:space="preserve"> allyl ether</w:t>
            </w:r>
          </w:p>
        </w:tc>
      </w:tr>
      <w:tr w:rsidR="00F43AD5" w:rsidRPr="004C23F4" w14:paraId="51ED305D" w14:textId="77777777" w:rsidTr="00B76A41">
        <w:trPr>
          <w:cantSplit/>
        </w:trPr>
        <w:tc>
          <w:tcPr>
            <w:tcW w:w="4077" w:type="dxa"/>
          </w:tcPr>
          <w:p w14:paraId="337F117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CCD100B" w14:textId="77777777" w:rsidR="00F43AD5" w:rsidRPr="00717D45" w:rsidRDefault="00B96886" w:rsidP="00B76A41">
            <w:pPr>
              <w:pStyle w:val="Tablefont"/>
            </w:pPr>
            <w:r>
              <w:t>C</w:t>
            </w:r>
            <w:r w:rsidRPr="00B96886">
              <w:rPr>
                <w:vertAlign w:val="subscript"/>
              </w:rPr>
              <w:t>6</w:t>
            </w:r>
            <w:r>
              <w:t>H</w:t>
            </w:r>
            <w:r w:rsidRPr="00B96886">
              <w:rPr>
                <w:vertAlign w:val="subscript"/>
              </w:rPr>
              <w:t>10</w:t>
            </w:r>
            <w:r>
              <w:t>O</w:t>
            </w:r>
            <w:r w:rsidRPr="00B96886">
              <w:rPr>
                <w:vertAlign w:val="subscript"/>
              </w:rPr>
              <w:t>2</w:t>
            </w:r>
          </w:p>
        </w:tc>
      </w:tr>
      <w:tr w:rsidR="00F43AD5" w:rsidRPr="004C23F4" w14:paraId="425D659E" w14:textId="77777777" w:rsidTr="00B76A41">
        <w:trPr>
          <w:cantSplit/>
        </w:trPr>
        <w:tc>
          <w:tcPr>
            <w:tcW w:w="4077" w:type="dxa"/>
          </w:tcPr>
          <w:p w14:paraId="13654CB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03D7FD2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4103F6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502C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953104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E5E416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1007346" w14:textId="77777777" w:rsidR="002C7AFE" w:rsidRPr="000502CD" w:rsidRDefault="000502C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A932508" w14:textId="77777777" w:rsidTr="00921DE7">
        <w:trPr>
          <w:cantSplit/>
        </w:trPr>
        <w:tc>
          <w:tcPr>
            <w:tcW w:w="4077" w:type="dxa"/>
            <w:vAlign w:val="center"/>
          </w:tcPr>
          <w:p w14:paraId="62A386E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67BE87F" w14:textId="77777777" w:rsidR="002C7AFE" w:rsidRPr="00EB3D1B" w:rsidRDefault="00A45EC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B39B01A" w14:textId="77777777" w:rsidTr="00921DE7">
        <w:trPr>
          <w:cantSplit/>
        </w:trPr>
        <w:tc>
          <w:tcPr>
            <w:tcW w:w="4077" w:type="dxa"/>
            <w:vAlign w:val="center"/>
          </w:tcPr>
          <w:p w14:paraId="0A00760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EBCC761" w14:textId="77777777" w:rsidR="002C7AFE" w:rsidRPr="00EB3D1B" w:rsidRDefault="00A45EC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1D5B777" w14:textId="77777777" w:rsidTr="00A2073D">
        <w:trPr>
          <w:cantSplit/>
        </w:trPr>
        <w:tc>
          <w:tcPr>
            <w:tcW w:w="4077" w:type="dxa"/>
          </w:tcPr>
          <w:p w14:paraId="2F25A37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1FC29A0" w14:textId="77777777" w:rsidR="002C7AFE" w:rsidRPr="00EB3D1B" w:rsidRDefault="006939B1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2, Sk</w:t>
            </w:r>
            <w:r w:rsidR="00627881">
              <w:rPr>
                <w:b/>
              </w:rPr>
              <w:t>.</w:t>
            </w:r>
            <w:r w:rsidR="000502CD">
              <w:rPr>
                <w:b/>
              </w:rPr>
              <w:t>, DSEN</w:t>
            </w:r>
          </w:p>
        </w:tc>
      </w:tr>
      <w:tr w:rsidR="002C7AFE" w:rsidRPr="004C23F4" w14:paraId="2B0ADDF9" w14:textId="77777777" w:rsidTr="00921DE7">
        <w:trPr>
          <w:cantSplit/>
        </w:trPr>
        <w:tc>
          <w:tcPr>
            <w:tcW w:w="4077" w:type="dxa"/>
            <w:vAlign w:val="center"/>
          </w:tcPr>
          <w:p w14:paraId="15F9DBFF" w14:textId="37EAE7E6" w:rsidR="00F10C97" w:rsidRPr="002C58FF" w:rsidRDefault="00921DE7" w:rsidP="003D6BA4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D798C5F" w14:textId="77777777" w:rsidR="002C7AFE" w:rsidRPr="00EB3D1B" w:rsidRDefault="0024384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3D6BA4" w:rsidRPr="004C23F4" w14:paraId="6E98DB97" w14:textId="77777777" w:rsidTr="003D6BA4">
        <w:trPr>
          <w:cantSplit/>
        </w:trPr>
        <w:tc>
          <w:tcPr>
            <w:tcW w:w="4077" w:type="dxa"/>
          </w:tcPr>
          <w:p w14:paraId="7D36BDAB" w14:textId="71D12C9A" w:rsidR="003D6BA4" w:rsidRDefault="003D6BA4" w:rsidP="003D6BA4">
            <w:pPr>
              <w:pStyle w:val="Tablerowright"/>
            </w:pPr>
            <w:bookmarkStart w:id="1" w:name="_GoBack" w:colFirst="0" w:colLast="0"/>
            <w:r>
              <w:t>Sampling and analysis:</w:t>
            </w:r>
          </w:p>
        </w:tc>
        <w:tc>
          <w:tcPr>
            <w:tcW w:w="5165" w:type="dxa"/>
          </w:tcPr>
          <w:p w14:paraId="38173D56" w14:textId="3E805DC4" w:rsidR="003D6BA4" w:rsidRPr="003D6BA4" w:rsidRDefault="003D6BA4" w:rsidP="00017C82">
            <w:pPr>
              <w:pStyle w:val="Tablefont"/>
            </w:pPr>
            <w:r w:rsidRPr="003D6BA4">
              <w:t>There is uncertainty regarding quantification of the recommended value with currently available sampling and/or analysis techniques.</w:t>
            </w:r>
          </w:p>
        </w:tc>
      </w:tr>
    </w:tbl>
    <w:bookmarkEnd w:id="1"/>
    <w:p w14:paraId="5AF25B8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EAEC548" w14:textId="4F555D61" w:rsidR="00243841" w:rsidRDefault="006939B1" w:rsidP="000C139A">
      <w:pPr>
        <w:rPr>
          <w:rFonts w:cs="Arial"/>
        </w:rPr>
      </w:pPr>
      <w:r>
        <w:rPr>
          <w:rFonts w:cs="Arial"/>
        </w:rPr>
        <w:t>A</w:t>
      </w:r>
      <w:r w:rsidR="00243841">
        <w:rPr>
          <w:rFonts w:cs="Arial"/>
        </w:rPr>
        <w:t>n interim</w:t>
      </w:r>
      <w:r w:rsidR="000502CD">
        <w:rPr>
          <w:rFonts w:cs="Arial"/>
        </w:rPr>
        <w:t xml:space="preserve"> TWA</w:t>
      </w:r>
      <w:r>
        <w:rPr>
          <w:rFonts w:cs="Arial"/>
        </w:rPr>
        <w:t xml:space="preserve"> of </w:t>
      </w:r>
      <w:r w:rsidRPr="006939B1">
        <w:rPr>
          <w:rFonts w:cs="Arial"/>
        </w:rPr>
        <w:t>0.1 ppm (0.5 mg/m</w:t>
      </w:r>
      <w:r w:rsidRPr="006939B1">
        <w:rPr>
          <w:rFonts w:cs="Arial"/>
          <w:vertAlign w:val="superscript"/>
        </w:rPr>
        <w:t>3</w:t>
      </w:r>
      <w:r w:rsidRPr="006939B1">
        <w:rPr>
          <w:rFonts w:cs="Arial"/>
        </w:rPr>
        <w:t>)</w:t>
      </w:r>
      <w:r w:rsidR="000502CD">
        <w:rPr>
          <w:rFonts w:cs="Arial"/>
        </w:rPr>
        <w:t xml:space="preserve"> </w:t>
      </w:r>
      <w:proofErr w:type="gramStart"/>
      <w:r w:rsidR="00A45EC3">
        <w:rPr>
          <w:rFonts w:cs="Arial"/>
        </w:rPr>
        <w:t>is</w:t>
      </w:r>
      <w:r w:rsidR="000502CD">
        <w:rPr>
          <w:rFonts w:cs="Arial"/>
        </w:rPr>
        <w:t xml:space="preserve"> recommended</w:t>
      </w:r>
      <w:proofErr w:type="gramEnd"/>
      <w:r w:rsidR="000502CD">
        <w:rPr>
          <w:rFonts w:cs="Arial"/>
        </w:rPr>
        <w:t xml:space="preserve"> to </w:t>
      </w:r>
      <w:r w:rsidR="00644975">
        <w:rPr>
          <w:rFonts w:cs="Arial"/>
        </w:rPr>
        <w:t xml:space="preserve">protect for cancers in exposed workers. </w:t>
      </w:r>
      <w:r w:rsidR="00243841">
        <w:rPr>
          <w:rFonts w:cs="Arial"/>
        </w:rPr>
        <w:t xml:space="preserve">This TWA </w:t>
      </w:r>
      <w:proofErr w:type="gramStart"/>
      <w:r w:rsidR="00243841">
        <w:rPr>
          <w:rFonts w:cs="Arial"/>
        </w:rPr>
        <w:t>is also expected</w:t>
      </w:r>
      <w:proofErr w:type="gramEnd"/>
      <w:r w:rsidR="00243841">
        <w:rPr>
          <w:rFonts w:cs="Arial"/>
        </w:rPr>
        <w:t xml:space="preserve"> to </w:t>
      </w:r>
      <w:r w:rsidR="00243841" w:rsidRPr="000502CD">
        <w:rPr>
          <w:rFonts w:cs="Arial"/>
        </w:rPr>
        <w:t xml:space="preserve">minimise the potential for ocular, dermal and upper respiratory tract irritation and contact dermatitis in </w:t>
      </w:r>
      <w:r w:rsidR="00243841">
        <w:rPr>
          <w:rFonts w:cs="Arial"/>
        </w:rPr>
        <w:t>exposed workers.</w:t>
      </w:r>
    </w:p>
    <w:p w14:paraId="31D31035" w14:textId="77777777" w:rsidR="00243841" w:rsidRPr="004C23F4" w:rsidRDefault="00644975" w:rsidP="00243841">
      <w:pPr>
        <w:rPr>
          <w:rFonts w:cs="Arial"/>
        </w:rPr>
      </w:pPr>
      <w:r>
        <w:rPr>
          <w:rFonts w:cs="Arial"/>
        </w:rPr>
        <w:t>AGE is c</w:t>
      </w:r>
      <w:r w:rsidR="00243841">
        <w:rPr>
          <w:rFonts w:cs="Arial"/>
        </w:rPr>
        <w:t>haracterised as</w:t>
      </w:r>
      <w:r>
        <w:rPr>
          <w:rFonts w:cs="Arial"/>
        </w:rPr>
        <w:t xml:space="preserve"> a non-threshold </w:t>
      </w:r>
      <w:r w:rsidR="00243841">
        <w:rPr>
          <w:rFonts w:cs="Arial"/>
        </w:rPr>
        <w:t xml:space="preserve">based </w:t>
      </w:r>
      <w:r>
        <w:rPr>
          <w:rFonts w:cs="Arial"/>
        </w:rPr>
        <w:t xml:space="preserve">genotoxic </w:t>
      </w:r>
      <w:r w:rsidR="00243841">
        <w:rPr>
          <w:rFonts w:cs="Arial"/>
        </w:rPr>
        <w:t>carcinogen</w:t>
      </w:r>
      <w:r>
        <w:rPr>
          <w:rFonts w:cs="Arial"/>
        </w:rPr>
        <w:t xml:space="preserve"> and the recommended TWA is associated with a minimal cancer risk.</w:t>
      </w:r>
      <w:r w:rsidR="00243841" w:rsidRPr="00243841" w:rsidDel="00B80A47">
        <w:rPr>
          <w:rFonts w:cs="Arial"/>
        </w:rPr>
        <w:t xml:space="preserve"> </w:t>
      </w:r>
      <w:proofErr w:type="gramStart"/>
      <w:r w:rsidR="00243841">
        <w:rPr>
          <w:rFonts w:cs="Arial"/>
        </w:rPr>
        <w:t>Neither a cancer slope factor or inhalation unit risk factor is available and</w:t>
      </w:r>
      <w:proofErr w:type="gramEnd"/>
      <w:r w:rsidR="00243841">
        <w:rPr>
          <w:rFonts w:cs="Arial"/>
        </w:rPr>
        <w:t xml:space="preserve"> it is recommended that a priority review be undertaken at the next scheduled review. </w:t>
      </w:r>
    </w:p>
    <w:p w14:paraId="09218BD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FD53C5" w14:textId="4E5C09B1" w:rsidR="006639B4" w:rsidRDefault="003278D0" w:rsidP="006639B4">
      <w:pPr>
        <w:rPr>
          <w:rFonts w:cs="Arial"/>
        </w:rPr>
      </w:pPr>
      <w:r>
        <w:rPr>
          <w:rFonts w:cs="Arial"/>
        </w:rPr>
        <w:t xml:space="preserve">AGE </w:t>
      </w:r>
      <w:r w:rsidR="006939B1">
        <w:rPr>
          <w:rFonts w:cs="Arial"/>
          <w:color w:val="222222"/>
          <w:shd w:val="clear" w:color="auto" w:fill="FFFFFF"/>
        </w:rPr>
        <w:t xml:space="preserve">is an organic compound used in adhesives and sealants and as a monomer for polymerisation reactions. It </w:t>
      </w:r>
      <w:r w:rsidR="00A56FCA">
        <w:rPr>
          <w:rFonts w:cs="Arial"/>
        </w:rPr>
        <w:t xml:space="preserve">has returned </w:t>
      </w:r>
      <w:r w:rsidR="00A56FCA" w:rsidRPr="00A56FCA">
        <w:rPr>
          <w:rFonts w:cs="Arial"/>
        </w:rPr>
        <w:t>positive results from adequately</w:t>
      </w:r>
      <w:r w:rsidR="00A56FCA">
        <w:rPr>
          <w:rFonts w:cs="Arial"/>
        </w:rPr>
        <w:t xml:space="preserve"> conducted mutagenicity and </w:t>
      </w:r>
      <w:proofErr w:type="spellStart"/>
      <w:r w:rsidR="00A56FCA">
        <w:rPr>
          <w:rFonts w:cs="Arial"/>
        </w:rPr>
        <w:t>genotoxicity</w:t>
      </w:r>
      <w:proofErr w:type="spellEnd"/>
      <w:r w:rsidR="00A56FCA">
        <w:rPr>
          <w:rFonts w:cs="Arial"/>
        </w:rPr>
        <w:t xml:space="preserve"> </w:t>
      </w:r>
      <w:r w:rsidR="00A56FCA" w:rsidRPr="00A56FCA">
        <w:rPr>
          <w:rFonts w:cs="Arial"/>
        </w:rPr>
        <w:t>tests</w:t>
      </w:r>
      <w:r w:rsidR="006939B1">
        <w:rPr>
          <w:rFonts w:cs="Arial"/>
        </w:rPr>
        <w:t xml:space="preserve"> </w:t>
      </w:r>
      <w:r w:rsidR="00A56FCA">
        <w:rPr>
          <w:rFonts w:cs="Arial"/>
        </w:rPr>
        <w:t>and has</w:t>
      </w:r>
      <w:r>
        <w:rPr>
          <w:rFonts w:cs="Arial"/>
        </w:rPr>
        <w:t xml:space="preserve"> </w:t>
      </w:r>
      <w:r w:rsidR="00A56FCA">
        <w:rPr>
          <w:rFonts w:cs="Arial"/>
        </w:rPr>
        <w:t>shown</w:t>
      </w:r>
      <w:r>
        <w:rPr>
          <w:rFonts w:cs="Arial"/>
        </w:rPr>
        <w:t xml:space="preserve"> </w:t>
      </w:r>
      <w:r w:rsidR="000502CD">
        <w:rPr>
          <w:rFonts w:cs="Arial"/>
        </w:rPr>
        <w:t>carcinogenic effects in animals</w:t>
      </w:r>
      <w:r w:rsidR="00A45EC3">
        <w:rPr>
          <w:rFonts w:cs="Arial"/>
        </w:rPr>
        <w:t>.</w:t>
      </w:r>
      <w:r w:rsidR="000502CD">
        <w:rPr>
          <w:rFonts w:cs="Arial"/>
        </w:rPr>
        <w:t xml:space="preserve"> </w:t>
      </w:r>
      <w:r w:rsidR="00A45EC3">
        <w:rPr>
          <w:rFonts w:cs="Arial"/>
        </w:rPr>
        <w:t>H</w:t>
      </w:r>
      <w:r w:rsidR="000502CD">
        <w:rPr>
          <w:rFonts w:cs="Arial"/>
        </w:rPr>
        <w:t xml:space="preserve">owever, </w:t>
      </w:r>
      <w:r w:rsidR="00CD7F44">
        <w:rPr>
          <w:rFonts w:cs="Arial"/>
        </w:rPr>
        <w:t xml:space="preserve">there are </w:t>
      </w:r>
      <w:r w:rsidR="000502CD">
        <w:rPr>
          <w:rFonts w:cs="Arial"/>
        </w:rPr>
        <w:t xml:space="preserve">no </w:t>
      </w:r>
      <w:r w:rsidR="00A56FCA">
        <w:rPr>
          <w:rFonts w:cs="Arial"/>
        </w:rPr>
        <w:t xml:space="preserve">carcinogenic </w:t>
      </w:r>
      <w:r w:rsidR="000502CD">
        <w:rPr>
          <w:rFonts w:cs="Arial"/>
        </w:rPr>
        <w:t xml:space="preserve">data </w:t>
      </w:r>
      <w:r w:rsidR="00CD7F44">
        <w:rPr>
          <w:rFonts w:cs="Arial"/>
        </w:rPr>
        <w:t xml:space="preserve">from </w:t>
      </w:r>
      <w:r w:rsidR="000502CD">
        <w:rPr>
          <w:rFonts w:cs="Arial"/>
        </w:rPr>
        <w:t>human</w:t>
      </w:r>
      <w:r w:rsidR="00CD7F44">
        <w:rPr>
          <w:rFonts w:cs="Arial"/>
        </w:rPr>
        <w:t xml:space="preserve"> studie</w:t>
      </w:r>
      <w:r w:rsidR="000502CD">
        <w:rPr>
          <w:rFonts w:cs="Arial"/>
        </w:rPr>
        <w:t>s</w:t>
      </w:r>
      <w:r>
        <w:rPr>
          <w:rFonts w:cs="Arial"/>
        </w:rPr>
        <w:t xml:space="preserve">. AGE is an irritant of the eyes and upper respiratory system in animals and humans and </w:t>
      </w:r>
      <w:proofErr w:type="gramStart"/>
      <w:r>
        <w:rPr>
          <w:rFonts w:cs="Arial"/>
        </w:rPr>
        <w:t>is consider</w:t>
      </w:r>
      <w:r w:rsidR="006939B1">
        <w:rPr>
          <w:rFonts w:cs="Arial"/>
        </w:rPr>
        <w:t>ed</w:t>
      </w:r>
      <w:proofErr w:type="gramEnd"/>
      <w:r>
        <w:rPr>
          <w:rFonts w:cs="Arial"/>
        </w:rPr>
        <w:t xml:space="preserve"> a dermal sensitiser (ACGIH, 2018; NICNAS, 2017; DFG, 2003).</w:t>
      </w:r>
    </w:p>
    <w:p w14:paraId="1F83A906" w14:textId="660448F2" w:rsidR="00B80A47" w:rsidRDefault="003278D0" w:rsidP="00B80A47">
      <w:pPr>
        <w:rPr>
          <w:rFonts w:cs="Arial"/>
        </w:rPr>
      </w:pPr>
      <w:r>
        <w:rPr>
          <w:rFonts w:cs="Arial"/>
        </w:rPr>
        <w:t xml:space="preserve">AGE </w:t>
      </w:r>
      <w:r w:rsidR="00B96886">
        <w:rPr>
          <w:rFonts w:cs="Arial"/>
        </w:rPr>
        <w:t>is characterised</w:t>
      </w:r>
      <w:r>
        <w:rPr>
          <w:rFonts w:cs="Arial"/>
        </w:rPr>
        <w:t xml:space="preserve"> </w:t>
      </w:r>
      <w:r w:rsidR="00627881">
        <w:rPr>
          <w:rFonts w:cs="Arial"/>
        </w:rPr>
        <w:t xml:space="preserve">as </w:t>
      </w:r>
      <w:r>
        <w:rPr>
          <w:rFonts w:cs="Arial"/>
        </w:rPr>
        <w:t>a non-threshold</w:t>
      </w:r>
      <w:r w:rsidR="00243841">
        <w:rPr>
          <w:rFonts w:cs="Arial"/>
        </w:rPr>
        <w:t xml:space="preserve"> based</w:t>
      </w:r>
      <w:r>
        <w:rPr>
          <w:rFonts w:cs="Arial"/>
        </w:rPr>
        <w:t xml:space="preserve"> genotoxic carcinogen</w:t>
      </w:r>
      <w:r w:rsidR="006939B1">
        <w:rPr>
          <w:rFonts w:cs="Arial"/>
        </w:rPr>
        <w:t xml:space="preserve">. </w:t>
      </w:r>
      <w:r>
        <w:rPr>
          <w:rFonts w:cs="Arial"/>
        </w:rPr>
        <w:t>Currently</w:t>
      </w:r>
      <w:r w:rsidR="00CD7F44">
        <w:rPr>
          <w:rFonts w:cs="Arial"/>
        </w:rPr>
        <w:t xml:space="preserve"> (DFG, 2003).</w:t>
      </w:r>
      <w:r>
        <w:rPr>
          <w:rFonts w:cs="Arial"/>
        </w:rPr>
        <w:t xml:space="preserve"> </w:t>
      </w:r>
      <w:r w:rsidR="00CD7F44">
        <w:rPr>
          <w:rFonts w:cs="Arial"/>
        </w:rPr>
        <w:t xml:space="preserve">No </w:t>
      </w:r>
      <w:r>
        <w:rPr>
          <w:rFonts w:cs="Arial"/>
        </w:rPr>
        <w:t>suitable exposure-response functions are available</w:t>
      </w:r>
      <w:r w:rsidR="00EB6F19">
        <w:rPr>
          <w:rFonts w:cs="Arial"/>
        </w:rPr>
        <w:t xml:space="preserve"> to derive a risk-based value in relation to </w:t>
      </w:r>
      <w:r w:rsidR="00243841">
        <w:rPr>
          <w:rFonts w:cs="Arial"/>
        </w:rPr>
        <w:t>carcinogenicity</w:t>
      </w:r>
      <w:r w:rsidR="00CD7F44">
        <w:rPr>
          <w:rFonts w:cs="Arial"/>
        </w:rPr>
        <w:t>.</w:t>
      </w:r>
      <w:r w:rsidR="00EB6F19">
        <w:rPr>
          <w:rFonts w:cs="Arial"/>
        </w:rPr>
        <w:t xml:space="preserve"> </w:t>
      </w:r>
      <w:r w:rsidR="00CD7F44">
        <w:rPr>
          <w:rFonts w:cs="Arial"/>
        </w:rPr>
        <w:t>Therefore,</w:t>
      </w:r>
      <w:r w:rsidR="00EB6F19">
        <w:rPr>
          <w:rFonts w:cs="Arial"/>
        </w:rPr>
        <w:t xml:space="preserve"> an int</w:t>
      </w:r>
      <w:r w:rsidR="006939B1">
        <w:rPr>
          <w:rFonts w:cs="Arial"/>
        </w:rPr>
        <w:t>erim TWA</w:t>
      </w:r>
      <w:r w:rsidR="00CD7F44">
        <w:rPr>
          <w:rFonts w:cs="Arial"/>
        </w:rPr>
        <w:t xml:space="preserve"> of</w:t>
      </w:r>
      <w:r w:rsidR="006939B1">
        <w:rPr>
          <w:rFonts w:cs="Arial"/>
        </w:rPr>
        <w:t xml:space="preserve"> </w:t>
      </w:r>
      <w:r w:rsidR="00CD7F44" w:rsidRPr="00614935">
        <w:rPr>
          <w:bCs/>
        </w:rPr>
        <w:t>0.1 ppm (0.5 mg/m</w:t>
      </w:r>
      <w:r w:rsidR="00CD7F44" w:rsidRPr="00614935">
        <w:rPr>
          <w:bCs/>
          <w:vertAlign w:val="superscript"/>
        </w:rPr>
        <w:t>3</w:t>
      </w:r>
      <w:r w:rsidR="00CD7F44" w:rsidRPr="00614935">
        <w:rPr>
          <w:bCs/>
        </w:rPr>
        <w:t>)</w:t>
      </w:r>
      <w:r w:rsidR="00CD7F44">
        <w:rPr>
          <w:bCs/>
        </w:rPr>
        <w:t xml:space="preserve"> </w:t>
      </w:r>
      <w:proofErr w:type="gramStart"/>
      <w:r w:rsidR="006939B1">
        <w:rPr>
          <w:rFonts w:cs="Arial"/>
        </w:rPr>
        <w:t>has been recommended</w:t>
      </w:r>
      <w:proofErr w:type="gramEnd"/>
      <w:r w:rsidR="006939B1">
        <w:rPr>
          <w:rFonts w:cs="Arial"/>
        </w:rPr>
        <w:t>.</w:t>
      </w:r>
      <w:r w:rsidR="00CD7F44">
        <w:rPr>
          <w:rFonts w:cs="Arial"/>
        </w:rPr>
        <w:t xml:space="preserve"> </w:t>
      </w:r>
    </w:p>
    <w:p w14:paraId="18F819B5" w14:textId="77777777" w:rsidR="00B80A47" w:rsidRDefault="00B80A47" w:rsidP="00B80A47">
      <w:pPr>
        <w:rPr>
          <w:rFonts w:cs="Arial"/>
        </w:rPr>
      </w:pPr>
      <w:r>
        <w:rPr>
          <w:rFonts w:cs="Arial"/>
        </w:rPr>
        <w:t xml:space="preserve">The interim TWA </w:t>
      </w:r>
      <w:proofErr w:type="gramStart"/>
      <w:r>
        <w:rPr>
          <w:rFonts w:cs="Arial"/>
        </w:rPr>
        <w:t>is derived</w:t>
      </w:r>
      <w:proofErr w:type="gramEnd"/>
      <w:r>
        <w:rPr>
          <w:rFonts w:cs="Arial"/>
        </w:rPr>
        <w:t xml:space="preserve"> from a sub-chronic inhalation study in mice that reported upper respiratory tract irritation at 1 ppm and an interspecies uncertainty factor of 10.</w:t>
      </w:r>
    </w:p>
    <w:p w14:paraId="00FEF60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030D94F" w14:textId="77777777" w:rsidR="00B96886" w:rsidRPr="00EB6F19" w:rsidRDefault="00B96886" w:rsidP="00B96886">
      <w:pPr>
        <w:rPr>
          <w:rFonts w:cs="Arial"/>
        </w:rPr>
      </w:pPr>
      <w:r>
        <w:rPr>
          <w:rFonts w:cs="Arial"/>
        </w:rPr>
        <w:t>C</w:t>
      </w:r>
      <w:r w:rsidRPr="00EB6F19">
        <w:rPr>
          <w:rFonts w:cs="Arial"/>
        </w:rPr>
        <w:t xml:space="preserve">lassified as a </w:t>
      </w:r>
      <w:r w:rsidR="00063EE7">
        <w:rPr>
          <w:rFonts w:cs="Arial"/>
        </w:rPr>
        <w:t xml:space="preserve">category 2 </w:t>
      </w:r>
      <w:r w:rsidRPr="00EB6F19">
        <w:rPr>
          <w:rFonts w:cs="Arial"/>
        </w:rPr>
        <w:t>carcinogen</w:t>
      </w:r>
      <w:r>
        <w:rPr>
          <w:rFonts w:cs="Arial"/>
        </w:rPr>
        <w:t xml:space="preserve"> </w:t>
      </w:r>
      <w:r w:rsidRPr="00EB6F19">
        <w:rPr>
          <w:rFonts w:cs="Arial"/>
        </w:rPr>
        <w:t>according to the Globally Harmonized System of Classification and Labelling of Chemicals (GHS).</w:t>
      </w:r>
    </w:p>
    <w:p w14:paraId="7D0D8E14" w14:textId="43CE6B68" w:rsidR="006939B1" w:rsidRPr="00EB6F19" w:rsidRDefault="006939B1" w:rsidP="006939B1">
      <w:pPr>
        <w:rPr>
          <w:rFonts w:cs="Arial"/>
        </w:rPr>
      </w:pPr>
      <w:r>
        <w:rPr>
          <w:rFonts w:cs="Arial"/>
        </w:rPr>
        <w:t>C</w:t>
      </w:r>
      <w:r w:rsidRPr="00EB6F19">
        <w:rPr>
          <w:rFonts w:cs="Arial"/>
        </w:rPr>
        <w:t xml:space="preserve">lassified as a </w:t>
      </w:r>
      <w:r>
        <w:rPr>
          <w:rFonts w:cs="Arial"/>
        </w:rPr>
        <w:t>skin sensitiser</w:t>
      </w:r>
      <w:r w:rsidRPr="00EB6F19">
        <w:rPr>
          <w:rFonts w:cs="Arial"/>
        </w:rPr>
        <w:t xml:space="preserve"> </w:t>
      </w:r>
      <w:r w:rsidR="00C57AF8">
        <w:rPr>
          <w:rFonts w:cs="Arial"/>
        </w:rPr>
        <w:t>and</w:t>
      </w:r>
      <w:r w:rsidR="00BC0D5C">
        <w:rPr>
          <w:rFonts w:cs="Arial"/>
        </w:rPr>
        <w:t xml:space="preserve"> not a respiratory sensitiser </w:t>
      </w:r>
      <w:r w:rsidRPr="00EB6F19">
        <w:rPr>
          <w:rFonts w:cs="Arial"/>
        </w:rPr>
        <w:t>according to the GHS.</w:t>
      </w:r>
    </w:p>
    <w:p w14:paraId="0C108D87" w14:textId="77777777" w:rsidR="00EB6F19" w:rsidRPr="00EB6F19" w:rsidRDefault="00EB6F19" w:rsidP="00EB6F19">
      <w:pPr>
        <w:rPr>
          <w:rFonts w:cs="Arial"/>
        </w:rPr>
      </w:pPr>
      <w:r w:rsidRPr="00EB6F19">
        <w:rPr>
          <w:rFonts w:cs="Arial"/>
        </w:rPr>
        <w:lastRenderedPageBreak/>
        <w:t xml:space="preserve">A skin notation </w:t>
      </w:r>
      <w:proofErr w:type="gramStart"/>
      <w:r w:rsidR="00BC0D5C">
        <w:rPr>
          <w:rFonts w:cs="Arial"/>
        </w:rPr>
        <w:t>is recommended</w:t>
      </w:r>
      <w:proofErr w:type="gramEnd"/>
      <w:r w:rsidRPr="00EB6F19">
        <w:rPr>
          <w:rFonts w:cs="Arial"/>
        </w:rPr>
        <w:t xml:space="preserve"> as evidence indicates </w:t>
      </w:r>
      <w:r w:rsidR="00100C5B">
        <w:rPr>
          <w:rFonts w:cs="Arial"/>
        </w:rPr>
        <w:t xml:space="preserve">skin absorption </w:t>
      </w:r>
      <w:r w:rsidR="00A45EC3">
        <w:rPr>
          <w:rFonts w:cs="Arial"/>
        </w:rPr>
        <w:t>results in</w:t>
      </w:r>
      <w:r w:rsidRPr="00EB6F19">
        <w:rPr>
          <w:rFonts w:cs="Arial"/>
        </w:rPr>
        <w:t xml:space="preserve"> systemic effects.</w:t>
      </w:r>
    </w:p>
    <w:p w14:paraId="72123C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096878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9DB1B5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253986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5B4C0C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0039E8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C09D37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320F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320FD">
                  <w:t>TWA: 5 ppm (23 mg/m</w:t>
                </w:r>
                <w:r w:rsidR="00B320FD">
                  <w:rPr>
                    <w:vertAlign w:val="superscript"/>
                  </w:rPr>
                  <w:t>3</w:t>
                </w:r>
                <w:r w:rsidR="00B320FD">
                  <w:t>); STEL: 10 ppm (47 mg/m</w:t>
                </w:r>
                <w:r w:rsidR="00B320FD">
                  <w:rPr>
                    <w:vertAlign w:val="superscript"/>
                  </w:rPr>
                  <w:t>3</w:t>
                </w:r>
                <w:r w:rsidR="00B320FD">
                  <w:t>)</w:t>
                </w:r>
              </w:sdtContent>
            </w:sdt>
          </w:p>
        </w:tc>
      </w:tr>
      <w:tr w:rsidR="00C978F0" w:rsidRPr="00DA352E" w14:paraId="687BAB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E68B5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3D2534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70DCC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320F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320FD">
                  <w:t>TLV-TWA: 1 ppm (4.7 mg/m</w:t>
                </w:r>
                <w:r w:rsidR="00B320FD">
                  <w:rPr>
                    <w:vertAlign w:val="superscript"/>
                  </w:rPr>
                  <w:t>3</w:t>
                </w:r>
                <w:r w:rsidR="00B320FD">
                  <w:t>)</w:t>
                </w:r>
              </w:sdtContent>
            </w:sdt>
          </w:p>
        </w:tc>
      </w:tr>
      <w:tr w:rsidR="00C978F0" w:rsidRPr="00DA352E" w14:paraId="1101276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D178E0" w14:textId="77777777" w:rsidR="00243841" w:rsidRDefault="00243841" w:rsidP="003365A5">
            <w:pPr>
              <w:pStyle w:val="Tabletextprimarysource"/>
            </w:pPr>
          </w:p>
          <w:p w14:paraId="7D16F80C" w14:textId="77777777" w:rsidR="00C978F0" w:rsidRDefault="004D1593" w:rsidP="003365A5">
            <w:pPr>
              <w:pStyle w:val="Tabletextprimarysource"/>
            </w:pPr>
            <w:r>
              <w:t xml:space="preserve">TLV-TWA recommended </w:t>
            </w:r>
            <w:proofErr w:type="gramStart"/>
            <w:r>
              <w:t>to minimise</w:t>
            </w:r>
            <w:proofErr w:type="gramEnd"/>
            <w:r>
              <w:t xml:space="preserve"> the potential for ocular, dermal and upper respiratory tract irritation and contact dermatitis in exposed workers.</w:t>
            </w:r>
          </w:p>
          <w:p w14:paraId="7536D9EB" w14:textId="77777777" w:rsidR="004D1593" w:rsidRDefault="004D1593" w:rsidP="003365A5">
            <w:pPr>
              <w:pStyle w:val="Tabletextprimarysource"/>
            </w:pPr>
            <w:r>
              <w:t>Summary of data:</w:t>
            </w:r>
          </w:p>
          <w:p w14:paraId="54530C6C" w14:textId="77777777" w:rsidR="004D1593" w:rsidRDefault="003F4480" w:rsidP="00B96886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11107569" w14:textId="77777777" w:rsidR="003F4480" w:rsidRDefault="00B96886" w:rsidP="003F4480">
            <w:pPr>
              <w:pStyle w:val="ListBullet"/>
              <w:ind w:left="720"/>
            </w:pPr>
            <w:r>
              <w:t>Worker reported dermatitis</w:t>
            </w:r>
            <w:r w:rsidR="003F4480">
              <w:t xml:space="preserve"> consisting of itching, swelling and blister formation</w:t>
            </w:r>
            <w:r w:rsidR="009C439F">
              <w:t xml:space="preserve"> following exposure to vapour and/or liquid</w:t>
            </w:r>
          </w:p>
          <w:p w14:paraId="3F74FF62" w14:textId="77777777" w:rsidR="003F4480" w:rsidRDefault="00FC3907" w:rsidP="00FC3907">
            <w:pPr>
              <w:pStyle w:val="ListBullet"/>
              <w:ind w:left="720"/>
            </w:pPr>
            <w:r>
              <w:t>Patch-testing confirmed clinical sensitisation</w:t>
            </w:r>
          </w:p>
          <w:p w14:paraId="06761BF6" w14:textId="1C4BE3F6" w:rsidR="00FC3907" w:rsidRDefault="00B96886" w:rsidP="00FC3907">
            <w:pPr>
              <w:pStyle w:val="ListBullet"/>
              <w:ind w:left="720"/>
            </w:pPr>
            <w:proofErr w:type="gramStart"/>
            <w:r>
              <w:t>250 ppm</w:t>
            </w:r>
            <w:proofErr w:type="gramEnd"/>
            <w:r>
              <w:t xml:space="preserve"> (</w:t>
            </w:r>
            <w:r w:rsidR="00FC3907">
              <w:t>1,144 mg/m</w:t>
            </w:r>
            <w:r w:rsidR="00FC3907">
              <w:rPr>
                <w:vertAlign w:val="superscript"/>
              </w:rPr>
              <w:t>3</w:t>
            </w:r>
            <w:r w:rsidR="00A45EC3">
              <w:t>)</w:t>
            </w:r>
            <w:r w:rsidR="00A93774">
              <w:t xml:space="preserve"> </w:t>
            </w:r>
            <w:r>
              <w:rPr>
                <w:rFonts w:cs="Arial"/>
                <w:color w:val="222222"/>
                <w:shd w:val="clear" w:color="auto" w:fill="FFFFFF"/>
              </w:rPr>
              <w:t>≡</w:t>
            </w:r>
            <w:r w:rsidR="00CD7F44">
              <w:rPr>
                <w:rFonts w:cs="Arial"/>
                <w:color w:val="222222"/>
                <w:shd w:val="clear" w:color="auto" w:fill="FFFFFF"/>
              </w:rPr>
              <w:t xml:space="preserve"> </w:t>
            </w:r>
            <w:r>
              <w:t>LC</w:t>
            </w:r>
            <w:r>
              <w:rPr>
                <w:vertAlign w:val="subscript"/>
              </w:rPr>
              <w:t>50</w:t>
            </w:r>
            <w:r w:rsidRPr="006939B1">
              <w:t>:</w:t>
            </w:r>
            <w:r w:rsidR="00317BA2">
              <w:rPr>
                <w:vertAlign w:val="subscript"/>
              </w:rPr>
              <w:t xml:space="preserve"> </w:t>
            </w:r>
            <w:r>
              <w:t>270 ppm (</w:t>
            </w:r>
            <w:r w:rsidR="00FC3907">
              <w:t>mouse</w:t>
            </w:r>
            <w:r>
              <w:t>, 4</w:t>
            </w:r>
            <w:r w:rsidR="00CD7F44">
              <w:t xml:space="preserve"> </w:t>
            </w:r>
            <w:r w:rsidR="00317BA2">
              <w:t>h</w:t>
            </w:r>
            <w:r w:rsidR="00FC3907">
              <w:t xml:space="preserve">) </w:t>
            </w:r>
            <w:r w:rsidR="00FC3907" w:rsidRPr="00FC3907">
              <w:t>listed</w:t>
            </w:r>
            <w:r w:rsidR="00FC3907">
              <w:t xml:space="preserve"> as ‘irritating concentration</w:t>
            </w:r>
            <w:r w:rsidR="00100C5B">
              <w:t>’</w:t>
            </w:r>
            <w:r w:rsidR="00243841">
              <w:t>.</w:t>
            </w:r>
          </w:p>
          <w:p w14:paraId="7C1B592C" w14:textId="77777777" w:rsidR="00A45EC3" w:rsidRDefault="00A45EC3" w:rsidP="00B9688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038DEA7" w14:textId="77777777" w:rsidR="00FC3907" w:rsidRDefault="00FC3907" w:rsidP="00B96886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0C27546" w14:textId="77777777" w:rsidR="00924383" w:rsidRDefault="00317BA2" w:rsidP="00924383">
            <w:pPr>
              <w:pStyle w:val="ListBullet"/>
              <w:ind w:left="720"/>
            </w:pPr>
            <w:r>
              <w:t>5 ppm (6 h</w:t>
            </w:r>
            <w:r w:rsidR="00B96886">
              <w:t>/d</w:t>
            </w:r>
            <w:r w:rsidR="00100C5B">
              <w:t>, 5 d</w:t>
            </w:r>
            <w:r w:rsidR="00B536BE">
              <w:t>/</w:t>
            </w:r>
            <w:proofErr w:type="spellStart"/>
            <w:r w:rsidR="00B536BE">
              <w:t>wk</w:t>
            </w:r>
            <w:proofErr w:type="spellEnd"/>
            <w:r w:rsidR="00B536BE">
              <w:t xml:space="preserve"> for 102</w:t>
            </w:r>
            <w:r w:rsidR="00B72AB0">
              <w:t>–</w:t>
            </w:r>
            <w:r w:rsidR="00B536BE">
              <w:t xml:space="preserve">103 </w:t>
            </w:r>
            <w:proofErr w:type="spellStart"/>
            <w:r w:rsidR="00B536BE">
              <w:t>wk</w:t>
            </w:r>
            <w:proofErr w:type="spellEnd"/>
            <w:r w:rsidR="00924383">
              <w:t xml:space="preserve">) in rodents: </w:t>
            </w:r>
            <w:r w:rsidR="00A45EC3">
              <w:t>s</w:t>
            </w:r>
            <w:r w:rsidR="00924383">
              <w:t>quamous metaplasia, inflammation, respiratory epithelial and basal cell hyperplasia, olfactory epithelial degeneration and dysplasia</w:t>
            </w:r>
          </w:p>
          <w:p w14:paraId="1F19D8A5" w14:textId="77777777" w:rsidR="00AF76B1" w:rsidRDefault="00AF76B1" w:rsidP="00AF76B1">
            <w:pPr>
              <w:pStyle w:val="ListBullet"/>
              <w:ind w:left="720"/>
            </w:pPr>
            <w:r w:rsidRPr="00FC3907">
              <w:t>LC</w:t>
            </w:r>
            <w:r w:rsidRPr="00FC3907">
              <w:rPr>
                <w:vertAlign w:val="subscript"/>
              </w:rPr>
              <w:t>50</w:t>
            </w:r>
            <w:r>
              <w:t>:</w:t>
            </w:r>
            <w:r w:rsidRPr="00FC3907">
              <w:t xml:space="preserve"> 270 ppm</w:t>
            </w:r>
            <w:r w:rsidR="00B96886">
              <w:t xml:space="preserve"> (mouse</w:t>
            </w:r>
            <w:r w:rsidR="00100C5B">
              <w:t>,</w:t>
            </w:r>
            <w:r w:rsidR="00B96886">
              <w:t xml:space="preserve"> 4 </w:t>
            </w:r>
            <w:r w:rsidR="00317BA2">
              <w:t>h</w:t>
            </w:r>
            <w:r w:rsidR="00B96886">
              <w:t>)</w:t>
            </w:r>
          </w:p>
          <w:p w14:paraId="3D990018" w14:textId="77777777" w:rsidR="00AF76B1" w:rsidRDefault="009C439F" w:rsidP="00AF76B1">
            <w:pPr>
              <w:pStyle w:val="ListBullet"/>
              <w:ind w:left="720"/>
            </w:pPr>
            <w:r>
              <w:t>R</w:t>
            </w:r>
            <w:r w:rsidR="00AF76B1">
              <w:t>D</w:t>
            </w:r>
            <w:r w:rsidR="00AF76B1">
              <w:rPr>
                <w:vertAlign w:val="subscript"/>
              </w:rPr>
              <w:t>50</w:t>
            </w:r>
            <w:r w:rsidR="00AF76B1">
              <w:t>: 5.7 ppm</w:t>
            </w:r>
            <w:r w:rsidR="00B96886">
              <w:t xml:space="preserve"> (mouse</w:t>
            </w:r>
            <w:r w:rsidR="00100C5B">
              <w:t>,</w:t>
            </w:r>
            <w:r w:rsidR="00B96886">
              <w:t xml:space="preserve"> 15 min)</w:t>
            </w:r>
          </w:p>
          <w:p w14:paraId="31A55D81" w14:textId="77777777" w:rsidR="00924383" w:rsidRDefault="0051101B" w:rsidP="00924383">
            <w:pPr>
              <w:pStyle w:val="ListBullet"/>
              <w:ind w:left="720"/>
            </w:pPr>
            <w:r>
              <w:t>Carcinogenicity</w:t>
            </w:r>
            <w:r w:rsidR="00B536BE">
              <w:t>:</w:t>
            </w:r>
            <w:r>
              <w:t xml:space="preserve"> </w:t>
            </w:r>
            <w:r w:rsidR="00B536BE">
              <w:t>US</w:t>
            </w:r>
            <w:r w:rsidR="00924383">
              <w:t xml:space="preserve"> </w:t>
            </w:r>
            <w:r w:rsidR="00B536BE">
              <w:t>NTP</w:t>
            </w:r>
            <w:r w:rsidR="00924383">
              <w:t xml:space="preserve"> concluded </w:t>
            </w:r>
            <w:r>
              <w:t>equivocal evidence in male rats</w:t>
            </w:r>
            <w:r w:rsidR="00B536BE">
              <w:t xml:space="preserve"> and female mice</w:t>
            </w:r>
            <w:r>
              <w:t xml:space="preserve">; </w:t>
            </w:r>
            <w:r w:rsidR="00B536BE">
              <w:t>some evidence in male mice</w:t>
            </w:r>
          </w:p>
          <w:p w14:paraId="3000EDF7" w14:textId="77777777" w:rsidR="0051101B" w:rsidRDefault="00AF76B1" w:rsidP="000502CD">
            <w:pPr>
              <w:pStyle w:val="ListBullet"/>
              <w:ind w:left="720"/>
            </w:pPr>
            <w:r>
              <w:t xml:space="preserve">Direct-acting, base-pair substitution mutagen in </w:t>
            </w:r>
            <w:r w:rsidRPr="00AF76B1">
              <w:rPr>
                <w:i/>
              </w:rPr>
              <w:t xml:space="preserve">Salmonella </w:t>
            </w:r>
            <w:proofErr w:type="spellStart"/>
            <w:r w:rsidRPr="00AF76B1">
              <w:rPr>
                <w:i/>
              </w:rPr>
              <w:t>typhimurium</w:t>
            </w:r>
            <w:proofErr w:type="spellEnd"/>
            <w:r>
              <w:rPr>
                <w:i/>
              </w:rPr>
              <w:t xml:space="preserve"> </w:t>
            </w:r>
            <w:r>
              <w:t>and increased frequency of chromosomal aberrations and sister-chromatid exchanges using cultured Chinese hamster ovary cells</w:t>
            </w:r>
            <w:r w:rsidR="00B536BE">
              <w:t>.</w:t>
            </w:r>
          </w:p>
          <w:p w14:paraId="2EB5D6E0" w14:textId="77777777" w:rsidR="00243841" w:rsidRPr="00DA352E" w:rsidRDefault="00243841" w:rsidP="0024384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79A96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51F7C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F76B1">
                  <w:t>1996/2003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F76B1">
                  <w:t>NA</w:t>
                </w:r>
              </w:sdtContent>
            </w:sdt>
          </w:p>
        </w:tc>
      </w:tr>
      <w:tr w:rsidR="00C978F0" w:rsidRPr="00DA352E" w14:paraId="466A3D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937CE2" w14:textId="77777777" w:rsidR="00C978F0" w:rsidRDefault="006D6B29" w:rsidP="003365A5">
            <w:pPr>
              <w:pStyle w:val="Tabletextprimarysource"/>
            </w:pPr>
            <w:r>
              <w:t>Genotoxic with weak</w:t>
            </w:r>
            <w:r w:rsidRPr="006D6B29">
              <w:t xml:space="preserve"> carcinogenic effects </w:t>
            </w:r>
            <w:r>
              <w:t>in animals and clear</w:t>
            </w:r>
            <w:r w:rsidRPr="006D6B29">
              <w:t xml:space="preserve"> genotox</w:t>
            </w:r>
            <w:r>
              <w:t>ic mechanisms</w:t>
            </w:r>
            <w:r w:rsidR="00A45EC3">
              <w:t>;</w:t>
            </w:r>
            <w:r>
              <w:t xml:space="preserve"> </w:t>
            </w:r>
            <w:proofErr w:type="gramStart"/>
            <w:r>
              <w:t>therefore</w:t>
            </w:r>
            <w:proofErr w:type="gramEnd"/>
            <w:r>
              <w:t xml:space="preserve"> </w:t>
            </w:r>
            <w:r w:rsidRPr="006D6B29">
              <w:t xml:space="preserve">MAK </w:t>
            </w:r>
            <w:r>
              <w:t>cannot be established.</w:t>
            </w:r>
          </w:p>
          <w:p w14:paraId="452AC49D" w14:textId="77777777" w:rsidR="00243841" w:rsidRDefault="00243841" w:rsidP="003365A5">
            <w:pPr>
              <w:pStyle w:val="Tabletextprimarysource"/>
            </w:pPr>
          </w:p>
          <w:p w14:paraId="14C5A510" w14:textId="77777777" w:rsidR="006D6B29" w:rsidRDefault="006D6B29" w:rsidP="003365A5">
            <w:pPr>
              <w:pStyle w:val="Tabletextprimarysource"/>
            </w:pPr>
            <w:r>
              <w:t>Summary of additional data:</w:t>
            </w:r>
          </w:p>
          <w:p w14:paraId="7D5A0B1C" w14:textId="77777777" w:rsidR="006939B1" w:rsidRDefault="00100C5B" w:rsidP="00B536BE">
            <w:pPr>
              <w:pStyle w:val="ListBullet"/>
              <w:tabs>
                <w:tab w:val="clear" w:pos="360"/>
              </w:tabs>
              <w:ind w:left="731"/>
            </w:pPr>
            <w:r>
              <w:t>I</w:t>
            </w:r>
            <w:r w:rsidR="00531480">
              <w:t xml:space="preserve">nhalation study: </w:t>
            </w:r>
            <w:r w:rsidR="006D6B29">
              <w:t xml:space="preserve">upper respiratory tract </w:t>
            </w:r>
            <w:r w:rsidR="00B536BE">
              <w:t xml:space="preserve">irritation </w:t>
            </w:r>
            <w:r w:rsidR="006D6B29">
              <w:t>in rats (4 ppm) an</w:t>
            </w:r>
            <w:r>
              <w:t xml:space="preserve">d mice (1 ppm); </w:t>
            </w:r>
            <w:r w:rsidR="00317BA2">
              <w:t>6 h</w:t>
            </w:r>
            <w:r w:rsidR="006939B1">
              <w:t>/d,</w:t>
            </w:r>
          </w:p>
          <w:p w14:paraId="02692923" w14:textId="77777777" w:rsidR="006D6B29" w:rsidRDefault="00B96886" w:rsidP="006939B1">
            <w:pPr>
              <w:pStyle w:val="ListBullet"/>
              <w:numPr>
                <w:ilvl w:val="0"/>
                <w:numId w:val="0"/>
              </w:numPr>
              <w:ind w:left="731"/>
            </w:pPr>
            <w:r>
              <w:t>5 d/</w:t>
            </w:r>
            <w:proofErr w:type="spellStart"/>
            <w:r>
              <w:t>w</w:t>
            </w:r>
            <w:r w:rsidR="00100C5B">
              <w:t>k</w:t>
            </w:r>
            <w:proofErr w:type="spellEnd"/>
            <w:r w:rsidR="00100C5B">
              <w:t xml:space="preserve">, 13 </w:t>
            </w:r>
            <w:proofErr w:type="spellStart"/>
            <w:r w:rsidR="00100C5B">
              <w:t>wk</w:t>
            </w:r>
            <w:proofErr w:type="spellEnd"/>
          </w:p>
          <w:p w14:paraId="175BCFDA" w14:textId="77777777" w:rsidR="002F75CC" w:rsidRDefault="00B536BE" w:rsidP="00B536BE">
            <w:pPr>
              <w:pStyle w:val="ListBullet"/>
              <w:tabs>
                <w:tab w:val="clear" w:pos="360"/>
              </w:tabs>
              <w:ind w:left="731"/>
            </w:pPr>
            <w:r>
              <w:t>500 mg/kg d</w:t>
            </w:r>
            <w:r w:rsidR="002F75CC">
              <w:t xml:space="preserve">ermal </w:t>
            </w:r>
            <w:r w:rsidR="008F4563">
              <w:t>application killed all dose</w:t>
            </w:r>
            <w:r w:rsidR="00A45EC3">
              <w:t>d</w:t>
            </w:r>
            <w:r w:rsidR="008F4563">
              <w:t xml:space="preserve"> </w:t>
            </w:r>
            <w:r>
              <w:t xml:space="preserve">rabbits in 1 </w:t>
            </w:r>
            <w:proofErr w:type="spellStart"/>
            <w:r>
              <w:t>w</w:t>
            </w:r>
            <w:r w:rsidR="008F4563">
              <w:t>k</w:t>
            </w:r>
            <w:proofErr w:type="spellEnd"/>
            <w:r w:rsidR="008F4563">
              <w:t xml:space="preserve"> and 1,000 mg/kg killed all dose</w:t>
            </w:r>
            <w:r w:rsidR="00A45EC3">
              <w:t>d</w:t>
            </w:r>
            <w:r w:rsidR="008F4563">
              <w:t xml:space="preserve"> </w:t>
            </w:r>
            <w:r w:rsidR="001E3558">
              <w:t>rabbits</w:t>
            </w:r>
            <w:r w:rsidR="008F4563">
              <w:t xml:space="preserve"> overnight</w:t>
            </w:r>
            <w:r w:rsidR="001E3558">
              <w:t>.</w:t>
            </w:r>
          </w:p>
          <w:p w14:paraId="38419126" w14:textId="77777777" w:rsidR="00243841" w:rsidRPr="00DA352E" w:rsidRDefault="00243841" w:rsidP="0024384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1623EF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B57BF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F75C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F75CC">
                  <w:t>NA</w:t>
                </w:r>
                <w:proofErr w:type="spellEnd"/>
              </w:sdtContent>
            </w:sdt>
          </w:p>
        </w:tc>
      </w:tr>
      <w:tr w:rsidR="00C978F0" w:rsidRPr="00DA352E" w14:paraId="400893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16BAC9" w14:textId="77777777" w:rsidR="00C978F0" w:rsidRPr="00DA352E" w:rsidRDefault="002F75CC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00053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05DD1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F75C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F75CC">
                  <w:t>NA</w:t>
                </w:r>
                <w:proofErr w:type="spellEnd"/>
              </w:sdtContent>
            </w:sdt>
          </w:p>
        </w:tc>
      </w:tr>
      <w:tr w:rsidR="00DA352E" w:rsidRPr="00DA352E" w14:paraId="270A69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8AE89B" w14:textId="77777777" w:rsidR="00DA352E" w:rsidRPr="00DA352E" w:rsidRDefault="002F75CC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ADE48E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83584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F75C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F75CC">
                  <w:t>NA</w:t>
                </w:r>
                <w:proofErr w:type="spellEnd"/>
              </w:sdtContent>
            </w:sdt>
          </w:p>
        </w:tc>
      </w:tr>
      <w:tr w:rsidR="00DA352E" w:rsidRPr="00DA352E" w14:paraId="7F0092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9F86BC" w14:textId="77777777" w:rsidR="00DA352E" w:rsidRPr="00DA352E" w:rsidRDefault="002F75CC" w:rsidP="003365A5">
            <w:pPr>
              <w:pStyle w:val="Tabletextprimarysource"/>
            </w:pPr>
            <w:r>
              <w:t>No report</w:t>
            </w:r>
          </w:p>
        </w:tc>
      </w:tr>
    </w:tbl>
    <w:p w14:paraId="53FB0EB6" w14:textId="77777777" w:rsidR="00A20751" w:rsidRPr="004C23F4" w:rsidRDefault="00A20751" w:rsidP="003365A5">
      <w:pPr>
        <w:pStyle w:val="Heading3"/>
      </w:pPr>
      <w:bookmarkStart w:id="2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5082615F" w14:textId="77777777" w:rsidTr="004B36EA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17046B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B56ACB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72C72B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F3ADEC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9150844" w14:textId="77777777" w:rsidTr="004B36EA">
        <w:trPr>
          <w:cantSplit/>
        </w:trPr>
        <w:tc>
          <w:tcPr>
            <w:tcW w:w="1497" w:type="dxa"/>
          </w:tcPr>
          <w:p w14:paraId="34DE5FD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52107FC5" w14:textId="77777777" w:rsidR="004966BF" w:rsidRPr="00CE617F" w:rsidRDefault="003D6BA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F75C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E028447" w14:textId="77777777" w:rsidR="004966BF" w:rsidRPr="004C23F4" w:rsidRDefault="002F75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21997E39" w14:textId="77777777" w:rsidR="00A56FCA" w:rsidRDefault="00A56FCA" w:rsidP="00A56FC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Positive mutagenicity in </w:t>
            </w:r>
            <w:r w:rsidRPr="00A56FCA">
              <w:rPr>
                <w:rStyle w:val="checkbox"/>
                <w:rFonts w:ascii="Arial" w:hAnsi="Arial" w:cs="Arial"/>
                <w:i/>
              </w:rPr>
              <w:t xml:space="preserve">Salmonella </w:t>
            </w:r>
            <w:proofErr w:type="spellStart"/>
            <w:r w:rsidRPr="00A56FCA">
              <w:rPr>
                <w:rStyle w:val="checkbox"/>
                <w:rFonts w:ascii="Arial" w:hAnsi="Arial" w:cs="Arial"/>
                <w:i/>
              </w:rPr>
              <w:t>typhimurium</w:t>
            </w:r>
            <w:proofErr w:type="spellEnd"/>
            <w:r w:rsidRPr="00A56FCA">
              <w:rPr>
                <w:rStyle w:val="checkbox"/>
                <w:rFonts w:ascii="Arial" w:hAnsi="Arial" w:cs="Arial"/>
              </w:rPr>
              <w:t xml:space="preserve"> strains </w:t>
            </w:r>
          </w:p>
          <w:p w14:paraId="188C0FCD" w14:textId="77777777" w:rsidR="00A56FCA" w:rsidRPr="00A56FCA" w:rsidRDefault="00A56FCA" w:rsidP="00A56FCA">
            <w:pPr>
              <w:pStyle w:val="ListBullet"/>
              <w:rPr>
                <w:rStyle w:val="checkbox"/>
                <w:rFonts w:ascii="Arial" w:hAnsi="Arial" w:cs="Arial"/>
                <w:i/>
              </w:rPr>
            </w:pPr>
            <w:r>
              <w:rPr>
                <w:rStyle w:val="checkbox"/>
                <w:rFonts w:ascii="Arial" w:hAnsi="Arial" w:cs="Arial"/>
              </w:rPr>
              <w:t xml:space="preserve">Positive mutagenicity in </w:t>
            </w:r>
            <w:r w:rsidRPr="00A56FCA">
              <w:rPr>
                <w:i/>
              </w:rPr>
              <w:t>Escherichia coli</w:t>
            </w:r>
          </w:p>
          <w:p w14:paraId="5046DCB3" w14:textId="77777777" w:rsidR="004966BF" w:rsidRPr="00A56FCA" w:rsidRDefault="00531480" w:rsidP="00A56FC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Positive </w:t>
            </w:r>
            <w:proofErr w:type="spellStart"/>
            <w:r>
              <w:rPr>
                <w:rStyle w:val="checkbox"/>
                <w:rFonts w:ascii="Arial" w:hAnsi="Arial" w:cs="Arial"/>
              </w:rPr>
              <w:t>genotoxicity</w:t>
            </w:r>
            <w:proofErr w:type="spellEnd"/>
            <w:r>
              <w:rPr>
                <w:rStyle w:val="checkbox"/>
                <w:rFonts w:ascii="Arial" w:hAnsi="Arial" w:cs="Arial"/>
              </w:rPr>
              <w:t>, micronucleus assay in male mice, intraperitoneal injections</w:t>
            </w:r>
            <w:r w:rsidR="00A56FCA">
              <w:rPr>
                <w:rStyle w:val="checkbox"/>
                <w:rFonts w:ascii="Arial" w:hAnsi="Arial" w:cs="Arial"/>
              </w:rPr>
              <w:t xml:space="preserve"> and </w:t>
            </w:r>
            <w:r w:rsidR="00A56FCA" w:rsidRPr="00A56FCA">
              <w:rPr>
                <w:rStyle w:val="checkbox"/>
                <w:rFonts w:ascii="Arial" w:hAnsi="Arial" w:cs="Arial"/>
              </w:rPr>
              <w:t xml:space="preserve">sex-linked recessive lethal mutations and loss of ring X-chromosome in </w:t>
            </w:r>
            <w:r w:rsidR="00A56FCA" w:rsidRPr="00A56FCA">
              <w:rPr>
                <w:rStyle w:val="checkbox"/>
                <w:rFonts w:ascii="Arial" w:hAnsi="Arial" w:cs="Arial"/>
                <w:i/>
              </w:rPr>
              <w:t>Drosophila melanogaster</w:t>
            </w:r>
          </w:p>
          <w:p w14:paraId="498DA5D4" w14:textId="77777777" w:rsidR="00A56FCA" w:rsidRPr="00FA23C0" w:rsidRDefault="00FA23C0" w:rsidP="00FA23C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Mice exposed to 100 ppm in a 2</w:t>
            </w:r>
            <w:r w:rsidR="00243841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checkbox"/>
                <w:rFonts w:ascii="Arial" w:hAnsi="Arial" w:cs="Arial"/>
              </w:rPr>
              <w:t>yr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 developed t</w:t>
            </w:r>
            <w:r w:rsidRPr="00FA23C0">
              <w:rPr>
                <w:rStyle w:val="checkbox"/>
                <w:rFonts w:ascii="Arial" w:hAnsi="Arial" w:cs="Arial"/>
              </w:rPr>
              <w:t xml:space="preserve">umours in the nasal passages </w:t>
            </w:r>
            <w:r>
              <w:rPr>
                <w:rStyle w:val="checkbox"/>
                <w:rFonts w:ascii="Arial" w:hAnsi="Arial" w:cs="Arial"/>
              </w:rPr>
              <w:t>(</w:t>
            </w:r>
            <w:r w:rsidRPr="00FA23C0">
              <w:rPr>
                <w:rStyle w:val="checkbox"/>
                <w:rFonts w:ascii="Arial" w:hAnsi="Arial" w:cs="Arial"/>
              </w:rPr>
              <w:t>epithelial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FA23C0">
              <w:rPr>
                <w:rStyle w:val="checkbox"/>
                <w:rFonts w:ascii="Arial" w:hAnsi="Arial" w:cs="Arial"/>
              </w:rPr>
              <w:t xml:space="preserve">adenocarcinomas, papillary adenomas, </w:t>
            </w:r>
            <w:proofErr w:type="spellStart"/>
            <w:r w:rsidRPr="00FA23C0">
              <w:rPr>
                <w:rStyle w:val="checkbox"/>
                <w:rFonts w:ascii="Arial" w:hAnsi="Arial" w:cs="Arial"/>
              </w:rPr>
              <w:t>harderian</w:t>
            </w:r>
            <w:proofErr w:type="spellEnd"/>
            <w:r w:rsidRPr="00FA23C0">
              <w:rPr>
                <w:rStyle w:val="checkbox"/>
                <w:rFonts w:ascii="Arial" w:hAnsi="Arial" w:cs="Arial"/>
              </w:rPr>
              <w:t xml:space="preserve"> gland adenoma</w:t>
            </w:r>
            <w:r>
              <w:rPr>
                <w:rStyle w:val="checkbox"/>
                <w:rFonts w:ascii="Arial" w:hAnsi="Arial" w:cs="Arial"/>
              </w:rPr>
              <w:t>s, and squamous cell carcinomas)</w:t>
            </w:r>
          </w:p>
          <w:p w14:paraId="5A1F97F2" w14:textId="77777777" w:rsidR="00531480" w:rsidRPr="004B36EA" w:rsidRDefault="00531480" w:rsidP="004B36E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531480">
              <w:rPr>
                <w:rStyle w:val="checkbox"/>
                <w:rFonts w:ascii="Arial" w:hAnsi="Arial" w:cs="Arial"/>
              </w:rPr>
              <w:t>ritical health effects include systemic long-term effects (carcinogenicity, mutagenicity, and reproductive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531480">
              <w:rPr>
                <w:rStyle w:val="checkbox"/>
                <w:rFonts w:ascii="Arial" w:hAnsi="Arial" w:cs="Arial"/>
              </w:rPr>
              <w:t>toxi</w:t>
            </w:r>
            <w:r w:rsidR="00953EFE">
              <w:rPr>
                <w:rStyle w:val="checkbox"/>
                <w:rFonts w:ascii="Arial" w:hAnsi="Arial" w:cs="Arial"/>
              </w:rPr>
              <w:t>city), systemic acute effects (</w:t>
            </w:r>
            <w:r w:rsidRPr="00531480">
              <w:rPr>
                <w:rStyle w:val="checkbox"/>
                <w:rFonts w:ascii="Arial" w:hAnsi="Arial" w:cs="Arial"/>
              </w:rPr>
              <w:t>oral and inhalation exposure) and local effect</w:t>
            </w:r>
            <w:r>
              <w:rPr>
                <w:rStyle w:val="checkbox"/>
                <w:rFonts w:ascii="Arial" w:hAnsi="Arial" w:cs="Arial"/>
              </w:rPr>
              <w:t xml:space="preserve">s (skin sensitisation, skin and </w:t>
            </w:r>
            <w:r w:rsidRPr="00531480">
              <w:rPr>
                <w:rStyle w:val="checkbox"/>
                <w:rFonts w:ascii="Arial" w:hAnsi="Arial" w:cs="Arial"/>
              </w:rPr>
              <w:t>respiratory irritation, and possibly serious eye da</w:t>
            </w:r>
            <w:r w:rsidR="004B36EA">
              <w:rPr>
                <w:rStyle w:val="checkbox"/>
                <w:rFonts w:ascii="Arial" w:hAnsi="Arial" w:cs="Arial"/>
              </w:rPr>
              <w:t>mage)</w:t>
            </w:r>
            <w:r w:rsidR="001E355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2"/>
    <w:p w14:paraId="7AE0F8C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4B54F52F" w14:textId="77777777" w:rsidTr="001E3558">
        <w:trPr>
          <w:trHeight w:val="454"/>
          <w:tblHeader/>
        </w:trPr>
        <w:tc>
          <w:tcPr>
            <w:tcW w:w="6609" w:type="dxa"/>
            <w:vAlign w:val="center"/>
          </w:tcPr>
          <w:p w14:paraId="23B4B95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73730B8" w14:textId="77777777" w:rsidR="002E0D61" w:rsidRDefault="00864D0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9F5B552" w14:textId="77777777" w:rsidTr="001E3558">
        <w:trPr>
          <w:trHeight w:val="454"/>
        </w:trPr>
        <w:tc>
          <w:tcPr>
            <w:tcW w:w="6609" w:type="dxa"/>
            <w:vAlign w:val="center"/>
          </w:tcPr>
          <w:p w14:paraId="154EECF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tc>
          <w:tcPr>
            <w:tcW w:w="2417" w:type="dxa"/>
            <w:vAlign w:val="center"/>
          </w:tcPr>
          <w:p w14:paraId="0FE54787" w14:textId="77777777" w:rsidR="008A36CF" w:rsidRDefault="003D6BA4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id w:val="-1035572737"/>
                <w:placeholder>
                  <w:docPart w:val="5CBFEC560F894890BBD09B93174FFAE0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  <w:listItem w:displayText="NA" w:value="NA"/>
                </w:comboBox>
              </w:sdtPr>
              <w:sdtEndPr/>
              <w:sdtContent>
                <w:r w:rsidR="00864D03">
                  <w:t>Yes</w:t>
                </w:r>
              </w:sdtContent>
            </w:sdt>
          </w:p>
        </w:tc>
      </w:tr>
      <w:tr w:rsidR="008A36CF" w14:paraId="4CD737D8" w14:textId="77777777" w:rsidTr="001E355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239FC3C" w14:textId="77777777" w:rsidR="008A36CF" w:rsidRPr="006901A2" w:rsidRDefault="00864D0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558E3D6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1D1D2DBD" w14:textId="77777777" w:rsidTr="001E3558">
        <w:trPr>
          <w:trHeight w:val="454"/>
        </w:trPr>
        <w:tc>
          <w:tcPr>
            <w:tcW w:w="6609" w:type="dxa"/>
            <w:vAlign w:val="center"/>
          </w:tcPr>
          <w:p w14:paraId="77862A9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 xml:space="preserve">Is a cancer slope factor or </w:t>
            </w:r>
            <w:proofErr w:type="gramStart"/>
            <w:r w:rsidRPr="008A36CF">
              <w:t>inhalation unit risk value</w:t>
            </w:r>
            <w:proofErr w:type="gramEnd"/>
            <w:r w:rsidRPr="008A36CF">
              <w:t xml:space="preserve">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711DBE5F" w14:textId="77777777" w:rsidR="008A36CF" w:rsidRDefault="00864D0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3"/>
    <w:p w14:paraId="03705C7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8D027FC" w14:textId="77777777" w:rsidTr="00DD488D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0897180C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782324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15CBD41" w14:textId="77777777" w:rsidTr="00DD488D">
        <w:trPr>
          <w:cantSplit/>
        </w:trPr>
        <w:tc>
          <w:tcPr>
            <w:tcW w:w="3153" w:type="dxa"/>
          </w:tcPr>
          <w:p w14:paraId="749AC5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70AA53C6" w14:textId="77777777" w:rsidR="00687890" w:rsidRPr="00DD2F9B" w:rsidRDefault="00B320FD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 xml:space="preserve">. 2; </w:t>
            </w:r>
            <w:r w:rsidR="00100C5B">
              <w:t>Skin; Sen</w:t>
            </w:r>
          </w:p>
        </w:tc>
      </w:tr>
      <w:tr w:rsidR="007925F0" w:rsidRPr="004C23F4" w14:paraId="3A30DA19" w14:textId="77777777" w:rsidTr="00DD488D">
        <w:trPr>
          <w:cantSplit/>
        </w:trPr>
        <w:tc>
          <w:tcPr>
            <w:tcW w:w="3153" w:type="dxa"/>
          </w:tcPr>
          <w:p w14:paraId="6DD536D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27A6845E" w14:textId="77777777" w:rsidR="007925F0" w:rsidRPr="00DD2F9B" w:rsidRDefault="008F4563" w:rsidP="008F4563">
            <w:pPr>
              <w:pStyle w:val="Tablefont"/>
            </w:pPr>
            <w:r>
              <w:t xml:space="preserve">Carcinogenicity – category 2; </w:t>
            </w:r>
            <w:r w:rsidR="00DD488D">
              <w:t>Skin sensitisation – category 1</w:t>
            </w:r>
          </w:p>
        </w:tc>
      </w:tr>
      <w:tr w:rsidR="00AF483F" w:rsidRPr="004C23F4" w14:paraId="3D6CFCDA" w14:textId="77777777" w:rsidTr="00DD488D">
        <w:trPr>
          <w:cantSplit/>
        </w:trPr>
        <w:tc>
          <w:tcPr>
            <w:tcW w:w="3153" w:type="dxa"/>
          </w:tcPr>
          <w:p w14:paraId="7F2BC3A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4CFDBDF3" w14:textId="77777777" w:rsidR="00AF483F" w:rsidRPr="00DD2F9B" w:rsidRDefault="008F4563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Cat. 3</w:t>
            </w:r>
          </w:p>
        </w:tc>
      </w:tr>
      <w:tr w:rsidR="00DD488D" w:rsidRPr="004C23F4" w14:paraId="2EE117C5" w14:textId="77777777" w:rsidTr="00DD488D">
        <w:trPr>
          <w:cantSplit/>
        </w:trPr>
        <w:tc>
          <w:tcPr>
            <w:tcW w:w="3153" w:type="dxa"/>
          </w:tcPr>
          <w:p w14:paraId="192D0E6A" w14:textId="77777777" w:rsidR="00DD488D" w:rsidRPr="004C23F4" w:rsidRDefault="00DD488D" w:rsidP="00DD488D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708EBC77" w14:textId="77777777" w:rsidR="00DD488D" w:rsidRPr="00DD2F9B" w:rsidRDefault="00DD488D" w:rsidP="00DD488D">
            <w:pPr>
              <w:pStyle w:val="Tablefont"/>
            </w:pPr>
            <w:r>
              <w:t>Carcinogenicity – category 2; Skin sensitisation – category 1</w:t>
            </w:r>
          </w:p>
        </w:tc>
      </w:tr>
      <w:tr w:rsidR="00DD488D" w:rsidRPr="004C23F4" w14:paraId="18470465" w14:textId="77777777" w:rsidTr="00DD488D">
        <w:trPr>
          <w:cantSplit/>
        </w:trPr>
        <w:tc>
          <w:tcPr>
            <w:tcW w:w="3153" w:type="dxa"/>
          </w:tcPr>
          <w:p w14:paraId="0C59A1D5" w14:textId="77777777" w:rsidR="00DD488D" w:rsidRDefault="00DD488D" w:rsidP="00DD488D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65A223DF" w14:textId="77777777" w:rsidR="00DD488D" w:rsidRPr="00DD2F9B" w:rsidRDefault="00DD488D" w:rsidP="00DD488D">
            <w:pPr>
              <w:pStyle w:val="Tablefont"/>
            </w:pPr>
            <w:r>
              <w:t>NA</w:t>
            </w:r>
          </w:p>
        </w:tc>
      </w:tr>
      <w:tr w:rsidR="00DD488D" w:rsidRPr="004C23F4" w14:paraId="08FC2E0D" w14:textId="77777777" w:rsidTr="00DD488D">
        <w:trPr>
          <w:cantSplit/>
        </w:trPr>
        <w:tc>
          <w:tcPr>
            <w:tcW w:w="3153" w:type="dxa"/>
          </w:tcPr>
          <w:p w14:paraId="77805D1F" w14:textId="77777777" w:rsidR="00DD488D" w:rsidRPr="004C23F4" w:rsidRDefault="00DD488D" w:rsidP="00DD488D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12816494" w14:textId="77777777" w:rsidR="00DD488D" w:rsidRPr="00DD2F9B" w:rsidRDefault="00DD488D" w:rsidP="00DD488D">
            <w:pPr>
              <w:pStyle w:val="Tablefont"/>
            </w:pPr>
            <w:r>
              <w:t>Carcinogenicity – A4</w:t>
            </w:r>
          </w:p>
        </w:tc>
      </w:tr>
      <w:tr w:rsidR="00DD488D" w:rsidRPr="004C23F4" w14:paraId="1A2EA259" w14:textId="77777777" w:rsidTr="00DD488D">
        <w:trPr>
          <w:cantSplit/>
        </w:trPr>
        <w:tc>
          <w:tcPr>
            <w:tcW w:w="3153" w:type="dxa"/>
          </w:tcPr>
          <w:p w14:paraId="4D7F699C" w14:textId="77777777" w:rsidR="00DD488D" w:rsidRPr="004C23F4" w:rsidRDefault="00DD488D" w:rsidP="00DD488D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2C036B0D" w14:textId="77777777" w:rsidR="00DD488D" w:rsidRPr="00DD2F9B" w:rsidRDefault="00DD488D" w:rsidP="00DD488D">
            <w:pPr>
              <w:pStyle w:val="Tablefont"/>
            </w:pPr>
            <w:r>
              <w:t xml:space="preserve">Carcinogenicity – 2; </w:t>
            </w:r>
            <w:proofErr w:type="spellStart"/>
            <w:r>
              <w:t>Sh</w:t>
            </w:r>
            <w:proofErr w:type="spellEnd"/>
            <w:r>
              <w:t xml:space="preserve"> (dermal sensitiser); H(skin)</w:t>
            </w:r>
          </w:p>
        </w:tc>
      </w:tr>
      <w:tr w:rsidR="00DD488D" w:rsidRPr="004C23F4" w14:paraId="61248C78" w14:textId="77777777" w:rsidTr="00DD488D">
        <w:trPr>
          <w:cantSplit/>
        </w:trPr>
        <w:tc>
          <w:tcPr>
            <w:tcW w:w="3153" w:type="dxa"/>
          </w:tcPr>
          <w:p w14:paraId="0A16F4E5" w14:textId="77777777" w:rsidR="00DD488D" w:rsidRPr="004C23F4" w:rsidRDefault="00DD488D" w:rsidP="00DD488D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2DBDB063" w14:textId="77777777" w:rsidR="00DD488D" w:rsidRPr="00DD2F9B" w:rsidRDefault="00DD488D" w:rsidP="00DD488D">
            <w:pPr>
              <w:pStyle w:val="Tablefont"/>
            </w:pPr>
            <w:r>
              <w:t>NA</w:t>
            </w:r>
          </w:p>
        </w:tc>
      </w:tr>
      <w:tr w:rsidR="00DD488D" w:rsidRPr="004C23F4" w14:paraId="649E764F" w14:textId="77777777" w:rsidTr="00DD488D">
        <w:trPr>
          <w:cantSplit/>
        </w:trPr>
        <w:tc>
          <w:tcPr>
            <w:tcW w:w="3153" w:type="dxa"/>
          </w:tcPr>
          <w:p w14:paraId="522DD4E0" w14:textId="77777777" w:rsidR="00DD488D" w:rsidRDefault="00DD488D" w:rsidP="00DD488D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434C63D3" w14:textId="77777777" w:rsidR="00DD488D" w:rsidRPr="00DD2F9B" w:rsidRDefault="00DD488D" w:rsidP="00DD488D">
            <w:pPr>
              <w:pStyle w:val="Tablefont"/>
            </w:pPr>
            <w:r>
              <w:t>NA</w:t>
            </w:r>
          </w:p>
        </w:tc>
      </w:tr>
      <w:tr w:rsidR="00DD488D" w:rsidRPr="004C23F4" w14:paraId="0D5A5B84" w14:textId="77777777" w:rsidTr="00DD488D">
        <w:trPr>
          <w:cantSplit/>
        </w:trPr>
        <w:tc>
          <w:tcPr>
            <w:tcW w:w="3153" w:type="dxa"/>
          </w:tcPr>
          <w:p w14:paraId="2E2D9AAE" w14:textId="77777777" w:rsidR="00DD488D" w:rsidRDefault="00DD488D" w:rsidP="00DD488D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2693C0DB" w14:textId="77777777" w:rsidR="00DD488D" w:rsidRPr="00DD2F9B" w:rsidRDefault="00DD488D" w:rsidP="00DD488D">
            <w:pPr>
              <w:pStyle w:val="Tablefont"/>
            </w:pPr>
            <w:r>
              <w:t>NA</w:t>
            </w:r>
          </w:p>
        </w:tc>
      </w:tr>
      <w:tr w:rsidR="00DD488D" w:rsidRPr="004C23F4" w14:paraId="4EB8999B" w14:textId="77777777" w:rsidTr="00DD488D">
        <w:trPr>
          <w:cantSplit/>
        </w:trPr>
        <w:tc>
          <w:tcPr>
            <w:tcW w:w="3153" w:type="dxa"/>
          </w:tcPr>
          <w:p w14:paraId="5E759524" w14:textId="77777777" w:rsidR="00DD488D" w:rsidRDefault="00DD488D" w:rsidP="00DD488D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5FE77D23" w14:textId="77777777" w:rsidR="00DD488D" w:rsidRPr="00DD2F9B" w:rsidRDefault="00DD488D" w:rsidP="00DD488D">
            <w:pPr>
              <w:pStyle w:val="Tablefont"/>
              <w:keepNext/>
            </w:pPr>
            <w:r>
              <w:t>SK:SEN</w:t>
            </w:r>
          </w:p>
        </w:tc>
      </w:tr>
    </w:tbl>
    <w:bookmarkEnd w:id="4"/>
    <w:p w14:paraId="1AE9ACB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194E24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984431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7B9447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004F16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4B36EA" w:rsidRPr="004B36EA" w14:paraId="7B574B9D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E126F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0E600B2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5745E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3E33D4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729D2E00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CD30C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4396DDF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8B6D0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A293E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1476098F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FAA738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EDD481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FE2571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F2BF5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729C32A6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9653B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D3756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0D335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3608F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6DEFC28A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500F4D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7E6B3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0A1FE5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7656E2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35E66E4E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708F1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EED31B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56636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EF052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36EA" w:rsidRPr="004B36EA" w14:paraId="56457F1E" w14:textId="77777777" w:rsidTr="00243841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26B31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7343C" w14:textId="77777777" w:rsidR="004B36EA" w:rsidRPr="004B36EA" w:rsidRDefault="004B36EA" w:rsidP="004B36E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1B97D2" w14:textId="77777777" w:rsidR="004B36EA" w:rsidRPr="004B36EA" w:rsidRDefault="004B36EA" w:rsidP="004B36E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9C2BB4" w14:textId="77777777" w:rsidR="004B36EA" w:rsidRPr="004B36EA" w:rsidRDefault="004B36EA" w:rsidP="004B36E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36E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32A7CD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5"/>
    <w:p w14:paraId="68AD71A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14033A9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ED015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F58FD88" w14:textId="77777777" w:rsidR="00EB3D1B" w:rsidRDefault="001E3558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5AEAF01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46143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09A8A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796EF25" w14:textId="77777777" w:rsidR="001B79E5" w:rsidRDefault="00953EFE" w:rsidP="001B79E5">
                <w:pPr>
                  <w:pStyle w:val="Tablefont"/>
                </w:pPr>
                <w:r>
                  <w:t>114.15</w:t>
                </w:r>
              </w:p>
            </w:tc>
          </w:sdtContent>
        </w:sdt>
      </w:tr>
      <w:tr w:rsidR="00A31D99" w:rsidRPr="004C23F4" w14:paraId="46A69F3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5F97D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48502BA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4009A4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3812F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3CA13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CCD6EC" w14:textId="77777777" w:rsidTr="00EA6243">
        <w:trPr>
          <w:cantSplit/>
        </w:trPr>
        <w:tc>
          <w:tcPr>
            <w:tcW w:w="4077" w:type="dxa"/>
            <w:vAlign w:val="center"/>
          </w:tcPr>
          <w:p w14:paraId="162AC9E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90099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84811A" w14:textId="77777777" w:rsidTr="00EA6243">
        <w:trPr>
          <w:cantSplit/>
        </w:trPr>
        <w:tc>
          <w:tcPr>
            <w:tcW w:w="4077" w:type="dxa"/>
            <w:vAlign w:val="center"/>
          </w:tcPr>
          <w:p w14:paraId="4F5DF93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2FCAD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9B02E29" w14:textId="77777777" w:rsidTr="00EA6243">
        <w:trPr>
          <w:cantSplit/>
        </w:trPr>
        <w:tc>
          <w:tcPr>
            <w:tcW w:w="4077" w:type="dxa"/>
            <w:vAlign w:val="center"/>
          </w:tcPr>
          <w:p w14:paraId="65599FB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A51A83E" w14:textId="77777777" w:rsidR="00E06F40" w:rsidRPr="00A006A0" w:rsidRDefault="003D6BA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6E7BA5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36227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2E4F84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515464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00CBA3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3D598D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455F10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034FAE1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2D5618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F0A29C8" w14:textId="77777777" w:rsidR="002F75CC" w:rsidRDefault="002F75CC" w:rsidP="00084859">
      <w:r w:rsidRPr="002F75CC">
        <w:t xml:space="preserve">Deutsche </w:t>
      </w:r>
      <w:proofErr w:type="spellStart"/>
      <w:r w:rsidRPr="002F75CC">
        <w:t>Forschungsgemeinschaft</w:t>
      </w:r>
      <w:proofErr w:type="spellEnd"/>
      <w:r w:rsidRPr="002F75CC">
        <w:t xml:space="preserve"> (DFG) (</w:t>
      </w:r>
      <w:r>
        <w:t>1996</w:t>
      </w:r>
      <w:r w:rsidRPr="002F75CC">
        <w:t xml:space="preserve">) </w:t>
      </w:r>
      <w:r>
        <w:t xml:space="preserve">Allyl </w:t>
      </w:r>
      <w:proofErr w:type="spellStart"/>
      <w:r>
        <w:t>glycidyl</w:t>
      </w:r>
      <w:proofErr w:type="spellEnd"/>
      <w:r>
        <w:t xml:space="preserve"> ether </w:t>
      </w:r>
      <w:r w:rsidRPr="002F75CC">
        <w:t>– MAK value documentation.</w:t>
      </w:r>
    </w:p>
    <w:p w14:paraId="6C847759" w14:textId="145410A3" w:rsidR="00CD7F44" w:rsidRDefault="002F75CC" w:rsidP="002F75CC">
      <w:r w:rsidRPr="002F75CC">
        <w:t xml:space="preserve">Deutsche </w:t>
      </w:r>
      <w:proofErr w:type="spellStart"/>
      <w:r w:rsidRPr="002F75CC">
        <w:t>Forschungsgemeinschaft</w:t>
      </w:r>
      <w:proofErr w:type="spellEnd"/>
      <w:r w:rsidRPr="002F75CC">
        <w:t xml:space="preserve"> (DFG) (</w:t>
      </w:r>
      <w:r>
        <w:t>2003</w:t>
      </w:r>
      <w:r w:rsidRPr="002F75CC">
        <w:t xml:space="preserve">) </w:t>
      </w:r>
      <w:r>
        <w:t xml:space="preserve">Allyl </w:t>
      </w:r>
      <w:proofErr w:type="spellStart"/>
      <w:r>
        <w:t>glycidyl</w:t>
      </w:r>
      <w:proofErr w:type="spellEnd"/>
      <w:r>
        <w:t xml:space="preserve"> ether </w:t>
      </w:r>
      <w:r w:rsidRPr="002F75CC">
        <w:t>– MAK value documentation.</w:t>
      </w:r>
    </w:p>
    <w:p w14:paraId="1F57E400" w14:textId="77777777" w:rsidR="00072DDA" w:rsidRDefault="00072DDA" w:rsidP="002F75CC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A79F352" w14:textId="77777777" w:rsidR="00CD7F44" w:rsidRDefault="00DD63A4" w:rsidP="002F75CC">
      <w:r w:rsidRPr="00DD63A4">
        <w:t xml:space="preserve">National Industrial Chemicals Notification and </w:t>
      </w:r>
      <w:r>
        <w:t>Assessment Scheme (NICNAS) (2015</w:t>
      </w:r>
      <w:r w:rsidRPr="00DD63A4">
        <w:t xml:space="preserve">) </w:t>
      </w:r>
      <w:r>
        <w:t xml:space="preserve">Aliphatic and allyl </w:t>
      </w:r>
      <w:proofErr w:type="spellStart"/>
      <w:r>
        <w:t>glycidyl</w:t>
      </w:r>
      <w:proofErr w:type="spellEnd"/>
      <w:r>
        <w:t xml:space="preserve"> ethers:</w:t>
      </w:r>
      <w:r w:rsidRPr="00DD63A4">
        <w:t xml:space="preserve"> Human health tier II assessment – IMAP report</w:t>
      </w:r>
    </w:p>
    <w:p w14:paraId="6FE5BF7C" w14:textId="77777777" w:rsidR="002F75CC" w:rsidRPr="00351FE0" w:rsidRDefault="00063EE7" w:rsidP="00084859">
      <w:r>
        <w:lastRenderedPageBreak/>
        <w:t xml:space="preserve">US National Institute for Occupational Safety and Health (NIOSH) (2014) Skin Notation Profiles: Allyl </w:t>
      </w:r>
      <w:proofErr w:type="spellStart"/>
      <w:r>
        <w:t>Glycidyl</w:t>
      </w:r>
      <w:proofErr w:type="spellEnd"/>
      <w:r>
        <w:t xml:space="preserve"> Ether</w:t>
      </w:r>
    </w:p>
    <w:sectPr w:rsidR="002F75CC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CDEE72" w16cid:durableId="20EC3D42"/>
  <w16cid:commentId w16cid:paraId="05FDBF87" w16cid:durableId="20EC40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1EB96" w14:textId="77777777" w:rsidR="00C62741" w:rsidRDefault="00C62741" w:rsidP="00F43AD5">
      <w:pPr>
        <w:spacing w:after="0" w:line="240" w:lineRule="auto"/>
      </w:pPr>
      <w:r>
        <w:separator/>
      </w:r>
    </w:p>
  </w:endnote>
  <w:endnote w:type="continuationSeparator" w:id="0">
    <w:p w14:paraId="67A81C55" w14:textId="77777777" w:rsidR="00C62741" w:rsidRDefault="00C6274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E6F80" w14:textId="77777777" w:rsidR="00512F30" w:rsidRDefault="00512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EBE2761" w14:textId="77777777" w:rsidR="008A36CF" w:rsidRDefault="00D066E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Allyl </w:t>
        </w:r>
        <w:proofErr w:type="spellStart"/>
        <w:r>
          <w:rPr>
            <w:b/>
            <w:sz w:val="18"/>
            <w:szCs w:val="18"/>
          </w:rPr>
          <w:t>Glycidyl</w:t>
        </w:r>
        <w:proofErr w:type="spellEnd"/>
        <w:r>
          <w:rPr>
            <w:b/>
            <w:sz w:val="18"/>
            <w:szCs w:val="18"/>
          </w:rPr>
          <w:t xml:space="preserve"> Ether (AGE)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106-92-3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FF96DC8" w14:textId="4C18247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D6BA4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0C0FD" w14:textId="77777777" w:rsidR="00512F30" w:rsidRDefault="00512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850B6" w14:textId="77777777" w:rsidR="00C62741" w:rsidRDefault="00C62741" w:rsidP="00F43AD5">
      <w:pPr>
        <w:spacing w:after="0" w:line="240" w:lineRule="auto"/>
      </w:pPr>
      <w:r>
        <w:separator/>
      </w:r>
    </w:p>
  </w:footnote>
  <w:footnote w:type="continuationSeparator" w:id="0">
    <w:p w14:paraId="0568F3AE" w14:textId="77777777" w:rsidR="00C62741" w:rsidRDefault="00C6274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3E1E6" w14:textId="77777777" w:rsidR="00512F30" w:rsidRDefault="00512F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EEF4C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B02753" wp14:editId="3AE153C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997B4" w14:textId="77777777" w:rsidR="00512F30" w:rsidRDefault="00512F3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6A5A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F3C3C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2CD"/>
    <w:rsid w:val="00052060"/>
    <w:rsid w:val="0005574A"/>
    <w:rsid w:val="00055FE1"/>
    <w:rsid w:val="00056EC2"/>
    <w:rsid w:val="00060B48"/>
    <w:rsid w:val="00063EE7"/>
    <w:rsid w:val="00067F32"/>
    <w:rsid w:val="00071807"/>
    <w:rsid w:val="00072DDA"/>
    <w:rsid w:val="000803E1"/>
    <w:rsid w:val="00084513"/>
    <w:rsid w:val="00084859"/>
    <w:rsid w:val="00092D94"/>
    <w:rsid w:val="000B0868"/>
    <w:rsid w:val="000B3E12"/>
    <w:rsid w:val="000B3E78"/>
    <w:rsid w:val="000B5BF0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483"/>
    <w:rsid w:val="00100C5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688C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3558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3403"/>
    <w:rsid w:val="00243841"/>
    <w:rsid w:val="00244AD1"/>
    <w:rsid w:val="002463BC"/>
    <w:rsid w:val="002465CE"/>
    <w:rsid w:val="0025734A"/>
    <w:rsid w:val="00263255"/>
    <w:rsid w:val="00274327"/>
    <w:rsid w:val="00276494"/>
    <w:rsid w:val="00277B0C"/>
    <w:rsid w:val="002B1A2C"/>
    <w:rsid w:val="002C0188"/>
    <w:rsid w:val="002C34F2"/>
    <w:rsid w:val="002C58FF"/>
    <w:rsid w:val="002C7AFE"/>
    <w:rsid w:val="002D05D2"/>
    <w:rsid w:val="002E0D61"/>
    <w:rsid w:val="002E4C7B"/>
    <w:rsid w:val="002F75CC"/>
    <w:rsid w:val="0030740C"/>
    <w:rsid w:val="00315833"/>
    <w:rsid w:val="00317BA2"/>
    <w:rsid w:val="003215EE"/>
    <w:rsid w:val="003224BF"/>
    <w:rsid w:val="003241A8"/>
    <w:rsid w:val="003253F0"/>
    <w:rsid w:val="003278D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C54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6BA4"/>
    <w:rsid w:val="003E0807"/>
    <w:rsid w:val="003E51FB"/>
    <w:rsid w:val="003E6B39"/>
    <w:rsid w:val="003F07E1"/>
    <w:rsid w:val="003F4480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6EA"/>
    <w:rsid w:val="004C1E3F"/>
    <w:rsid w:val="004C23F4"/>
    <w:rsid w:val="004C3475"/>
    <w:rsid w:val="004C58B6"/>
    <w:rsid w:val="004D1593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101B"/>
    <w:rsid w:val="00512F30"/>
    <w:rsid w:val="005142C4"/>
    <w:rsid w:val="0051509C"/>
    <w:rsid w:val="005272E2"/>
    <w:rsid w:val="0053108F"/>
    <w:rsid w:val="00531480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881"/>
    <w:rsid w:val="006363A8"/>
    <w:rsid w:val="00636DB7"/>
    <w:rsid w:val="00644975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9B1"/>
    <w:rsid w:val="00695B72"/>
    <w:rsid w:val="006B160A"/>
    <w:rsid w:val="006B4E6C"/>
    <w:rsid w:val="006B50B6"/>
    <w:rsid w:val="006D3A2A"/>
    <w:rsid w:val="006D6B29"/>
    <w:rsid w:val="006D79EA"/>
    <w:rsid w:val="006E2CC2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08F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89D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03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4563"/>
    <w:rsid w:val="008F5DCD"/>
    <w:rsid w:val="00900951"/>
    <w:rsid w:val="009118A6"/>
    <w:rsid w:val="00912EC9"/>
    <w:rsid w:val="00916909"/>
    <w:rsid w:val="00916EC0"/>
    <w:rsid w:val="00920467"/>
    <w:rsid w:val="00921DE7"/>
    <w:rsid w:val="0092438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EFE"/>
    <w:rsid w:val="009578DD"/>
    <w:rsid w:val="00960D88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0E0B"/>
    <w:rsid w:val="009C199D"/>
    <w:rsid w:val="009C278F"/>
    <w:rsid w:val="009C2B94"/>
    <w:rsid w:val="009C439F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EC3"/>
    <w:rsid w:val="00A53681"/>
    <w:rsid w:val="00A56FCA"/>
    <w:rsid w:val="00A633D4"/>
    <w:rsid w:val="00A6461A"/>
    <w:rsid w:val="00A84504"/>
    <w:rsid w:val="00A8672F"/>
    <w:rsid w:val="00A93057"/>
    <w:rsid w:val="00A93774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6B1"/>
    <w:rsid w:val="00B00A25"/>
    <w:rsid w:val="00B11C6D"/>
    <w:rsid w:val="00B1422A"/>
    <w:rsid w:val="00B1765C"/>
    <w:rsid w:val="00B213C4"/>
    <w:rsid w:val="00B320FD"/>
    <w:rsid w:val="00B40C60"/>
    <w:rsid w:val="00B43270"/>
    <w:rsid w:val="00B479A9"/>
    <w:rsid w:val="00B52EDF"/>
    <w:rsid w:val="00B536BE"/>
    <w:rsid w:val="00B71188"/>
    <w:rsid w:val="00B72AB0"/>
    <w:rsid w:val="00B76A41"/>
    <w:rsid w:val="00B80A47"/>
    <w:rsid w:val="00B87D4C"/>
    <w:rsid w:val="00B93646"/>
    <w:rsid w:val="00B96886"/>
    <w:rsid w:val="00BA0B38"/>
    <w:rsid w:val="00BA1DBB"/>
    <w:rsid w:val="00BA4510"/>
    <w:rsid w:val="00BA529A"/>
    <w:rsid w:val="00BB612A"/>
    <w:rsid w:val="00BC0D5C"/>
    <w:rsid w:val="00BD499F"/>
    <w:rsid w:val="00BD56DE"/>
    <w:rsid w:val="00BF2406"/>
    <w:rsid w:val="00C16315"/>
    <w:rsid w:val="00C3091E"/>
    <w:rsid w:val="00C40FF1"/>
    <w:rsid w:val="00C419E2"/>
    <w:rsid w:val="00C5020E"/>
    <w:rsid w:val="00C57452"/>
    <w:rsid w:val="00C57AF8"/>
    <w:rsid w:val="00C61EDF"/>
    <w:rsid w:val="00C6239D"/>
    <w:rsid w:val="00C62741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F44"/>
    <w:rsid w:val="00CE5AD6"/>
    <w:rsid w:val="00CE617F"/>
    <w:rsid w:val="00CE78EF"/>
    <w:rsid w:val="00D048F7"/>
    <w:rsid w:val="00D0517E"/>
    <w:rsid w:val="00D066EE"/>
    <w:rsid w:val="00D140FC"/>
    <w:rsid w:val="00D21D8C"/>
    <w:rsid w:val="00D31357"/>
    <w:rsid w:val="00D33220"/>
    <w:rsid w:val="00D334D1"/>
    <w:rsid w:val="00D44C89"/>
    <w:rsid w:val="00D516CD"/>
    <w:rsid w:val="00D56E02"/>
    <w:rsid w:val="00D668E6"/>
    <w:rsid w:val="00D70670"/>
    <w:rsid w:val="00D74D80"/>
    <w:rsid w:val="00D76624"/>
    <w:rsid w:val="00D80F4A"/>
    <w:rsid w:val="00D87570"/>
    <w:rsid w:val="00D91CB9"/>
    <w:rsid w:val="00D97989"/>
    <w:rsid w:val="00D97D8D"/>
    <w:rsid w:val="00DA352E"/>
    <w:rsid w:val="00DC7694"/>
    <w:rsid w:val="00DD1BF6"/>
    <w:rsid w:val="00DD2F9B"/>
    <w:rsid w:val="00DD488D"/>
    <w:rsid w:val="00DD63A4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139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F19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23C0"/>
    <w:rsid w:val="00FA3DF5"/>
    <w:rsid w:val="00FA741F"/>
    <w:rsid w:val="00FB4E07"/>
    <w:rsid w:val="00FB755A"/>
    <w:rsid w:val="00FC3907"/>
    <w:rsid w:val="00FC60A2"/>
    <w:rsid w:val="00FD1871"/>
    <w:rsid w:val="00FD3110"/>
    <w:rsid w:val="00FF48E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E1C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D159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8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88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88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216FA"/>
    <w:rsid w:val="000A2FA5"/>
    <w:rsid w:val="000E13B9"/>
    <w:rsid w:val="00A076AE"/>
    <w:rsid w:val="00A9065C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8B2D0-C03E-4AD3-B74C-FEB34D86F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70EE5E-59CF-4EA5-8351-EA5956DDC649}"/>
</file>

<file path=customXml/itemProps3.xml><?xml version="1.0" encoding="utf-8"?>
<ds:datastoreItem xmlns:ds="http://schemas.openxmlformats.org/officeDocument/2006/customXml" ds:itemID="{829D8474-0DE7-4AA8-A8FD-6B1E5DF08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C0F910-CACB-4945-B79D-7E86C9FD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5BD9A365.dotm</Template>
  <TotalTime>0</TotalTime>
  <Pages>6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2019-07-08T00:06:00Z</dcterms:created>
  <dcterms:modified xsi:type="dcterms:W3CDTF">2019-08-12T23:54:00Z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