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478211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5DA327F" w14:textId="6C3DF59A" w:rsidR="00BD499F" w:rsidRPr="004C23F4" w:rsidRDefault="004C11E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Allyl chloride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5DA15C7D" w14:textId="77777777" w:rsidTr="00F85562">
        <w:trPr>
          <w:cantSplit/>
          <w:tblHeader/>
        </w:trPr>
        <w:tc>
          <w:tcPr>
            <w:tcW w:w="3984" w:type="dxa"/>
          </w:tcPr>
          <w:p w14:paraId="6ECFF74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2" w:type="dxa"/>
          </w:tcPr>
          <w:p w14:paraId="3B4EEB30" w14:textId="77777777" w:rsidR="00F43AD5" w:rsidRPr="00717D45" w:rsidRDefault="001118D0" w:rsidP="00B76A41">
            <w:pPr>
              <w:pStyle w:val="Tablefont"/>
            </w:pPr>
            <w:r>
              <w:t>107-05-1</w:t>
            </w:r>
          </w:p>
        </w:tc>
      </w:tr>
      <w:tr w:rsidR="00F43AD5" w:rsidRPr="004C23F4" w14:paraId="530721AD" w14:textId="77777777" w:rsidTr="00F85562">
        <w:trPr>
          <w:cantSplit/>
        </w:trPr>
        <w:tc>
          <w:tcPr>
            <w:tcW w:w="3984" w:type="dxa"/>
          </w:tcPr>
          <w:p w14:paraId="12660F4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2" w:type="dxa"/>
          </w:tcPr>
          <w:p w14:paraId="70644DBC" w14:textId="77777777" w:rsidR="00F43AD5" w:rsidRPr="00717D45" w:rsidRDefault="00E53620" w:rsidP="00B76A41">
            <w:pPr>
              <w:pStyle w:val="Tablefont"/>
            </w:pPr>
            <w:r w:rsidRPr="00E53620">
              <w:t>3-Chloroprop-1-ene</w:t>
            </w:r>
            <w:r>
              <w:t xml:space="preserve">, </w:t>
            </w:r>
            <w:r w:rsidR="00267DA0">
              <w:t>3-c</w:t>
            </w:r>
            <w:r w:rsidRPr="00E53620">
              <w:t>hloropropene</w:t>
            </w:r>
          </w:p>
        </w:tc>
      </w:tr>
      <w:tr w:rsidR="00F43AD5" w:rsidRPr="004C23F4" w14:paraId="4AE8FCC2" w14:textId="77777777" w:rsidTr="00F85562">
        <w:trPr>
          <w:cantSplit/>
        </w:trPr>
        <w:tc>
          <w:tcPr>
            <w:tcW w:w="3984" w:type="dxa"/>
          </w:tcPr>
          <w:p w14:paraId="53A3D7C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2" w:type="dxa"/>
          </w:tcPr>
          <w:p w14:paraId="4F9965F3" w14:textId="77777777" w:rsidR="00F43AD5" w:rsidRPr="00717D45" w:rsidRDefault="00E53620" w:rsidP="00B76A41">
            <w:pPr>
              <w:pStyle w:val="Tablefont"/>
            </w:pPr>
            <w:r>
              <w:t>C</w:t>
            </w:r>
            <w:r w:rsidRPr="00E53620">
              <w:rPr>
                <w:vertAlign w:val="subscript"/>
              </w:rPr>
              <w:t>3</w:t>
            </w:r>
            <w:r>
              <w:t>H</w:t>
            </w:r>
            <w:r w:rsidRPr="00E53620">
              <w:rPr>
                <w:vertAlign w:val="subscript"/>
              </w:rPr>
              <w:t>5</w:t>
            </w:r>
            <w:r>
              <w:t>Cl</w:t>
            </w:r>
          </w:p>
        </w:tc>
      </w:tr>
    </w:tbl>
    <w:p w14:paraId="29F94DD4" w14:textId="5BB473F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F1556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7EF7106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C2B923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E95E7EF" w14:textId="77777777" w:rsidR="002C7AFE" w:rsidRPr="00C600A4" w:rsidRDefault="00C600A4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</w:t>
            </w:r>
            <w:r w:rsidR="00E46E20">
              <w:rPr>
                <w:b/>
              </w:rPr>
              <w:t>0</w:t>
            </w:r>
            <w:r>
              <w:rPr>
                <w:b/>
              </w:rPr>
              <w:t>1 ppm (0.</w:t>
            </w:r>
            <w:r w:rsidR="00E46E20">
              <w:rPr>
                <w:b/>
              </w:rPr>
              <w:t>0</w:t>
            </w:r>
            <w:r>
              <w:rPr>
                <w:b/>
              </w:rPr>
              <w:t>3 mg/m</w:t>
            </w:r>
            <w:r w:rsidR="00E53620">
              <w:rPr>
                <w:b/>
                <w:vertAlign w:val="superscript"/>
              </w:rPr>
              <w:t>3</w:t>
            </w:r>
            <w:r w:rsidRPr="00523EAC">
              <w:rPr>
                <w:b/>
              </w:rPr>
              <w:t>)</w:t>
            </w:r>
          </w:p>
        </w:tc>
      </w:tr>
      <w:tr w:rsidR="002C7AFE" w:rsidRPr="004C23F4" w14:paraId="5120C4C4" w14:textId="77777777" w:rsidTr="00921DE7">
        <w:trPr>
          <w:cantSplit/>
        </w:trPr>
        <w:tc>
          <w:tcPr>
            <w:tcW w:w="4077" w:type="dxa"/>
            <w:vAlign w:val="center"/>
          </w:tcPr>
          <w:p w14:paraId="27CFCBA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9C54CD0" w14:textId="77B6C284" w:rsidR="002C7AFE" w:rsidRPr="00EB3D1B" w:rsidRDefault="00FE32D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A81BA64" w14:textId="77777777" w:rsidTr="00921DE7">
        <w:trPr>
          <w:cantSplit/>
        </w:trPr>
        <w:tc>
          <w:tcPr>
            <w:tcW w:w="4077" w:type="dxa"/>
            <w:vAlign w:val="center"/>
          </w:tcPr>
          <w:p w14:paraId="7129810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0488E23" w14:textId="7E3192D1" w:rsidR="002C7AFE" w:rsidRPr="00EB3D1B" w:rsidRDefault="002C49E0" w:rsidP="002C49E0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B381468" w14:textId="77777777" w:rsidTr="00A2073D">
        <w:trPr>
          <w:cantSplit/>
        </w:trPr>
        <w:tc>
          <w:tcPr>
            <w:tcW w:w="4077" w:type="dxa"/>
          </w:tcPr>
          <w:p w14:paraId="3DD87AD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4ECCB17" w14:textId="77777777" w:rsidR="002C7AFE" w:rsidRPr="00EB3D1B" w:rsidRDefault="00267DA0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2,</w:t>
            </w:r>
            <w:r w:rsidR="00DE0C63">
              <w:rPr>
                <w:b/>
              </w:rPr>
              <w:t xml:space="preserve"> Sk.</w:t>
            </w:r>
          </w:p>
        </w:tc>
      </w:tr>
      <w:tr w:rsidR="002C7AFE" w:rsidRPr="004C23F4" w14:paraId="126474CC" w14:textId="77777777" w:rsidTr="00921DE7">
        <w:trPr>
          <w:cantSplit/>
        </w:trPr>
        <w:tc>
          <w:tcPr>
            <w:tcW w:w="4077" w:type="dxa"/>
            <w:vAlign w:val="center"/>
          </w:tcPr>
          <w:p w14:paraId="453C21C2" w14:textId="4D14E99F" w:rsidR="00F10C97" w:rsidRPr="002C58FF" w:rsidRDefault="00921DE7" w:rsidP="008217E7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EE7EC64" w14:textId="2D7DC89C" w:rsidR="002C7AFE" w:rsidRPr="00EB3D1B" w:rsidRDefault="00FE32D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8217E7" w:rsidRPr="004C23F4" w14:paraId="087BF99B" w14:textId="77777777" w:rsidTr="008217E7">
        <w:trPr>
          <w:cantSplit/>
        </w:trPr>
        <w:tc>
          <w:tcPr>
            <w:tcW w:w="4077" w:type="dxa"/>
          </w:tcPr>
          <w:p w14:paraId="4C254729" w14:textId="361108CB" w:rsidR="008217E7" w:rsidRDefault="008217E7" w:rsidP="008217E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D27BC9F" w14:textId="3754B176" w:rsidR="008217E7" w:rsidRPr="008217E7" w:rsidRDefault="008217E7" w:rsidP="00017C82">
            <w:pPr>
              <w:pStyle w:val="Tablefont"/>
            </w:pPr>
            <w:r w:rsidRPr="008217E7">
              <w:t>There is uncertainty regarding quantification of the recommended value with currently available sampling and/or analysis techniques.</w:t>
            </w:r>
            <w:bookmarkStart w:id="1" w:name="_GoBack"/>
            <w:bookmarkEnd w:id="1"/>
          </w:p>
        </w:tc>
      </w:tr>
    </w:tbl>
    <w:p w14:paraId="32E17FF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67D44C6" w14:textId="77777777" w:rsidR="00CF2CDE" w:rsidRDefault="00267DA0" w:rsidP="00BD4B7F">
      <w:r>
        <w:t>A</w:t>
      </w:r>
      <w:r w:rsidR="00FE32D5">
        <w:t>n interim</w:t>
      </w:r>
      <w:r w:rsidR="00C600A4" w:rsidRPr="00C600A4">
        <w:t xml:space="preserve"> TWA </w:t>
      </w:r>
      <w:r w:rsidR="00E53620">
        <w:t xml:space="preserve">of </w:t>
      </w:r>
      <w:r w:rsidR="00E53620" w:rsidRPr="00E53620">
        <w:t>0.</w:t>
      </w:r>
      <w:r w:rsidR="00DB2D30">
        <w:t>0</w:t>
      </w:r>
      <w:r w:rsidR="00E53620" w:rsidRPr="00E53620">
        <w:t>1 ppm (0.</w:t>
      </w:r>
      <w:r w:rsidR="00DB2D30">
        <w:t>0</w:t>
      </w:r>
      <w:r w:rsidR="00E53620" w:rsidRPr="00E53620">
        <w:t>3 mg/m</w:t>
      </w:r>
      <w:r w:rsidR="00E53620" w:rsidRPr="00523EAC">
        <w:rPr>
          <w:vertAlign w:val="superscript"/>
        </w:rPr>
        <w:t>3</w:t>
      </w:r>
      <w:r w:rsidR="00E53620" w:rsidRPr="00E53620">
        <w:t>)</w:t>
      </w:r>
      <w:r w:rsidR="00E53620">
        <w:t xml:space="preserve"> </w:t>
      </w:r>
      <w:proofErr w:type="gramStart"/>
      <w:r w:rsidR="00E53620">
        <w:t>is</w:t>
      </w:r>
      <w:r w:rsidR="00C600A4" w:rsidRPr="00C600A4">
        <w:t xml:space="preserve"> recommended</w:t>
      </w:r>
      <w:proofErr w:type="gramEnd"/>
      <w:r w:rsidR="00C600A4" w:rsidRPr="00C600A4">
        <w:t xml:space="preserve"> to </w:t>
      </w:r>
      <w:r w:rsidR="004C11EF">
        <w:t>minimise</w:t>
      </w:r>
      <w:r w:rsidR="004C11EF" w:rsidRPr="00C600A4">
        <w:t xml:space="preserve"> the risk of cancer</w:t>
      </w:r>
      <w:r w:rsidR="004C11EF">
        <w:t xml:space="preserve"> and to</w:t>
      </w:r>
      <w:r w:rsidR="004C11EF" w:rsidRPr="008F20B7">
        <w:t xml:space="preserve"> </w:t>
      </w:r>
      <w:r>
        <w:t>protect for</w:t>
      </w:r>
      <w:r w:rsidR="00C600A4" w:rsidRPr="00C600A4">
        <w:t xml:space="preserve"> </w:t>
      </w:r>
      <w:r w:rsidR="00DB454F">
        <w:t xml:space="preserve">neurological, </w:t>
      </w:r>
      <w:r w:rsidR="00C600A4">
        <w:t>hepatic and renal effects</w:t>
      </w:r>
      <w:r w:rsidR="00C600A4" w:rsidRPr="00C600A4">
        <w:t xml:space="preserve"> </w:t>
      </w:r>
      <w:r w:rsidR="004C11EF">
        <w:t>in exposed worker</w:t>
      </w:r>
      <w:r w:rsidR="006F1556">
        <w:t>s</w:t>
      </w:r>
      <w:r w:rsidR="008F20B7" w:rsidRPr="00C600A4">
        <w:t>.</w:t>
      </w:r>
      <w:r w:rsidR="00CD6919">
        <w:t xml:space="preserve"> </w:t>
      </w:r>
    </w:p>
    <w:p w14:paraId="0FF7EA80" w14:textId="52BFBC42" w:rsidR="00E53620" w:rsidRDefault="00F85562" w:rsidP="00BD4B7F">
      <w:pPr>
        <w:rPr>
          <w:b/>
          <w:bCs/>
          <w:iCs/>
        </w:rPr>
      </w:pPr>
      <w:r>
        <w:t>Investigation</w:t>
      </w:r>
      <w:r w:rsidR="00CF2CDE">
        <w:t xml:space="preserve"> of additional data </w:t>
      </w:r>
      <w:r w:rsidR="009A1676" w:rsidRPr="009A1676">
        <w:t>in the</w:t>
      </w:r>
      <w:r w:rsidR="009A1676">
        <w:t xml:space="preserve"> next scheduled review </w:t>
      </w:r>
      <w:proofErr w:type="gramStart"/>
      <w:r w:rsidR="009A1676">
        <w:t>is recommended</w:t>
      </w:r>
      <w:proofErr w:type="gramEnd"/>
      <w:r w:rsidR="00CF2CDE">
        <w:t>, particularly related to carcinogenicity data.</w:t>
      </w:r>
    </w:p>
    <w:p w14:paraId="57D52828" w14:textId="77777777" w:rsidR="00C7155E" w:rsidRPr="004C23F4" w:rsidRDefault="00F10C97" w:rsidP="00C600A4">
      <w:pPr>
        <w:pStyle w:val="Heading2"/>
      </w:pPr>
      <w:r>
        <w:t>Discussion and conclusions</w:t>
      </w:r>
    </w:p>
    <w:p w14:paraId="2772677E" w14:textId="1C201975" w:rsidR="00DB454F" w:rsidRPr="004C11EF" w:rsidRDefault="00DB454F" w:rsidP="00DB454F">
      <w:r>
        <w:t>Allyl chloride</w:t>
      </w:r>
      <w:r w:rsidR="00267DA0">
        <w:t xml:space="preserve"> </w:t>
      </w:r>
      <w:proofErr w:type="gramStart"/>
      <w:r w:rsidR="008F20B7">
        <w:t xml:space="preserve">is </w:t>
      </w:r>
      <w:r w:rsidR="00267DA0">
        <w:t>used</w:t>
      </w:r>
      <w:proofErr w:type="gramEnd"/>
      <w:r w:rsidR="00267DA0">
        <w:t xml:space="preserve"> in </w:t>
      </w:r>
      <w:r w:rsidR="00267DA0" w:rsidRPr="00267DA0">
        <w:t>ma</w:t>
      </w:r>
      <w:r w:rsidR="002C49E0">
        <w:t>nufacturing</w:t>
      </w:r>
      <w:r w:rsidR="00267DA0">
        <w:t xml:space="preserve"> of polymers, resins,</w:t>
      </w:r>
      <w:r w:rsidR="00267DA0" w:rsidRPr="00267DA0">
        <w:t xml:space="preserve"> plastics</w:t>
      </w:r>
      <w:r w:rsidR="00267DA0">
        <w:t xml:space="preserve"> and pharmaceutics. It</w:t>
      </w:r>
      <w:r w:rsidRPr="00EB6F19">
        <w:t xml:space="preserve"> </w:t>
      </w:r>
      <w:r>
        <w:t>has shown to be mutagenic and has demonstrated carcinogenic effects in animals</w:t>
      </w:r>
      <w:r w:rsidR="00A4380B">
        <w:t xml:space="preserve">. </w:t>
      </w:r>
      <w:r w:rsidR="00523EAC">
        <w:rPr>
          <w:rFonts w:cs="Arial"/>
        </w:rPr>
        <w:t>The chemical</w:t>
      </w:r>
      <w:r>
        <w:rPr>
          <w:rFonts w:cs="Arial"/>
        </w:rPr>
        <w:t xml:space="preserve"> </w:t>
      </w:r>
      <w:r w:rsidR="00523EAC">
        <w:rPr>
          <w:rFonts w:cs="Arial"/>
        </w:rPr>
        <w:t>has demonstrated hepatic and renal</w:t>
      </w:r>
      <w:r>
        <w:rPr>
          <w:rFonts w:cs="Arial"/>
        </w:rPr>
        <w:t xml:space="preserve"> </w:t>
      </w:r>
      <w:r w:rsidR="00523EAC">
        <w:rPr>
          <w:rFonts w:cs="Arial"/>
        </w:rPr>
        <w:t>effects</w:t>
      </w:r>
      <w:r>
        <w:rPr>
          <w:rFonts w:cs="Arial"/>
        </w:rPr>
        <w:t xml:space="preserve"> in animals and </w:t>
      </w:r>
      <w:proofErr w:type="gramStart"/>
      <w:r w:rsidR="00523EAC">
        <w:rPr>
          <w:rFonts w:cs="Arial"/>
        </w:rPr>
        <w:t>has been reported</w:t>
      </w:r>
      <w:proofErr w:type="gramEnd"/>
      <w:r>
        <w:rPr>
          <w:rFonts w:cs="Arial"/>
        </w:rPr>
        <w:t xml:space="preserve"> to </w:t>
      </w:r>
      <w:r w:rsidR="00523EAC">
        <w:rPr>
          <w:rFonts w:cs="Arial"/>
        </w:rPr>
        <w:t>be readily</w:t>
      </w:r>
      <w:r>
        <w:rPr>
          <w:rFonts w:cs="Arial"/>
        </w:rPr>
        <w:t xml:space="preserve"> </w:t>
      </w:r>
      <w:r w:rsidR="00523EAC">
        <w:rPr>
          <w:rFonts w:cs="Arial"/>
        </w:rPr>
        <w:t xml:space="preserve">absorbed through the skin and produce adverse systemic effects </w:t>
      </w:r>
      <w:r>
        <w:rPr>
          <w:rFonts w:cs="Arial"/>
        </w:rPr>
        <w:t>(ACGI</w:t>
      </w:r>
      <w:r w:rsidR="00523EAC">
        <w:rPr>
          <w:rFonts w:cs="Arial"/>
        </w:rPr>
        <w:t>H, 2018;</w:t>
      </w:r>
      <w:r w:rsidR="00DB2D30">
        <w:rPr>
          <w:rFonts w:cs="Arial"/>
        </w:rPr>
        <w:t xml:space="preserve"> </w:t>
      </w:r>
      <w:r w:rsidR="00CF2CDE">
        <w:rPr>
          <w:rFonts w:cs="Arial"/>
        </w:rPr>
        <w:t xml:space="preserve">DFG, 2002; </w:t>
      </w:r>
      <w:r w:rsidR="00523EAC">
        <w:rPr>
          <w:rFonts w:cs="Arial"/>
        </w:rPr>
        <w:t>NICNAS, 2013</w:t>
      </w:r>
      <w:r>
        <w:rPr>
          <w:rFonts w:cs="Arial"/>
        </w:rPr>
        <w:t>).</w:t>
      </w:r>
    </w:p>
    <w:p w14:paraId="6AF901E5" w14:textId="7F5F77FD" w:rsidR="00E46E20" w:rsidRDefault="00A86A7A" w:rsidP="00DB454F">
      <w:pPr>
        <w:rPr>
          <w:rFonts w:cs="Arial"/>
        </w:rPr>
      </w:pPr>
      <w:r>
        <w:t xml:space="preserve">According to DFG (2002), genotoxic </w:t>
      </w:r>
      <w:r w:rsidR="00A4380B">
        <w:t xml:space="preserve">mechanisms involved in the carcinogenic process </w:t>
      </w:r>
      <w:proofErr w:type="gramStart"/>
      <w:r w:rsidR="00A4380B">
        <w:t>cannot be excluded</w:t>
      </w:r>
      <w:proofErr w:type="gramEnd"/>
      <w:r>
        <w:t xml:space="preserve">. </w:t>
      </w:r>
      <w:r>
        <w:rPr>
          <w:rFonts w:cs="Arial"/>
        </w:rPr>
        <w:t xml:space="preserve">Allyl chloride is characterised as a non-threshold genotoxic carcinogen (DFG, 2002). </w:t>
      </w:r>
      <w:r w:rsidR="00A4380B">
        <w:rPr>
          <w:rFonts w:cs="Arial"/>
        </w:rPr>
        <w:t xml:space="preserve">However, </w:t>
      </w:r>
      <w:r w:rsidR="00140232">
        <w:rPr>
          <w:rFonts w:cs="Arial"/>
        </w:rPr>
        <w:t xml:space="preserve">there are </w:t>
      </w:r>
      <w:r w:rsidR="00A4380B">
        <w:rPr>
          <w:rFonts w:cs="Arial"/>
        </w:rPr>
        <w:t xml:space="preserve">no </w:t>
      </w:r>
      <w:r>
        <w:rPr>
          <w:rFonts w:cs="Arial"/>
        </w:rPr>
        <w:t xml:space="preserve">positive carcinogenicity </w:t>
      </w:r>
      <w:r w:rsidR="00221074">
        <w:rPr>
          <w:rFonts w:cs="Arial"/>
        </w:rPr>
        <w:t>data n</w:t>
      </w:r>
      <w:r>
        <w:rPr>
          <w:rFonts w:cs="Arial"/>
        </w:rPr>
        <w:t>or</w:t>
      </w:r>
      <w:r w:rsidR="00DB454F">
        <w:rPr>
          <w:rFonts w:cs="Arial"/>
        </w:rPr>
        <w:t xml:space="preserve"> suitable exposure-response functions available to </w:t>
      </w:r>
      <w:r w:rsidR="00E46E20">
        <w:rPr>
          <w:rFonts w:cs="Arial"/>
        </w:rPr>
        <w:t>estimate a TWA.</w:t>
      </w:r>
      <w:r w:rsidR="00DB454F">
        <w:rPr>
          <w:rFonts w:cs="Arial"/>
        </w:rPr>
        <w:t xml:space="preserve"> </w:t>
      </w:r>
      <w:r w:rsidR="00E46E20">
        <w:rPr>
          <w:rFonts w:cs="Arial"/>
        </w:rPr>
        <w:t>T</w:t>
      </w:r>
      <w:r w:rsidR="00DB454F">
        <w:rPr>
          <w:rFonts w:cs="Arial"/>
        </w:rPr>
        <w:t>herefore</w:t>
      </w:r>
      <w:r w:rsidR="00E46E20">
        <w:rPr>
          <w:rFonts w:cs="Arial"/>
        </w:rPr>
        <w:t>,</w:t>
      </w:r>
      <w:r w:rsidR="00DB454F">
        <w:rPr>
          <w:rFonts w:cs="Arial"/>
        </w:rPr>
        <w:t xml:space="preserve"> an interim TWA </w:t>
      </w:r>
      <w:proofErr w:type="gramStart"/>
      <w:r w:rsidR="00AA2802">
        <w:rPr>
          <w:rFonts w:cs="Arial"/>
        </w:rPr>
        <w:t>is</w:t>
      </w:r>
      <w:r w:rsidR="00267DA0">
        <w:rPr>
          <w:rFonts w:cs="Arial"/>
        </w:rPr>
        <w:t xml:space="preserve"> recommended</w:t>
      </w:r>
      <w:proofErr w:type="gramEnd"/>
      <w:r w:rsidR="00267DA0">
        <w:rPr>
          <w:rFonts w:cs="Arial"/>
        </w:rPr>
        <w:t xml:space="preserve">. </w:t>
      </w:r>
    </w:p>
    <w:p w14:paraId="6DCAA613" w14:textId="4C56A930" w:rsidR="00E53620" w:rsidRDefault="00B17B9A" w:rsidP="00DB454F">
      <w:pPr>
        <w:rPr>
          <w:rFonts w:cs="Arial"/>
        </w:rPr>
      </w:pPr>
      <w:r>
        <w:rPr>
          <w:rFonts w:cs="Arial"/>
        </w:rPr>
        <w:t>The historic TWA of 1</w:t>
      </w:r>
      <w:r w:rsidR="00E46E20" w:rsidRPr="004C11EF">
        <w:rPr>
          <w:rFonts w:cs="Arial"/>
        </w:rPr>
        <w:t xml:space="preserve"> ppm </w:t>
      </w:r>
      <w:proofErr w:type="gramStart"/>
      <w:r>
        <w:rPr>
          <w:rFonts w:cs="Arial"/>
        </w:rPr>
        <w:t xml:space="preserve">was </w:t>
      </w:r>
      <w:r w:rsidR="00E46E20" w:rsidRPr="004C11EF">
        <w:rPr>
          <w:rFonts w:cs="Arial"/>
        </w:rPr>
        <w:t>considered</w:t>
      </w:r>
      <w:proofErr w:type="gramEnd"/>
      <w:r w:rsidR="00E46E20" w:rsidRPr="004C11EF">
        <w:rPr>
          <w:rFonts w:cs="Arial"/>
        </w:rPr>
        <w:t xml:space="preserve"> </w:t>
      </w:r>
      <w:r>
        <w:rPr>
          <w:rFonts w:cs="Arial"/>
        </w:rPr>
        <w:t xml:space="preserve">by several agencies </w:t>
      </w:r>
      <w:r w:rsidR="00E46E20" w:rsidRPr="004C11EF">
        <w:rPr>
          <w:rFonts w:cs="Arial"/>
        </w:rPr>
        <w:t xml:space="preserve">to protect for systemic effects including those on the CNS, liver and kidneys. </w:t>
      </w:r>
      <w:r>
        <w:rPr>
          <w:rFonts w:cs="Arial"/>
        </w:rPr>
        <w:t>Using this value as a point</w:t>
      </w:r>
      <w:r w:rsidR="00AF4526">
        <w:rPr>
          <w:rFonts w:cs="Arial"/>
        </w:rPr>
        <w:t xml:space="preserve"> of departure</w:t>
      </w:r>
      <w:r>
        <w:rPr>
          <w:rFonts w:cs="Arial"/>
        </w:rPr>
        <w:t>, and applying a</w:t>
      </w:r>
      <w:r w:rsidR="00E46E20" w:rsidRPr="004C11EF">
        <w:rPr>
          <w:rFonts w:cs="Arial"/>
        </w:rPr>
        <w:t>n uncertainty factor of 10 to</w:t>
      </w:r>
      <w:r w:rsidR="00B66EAD" w:rsidRPr="004C11EF">
        <w:rPr>
          <w:rFonts w:cs="Arial"/>
        </w:rPr>
        <w:t xml:space="preserve"> </w:t>
      </w:r>
      <w:r w:rsidR="00DB454F" w:rsidRPr="004C11EF">
        <w:rPr>
          <w:rFonts w:cs="Arial"/>
        </w:rPr>
        <w:t>account for non-threshold effects</w:t>
      </w:r>
      <w:r w:rsidR="00E46E20" w:rsidRPr="004C11EF">
        <w:rPr>
          <w:rFonts w:cs="Arial"/>
        </w:rPr>
        <w:t xml:space="preserve"> and another uncertainty factor of 10 to account for the incomplete data in humans</w:t>
      </w:r>
      <w:r w:rsidR="00DB454F" w:rsidRPr="004C11EF">
        <w:rPr>
          <w:rFonts w:cs="Arial"/>
        </w:rPr>
        <w:t xml:space="preserve">. The resulting </w:t>
      </w:r>
      <w:r w:rsidR="00FA29EE" w:rsidRPr="004C11EF">
        <w:rPr>
          <w:rFonts w:cs="Arial"/>
        </w:rPr>
        <w:t>TWA</w:t>
      </w:r>
      <w:r w:rsidR="00DB454F" w:rsidRPr="004C11EF">
        <w:rPr>
          <w:rFonts w:cs="Arial"/>
        </w:rPr>
        <w:t xml:space="preserve"> of 0.</w:t>
      </w:r>
      <w:r w:rsidR="00E46E20" w:rsidRPr="004C11EF">
        <w:rPr>
          <w:rFonts w:cs="Arial"/>
        </w:rPr>
        <w:t>0</w:t>
      </w:r>
      <w:r w:rsidR="00DB454F" w:rsidRPr="004C11EF">
        <w:rPr>
          <w:rFonts w:cs="Arial"/>
        </w:rPr>
        <w:t xml:space="preserve">1 ppm </w:t>
      </w:r>
      <w:proofErr w:type="gramStart"/>
      <w:r w:rsidR="00DB454F" w:rsidRPr="004C11EF">
        <w:rPr>
          <w:rFonts w:cs="Arial"/>
        </w:rPr>
        <w:t>i</w:t>
      </w:r>
      <w:r w:rsidR="00E53620" w:rsidRPr="004C11EF">
        <w:rPr>
          <w:rFonts w:cs="Arial"/>
        </w:rPr>
        <w:t>s considered</w:t>
      </w:r>
      <w:proofErr w:type="gramEnd"/>
      <w:r w:rsidR="00E53620" w:rsidRPr="004C11EF">
        <w:rPr>
          <w:rFonts w:cs="Arial"/>
        </w:rPr>
        <w:t xml:space="preserve"> </w:t>
      </w:r>
      <w:r w:rsidR="00E46E20" w:rsidRPr="004C11EF">
        <w:rPr>
          <w:rFonts w:cs="Arial"/>
        </w:rPr>
        <w:t>appropriate to minimise the risk of cancers in exposed workers</w:t>
      </w:r>
      <w:r w:rsidR="00DB454F" w:rsidRPr="004C11EF">
        <w:rPr>
          <w:rFonts w:cs="Arial"/>
        </w:rPr>
        <w:t xml:space="preserve">. </w:t>
      </w:r>
    </w:p>
    <w:p w14:paraId="125218B9" w14:textId="77777777" w:rsidR="00E46E20" w:rsidRDefault="00E46E20" w:rsidP="00DB454F">
      <w:pPr>
        <w:rPr>
          <w:rFonts w:cs="Arial"/>
        </w:rPr>
      </w:pPr>
      <w:r>
        <w:rPr>
          <w:rFonts w:cs="Arial"/>
        </w:rPr>
        <w:t xml:space="preserve">A STEL </w:t>
      </w:r>
      <w:proofErr w:type="gramStart"/>
      <w:r>
        <w:rPr>
          <w:rFonts w:cs="Arial"/>
        </w:rPr>
        <w:t>is not recommended</w:t>
      </w:r>
      <w:proofErr w:type="gramEnd"/>
      <w:r>
        <w:rPr>
          <w:rFonts w:cs="Arial"/>
        </w:rPr>
        <w:t xml:space="preserve"> based on allyl chloride</w:t>
      </w:r>
      <w:r w:rsidR="00CD6919">
        <w:rPr>
          <w:rFonts w:cs="Arial"/>
        </w:rPr>
        <w:t>’</w:t>
      </w:r>
      <w:r>
        <w:rPr>
          <w:rFonts w:cs="Arial"/>
        </w:rPr>
        <w:t>s characterisation as a non-threshold based genotoxic carcinogen.</w:t>
      </w:r>
    </w:p>
    <w:p w14:paraId="728B2162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E8CA4EF" w14:textId="77777777" w:rsidR="00E53620" w:rsidRDefault="00E53620" w:rsidP="00E53620">
      <w:pPr>
        <w:rPr>
          <w:rFonts w:cs="Arial"/>
        </w:rPr>
      </w:pPr>
      <w:r>
        <w:rPr>
          <w:rFonts w:cs="Arial"/>
        </w:rPr>
        <w:t>C</w:t>
      </w:r>
      <w:r w:rsidR="00C600A4" w:rsidRPr="00EB6F19">
        <w:rPr>
          <w:rFonts w:cs="Arial"/>
        </w:rPr>
        <w:t xml:space="preserve">lassified as a </w:t>
      </w:r>
      <w:r>
        <w:rPr>
          <w:rFonts w:cs="Arial"/>
        </w:rPr>
        <w:t xml:space="preserve">category 2 </w:t>
      </w:r>
      <w:r w:rsidR="00C600A4" w:rsidRPr="00EB6F19">
        <w:rPr>
          <w:rFonts w:cs="Arial"/>
        </w:rPr>
        <w:t>carcinogen</w:t>
      </w:r>
      <w:r w:rsidR="00C600A4">
        <w:rPr>
          <w:rFonts w:cs="Arial"/>
        </w:rPr>
        <w:t xml:space="preserve"> </w:t>
      </w:r>
      <w:r w:rsidR="00C600A4" w:rsidRPr="00EB6F19">
        <w:rPr>
          <w:rFonts w:cs="Arial"/>
        </w:rPr>
        <w:t>according to the Globally Harmonized System of Classification and Labelling of Chemicals (GHS).</w:t>
      </w:r>
      <w:r w:rsidRPr="00E53620">
        <w:rPr>
          <w:rFonts w:cs="Arial"/>
        </w:rPr>
        <w:t xml:space="preserve"> </w:t>
      </w:r>
    </w:p>
    <w:p w14:paraId="54A05A3C" w14:textId="152AEC2C" w:rsidR="00E53620" w:rsidRPr="004C23F4" w:rsidRDefault="00542D7A" w:rsidP="00E53620">
      <w:pPr>
        <w:rPr>
          <w:rFonts w:cs="Arial"/>
        </w:rPr>
      </w:pPr>
      <w:r>
        <w:rPr>
          <w:rFonts w:cs="Arial"/>
        </w:rPr>
        <w:t>Not</w:t>
      </w:r>
      <w:r w:rsidR="00E53620" w:rsidRPr="00EB6F19">
        <w:rPr>
          <w:rFonts w:cs="Arial"/>
        </w:rPr>
        <w:t xml:space="preserve"> classified as a </w:t>
      </w:r>
      <w:r w:rsidR="00E53620">
        <w:rPr>
          <w:rFonts w:cs="Arial"/>
        </w:rPr>
        <w:t xml:space="preserve">skin </w:t>
      </w:r>
      <w:r w:rsidR="009239F5">
        <w:rPr>
          <w:rFonts w:cs="Arial"/>
        </w:rPr>
        <w:t xml:space="preserve">sensitiser </w:t>
      </w:r>
      <w:r w:rsidR="00E53620">
        <w:rPr>
          <w:rFonts w:cs="Arial"/>
        </w:rPr>
        <w:t xml:space="preserve">or </w:t>
      </w:r>
      <w:r w:rsidR="00E53620" w:rsidRPr="00EB6F19">
        <w:rPr>
          <w:rFonts w:cs="Arial"/>
        </w:rPr>
        <w:t>respiratory sensitiser according to the GHS.</w:t>
      </w:r>
    </w:p>
    <w:p w14:paraId="26B2A1D7" w14:textId="6D1D815D" w:rsidR="00E53620" w:rsidRPr="00EB6F19" w:rsidRDefault="00E53620" w:rsidP="00E53620">
      <w:pPr>
        <w:rPr>
          <w:rFonts w:cs="Arial"/>
        </w:rPr>
      </w:pPr>
      <w:r w:rsidRPr="00EB6F19">
        <w:rPr>
          <w:rFonts w:cs="Arial"/>
        </w:rPr>
        <w:t xml:space="preserve">A skin notation </w:t>
      </w:r>
      <w:proofErr w:type="gramStart"/>
      <w:r w:rsidR="00AF4666">
        <w:rPr>
          <w:rFonts w:cs="Arial"/>
        </w:rPr>
        <w:t>is recommended</w:t>
      </w:r>
      <w:proofErr w:type="gramEnd"/>
      <w:r w:rsidRPr="00EB6F19">
        <w:rPr>
          <w:rFonts w:cs="Arial"/>
        </w:rPr>
        <w:t xml:space="preserve"> as evidence indicates a</w:t>
      </w:r>
      <w:r w:rsidR="00267DA0">
        <w:rPr>
          <w:rFonts w:cs="Arial"/>
        </w:rPr>
        <w:t>bsorption</w:t>
      </w:r>
      <w:r w:rsidRPr="00EB6F19">
        <w:rPr>
          <w:rFonts w:cs="Arial"/>
        </w:rPr>
        <w:t xml:space="preserve"> through the skin producing adverse systemic effects.</w:t>
      </w:r>
    </w:p>
    <w:p w14:paraId="2DF77A1E" w14:textId="0B4A6FCA" w:rsidR="007D2392" w:rsidRDefault="007D2392">
      <w:pPr>
        <w:rPr>
          <w:rFonts w:cs="Arial"/>
        </w:rPr>
      </w:pPr>
    </w:p>
    <w:p w14:paraId="53C77DC6" w14:textId="77777777" w:rsidR="007D2392" w:rsidRPr="007D2392" w:rsidRDefault="007D2392" w:rsidP="007D2392">
      <w:pPr>
        <w:rPr>
          <w:rFonts w:cs="Arial"/>
        </w:rPr>
      </w:pPr>
    </w:p>
    <w:p w14:paraId="19E8FCE4" w14:textId="77777777" w:rsidR="007D2392" w:rsidRPr="007D2392" w:rsidRDefault="007D2392" w:rsidP="007D2392">
      <w:pPr>
        <w:rPr>
          <w:rFonts w:cs="Arial"/>
        </w:rPr>
      </w:pPr>
    </w:p>
    <w:p w14:paraId="4DF8E4EA" w14:textId="77777777" w:rsidR="007D2392" w:rsidRPr="007D2392" w:rsidRDefault="007D2392" w:rsidP="007D2392">
      <w:pPr>
        <w:rPr>
          <w:rFonts w:cs="Arial"/>
        </w:rPr>
      </w:pPr>
    </w:p>
    <w:p w14:paraId="2B920DB5" w14:textId="77777777" w:rsidR="007D2392" w:rsidRPr="007D2392" w:rsidRDefault="007D2392" w:rsidP="007D2392">
      <w:pPr>
        <w:rPr>
          <w:rFonts w:cs="Arial"/>
        </w:rPr>
      </w:pPr>
    </w:p>
    <w:p w14:paraId="1FB9D2DF" w14:textId="77777777" w:rsidR="007D2392" w:rsidRPr="007D2392" w:rsidRDefault="007D2392" w:rsidP="007D2392">
      <w:pPr>
        <w:rPr>
          <w:rFonts w:cs="Arial"/>
        </w:rPr>
      </w:pPr>
    </w:p>
    <w:p w14:paraId="1F1B3D58" w14:textId="77777777" w:rsidR="007D2392" w:rsidRPr="007D2392" w:rsidRDefault="007D2392" w:rsidP="007D2392">
      <w:pPr>
        <w:rPr>
          <w:rFonts w:cs="Arial"/>
        </w:rPr>
      </w:pPr>
    </w:p>
    <w:p w14:paraId="5A99F56F" w14:textId="77777777" w:rsidR="007D2392" w:rsidRPr="007D2392" w:rsidRDefault="007D2392" w:rsidP="007D2392">
      <w:pPr>
        <w:rPr>
          <w:rFonts w:cs="Arial"/>
        </w:rPr>
      </w:pPr>
    </w:p>
    <w:p w14:paraId="6D5B0145" w14:textId="77777777" w:rsidR="007D2392" w:rsidRPr="007D2392" w:rsidRDefault="007D2392" w:rsidP="007D2392">
      <w:pPr>
        <w:rPr>
          <w:rFonts w:cs="Arial"/>
        </w:rPr>
      </w:pPr>
    </w:p>
    <w:p w14:paraId="355EC4CC" w14:textId="77777777" w:rsidR="007D2392" w:rsidRPr="007D2392" w:rsidRDefault="007D2392" w:rsidP="007D2392">
      <w:pPr>
        <w:rPr>
          <w:rFonts w:cs="Arial"/>
        </w:rPr>
      </w:pPr>
    </w:p>
    <w:p w14:paraId="03237F6A" w14:textId="77777777" w:rsidR="007D2392" w:rsidRPr="007D2392" w:rsidRDefault="007D2392" w:rsidP="007D2392">
      <w:pPr>
        <w:rPr>
          <w:rFonts w:cs="Arial"/>
        </w:rPr>
      </w:pPr>
    </w:p>
    <w:p w14:paraId="1F0C9075" w14:textId="77777777" w:rsidR="007D2392" w:rsidRPr="007D2392" w:rsidRDefault="007D2392" w:rsidP="007D2392">
      <w:pPr>
        <w:rPr>
          <w:rFonts w:cs="Arial"/>
        </w:rPr>
      </w:pPr>
    </w:p>
    <w:p w14:paraId="0AAEFFC7" w14:textId="77777777" w:rsidR="007D2392" w:rsidRPr="007D2392" w:rsidRDefault="007D2392" w:rsidP="007D2392">
      <w:pPr>
        <w:rPr>
          <w:rFonts w:cs="Arial"/>
        </w:rPr>
      </w:pPr>
    </w:p>
    <w:p w14:paraId="22CF9F0A" w14:textId="77777777" w:rsidR="007D2392" w:rsidRPr="007D2392" w:rsidRDefault="007D2392" w:rsidP="007D2392">
      <w:pPr>
        <w:rPr>
          <w:rFonts w:cs="Arial"/>
        </w:rPr>
      </w:pPr>
    </w:p>
    <w:p w14:paraId="4A96D1CF" w14:textId="77777777" w:rsidR="007D2392" w:rsidRPr="007D2392" w:rsidRDefault="007D2392" w:rsidP="007D2392">
      <w:pPr>
        <w:rPr>
          <w:rFonts w:cs="Arial"/>
        </w:rPr>
      </w:pPr>
    </w:p>
    <w:p w14:paraId="52E6C34A" w14:textId="77777777" w:rsidR="007D2392" w:rsidRPr="007D2392" w:rsidRDefault="007D2392" w:rsidP="007D2392">
      <w:pPr>
        <w:rPr>
          <w:rFonts w:cs="Arial"/>
        </w:rPr>
      </w:pPr>
    </w:p>
    <w:p w14:paraId="7410C553" w14:textId="77777777" w:rsidR="007D2392" w:rsidRPr="007D2392" w:rsidRDefault="007D2392" w:rsidP="007D2392">
      <w:pPr>
        <w:rPr>
          <w:rFonts w:cs="Arial"/>
        </w:rPr>
      </w:pPr>
    </w:p>
    <w:p w14:paraId="41AF487D" w14:textId="02B75C87" w:rsidR="007D2392" w:rsidRDefault="007D2392" w:rsidP="007D2392">
      <w:pPr>
        <w:tabs>
          <w:tab w:val="left" w:pos="1603"/>
        </w:tabs>
        <w:rPr>
          <w:rFonts w:cs="Arial"/>
        </w:rPr>
      </w:pPr>
      <w:r>
        <w:rPr>
          <w:rFonts w:cs="Arial"/>
        </w:rPr>
        <w:tab/>
      </w:r>
    </w:p>
    <w:p w14:paraId="2C053599" w14:textId="7F3AA0C3" w:rsidR="005E6979" w:rsidRPr="007D2392" w:rsidRDefault="007D2392" w:rsidP="007D2392">
      <w:pPr>
        <w:tabs>
          <w:tab w:val="left" w:pos="1603"/>
        </w:tabs>
        <w:rPr>
          <w:rFonts w:cs="Arial"/>
        </w:rPr>
        <w:sectPr w:rsidR="005E6979" w:rsidRPr="007D2392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ab/>
      </w:r>
    </w:p>
    <w:p w14:paraId="0A148F8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1D3754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6897FB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846FDF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055F2F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F45B0E" w14:textId="3AEE9CA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C11EF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622350999"/>
                    <w:placeholder>
                      <w:docPart w:val="1A6B73A3A7D84464ADB0C6949437013E"/>
                    </w:placeholder>
                  </w:sdtPr>
                  <w:sdtEndPr/>
                  <w:sdtContent>
                    <w:r w:rsidR="001118D0">
                      <w:t>TWA: 1 ppm (3 mg/m</w:t>
                    </w:r>
                    <w:r w:rsidR="001118D0">
                      <w:rPr>
                        <w:vertAlign w:val="superscript"/>
                      </w:rPr>
                      <w:t>3</w:t>
                    </w:r>
                    <w:r w:rsidR="001118D0">
                      <w:t>); STEL: 2 ppm (6 mg/m</w:t>
                    </w:r>
                    <w:r w:rsidR="001118D0">
                      <w:rPr>
                        <w:vertAlign w:val="superscript"/>
                      </w:rPr>
                      <w:t>3</w:t>
                    </w:r>
                    <w:r w:rsidR="001118D0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42984ED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55CCA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FC9FA6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14C4AC" w14:textId="58764D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C11EF">
                  <w:rPr>
                    <w:lang w:val="en-US"/>
                  </w:rPr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081595721"/>
                    <w:placeholder>
                      <w:docPart w:val="37A7D9221DEE4B08A29EC34701887D3F"/>
                    </w:placeholder>
                  </w:sdtPr>
                  <w:sdtEndPr/>
                  <w:sdtContent>
                    <w:r w:rsidR="009529F3">
                      <w:t>TLV-TWA: 1 ppm (3 mg/m</w:t>
                    </w:r>
                    <w:r w:rsidR="009529F3">
                      <w:rPr>
                        <w:vertAlign w:val="superscript"/>
                      </w:rPr>
                      <w:t>3</w:t>
                    </w:r>
                    <w:r w:rsidR="009529F3">
                      <w:t>); TLV-STEL: 2 ppm (6 mg/m</w:t>
                    </w:r>
                    <w:r w:rsidR="009529F3">
                      <w:rPr>
                        <w:vertAlign w:val="superscript"/>
                      </w:rPr>
                      <w:t>3</w:t>
                    </w:r>
                    <w:r w:rsidR="009529F3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CCBD5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A564FC" w14:textId="261AFEE8" w:rsidR="00AF4666" w:rsidRDefault="0002711E" w:rsidP="000D6617">
            <w:pPr>
              <w:pStyle w:val="Tabletextprimarysource"/>
            </w:pPr>
            <w:r>
              <w:t xml:space="preserve">TLV-TWA and TLV-STEL </w:t>
            </w:r>
            <w:r w:rsidR="000D6617">
              <w:t xml:space="preserve">recommended </w:t>
            </w:r>
            <w:r w:rsidR="000D4968">
              <w:t xml:space="preserve">to </w:t>
            </w:r>
            <w:r w:rsidR="000D6617">
              <w:t>min</w:t>
            </w:r>
            <w:r w:rsidR="000D4968">
              <w:t>imis</w:t>
            </w:r>
            <w:r>
              <w:t xml:space="preserve">e the potential for hepatic </w:t>
            </w:r>
            <w:r w:rsidR="000D6617">
              <w:t xml:space="preserve">and possible renal effects </w:t>
            </w:r>
            <w:r>
              <w:t>in exposed workers</w:t>
            </w:r>
            <w:r w:rsidR="004D1537">
              <w:t xml:space="preserve"> </w:t>
            </w:r>
            <w:r w:rsidR="00FE32D5">
              <w:t>and</w:t>
            </w:r>
            <w:r w:rsidR="00B66EAD">
              <w:t xml:space="preserve"> minimise</w:t>
            </w:r>
            <w:r w:rsidR="00E02B29">
              <w:t xml:space="preserve"> the potential for respiratory and eye irritation.</w:t>
            </w:r>
          </w:p>
          <w:p w14:paraId="09B4A9A7" w14:textId="5DB2EFC6" w:rsidR="0002711E" w:rsidRDefault="0002711E" w:rsidP="000D6617">
            <w:pPr>
              <w:pStyle w:val="Tabletextprimarysource"/>
            </w:pPr>
            <w:r>
              <w:t>Summary o</w:t>
            </w:r>
            <w:r w:rsidR="009529F3">
              <w:t>f</w:t>
            </w:r>
            <w:r>
              <w:t xml:space="preserve"> data:</w:t>
            </w:r>
          </w:p>
          <w:p w14:paraId="72DD1FF8" w14:textId="77777777" w:rsidR="0002711E" w:rsidRDefault="000C0DA6" w:rsidP="001D59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82055B0" w14:textId="71764303" w:rsidR="000C0DA6" w:rsidRDefault="000C0DA6" w:rsidP="000C0DA6">
            <w:pPr>
              <w:pStyle w:val="ListBullet"/>
              <w:ind w:left="720"/>
            </w:pPr>
            <w:r>
              <w:t>Reports of eye irritation</w:t>
            </w:r>
            <w:r w:rsidR="00FE32D5">
              <w:t>,</w:t>
            </w:r>
            <w:r>
              <w:t xml:space="preserve"> corneal injury and neurological effects </w:t>
            </w:r>
            <w:r w:rsidR="001D5911">
              <w:t>(</w:t>
            </w:r>
            <w:r>
              <w:t>weakness, paraesthesia and numbness in the extremities</w:t>
            </w:r>
            <w:r w:rsidR="001D5911">
              <w:t>)</w:t>
            </w:r>
          </w:p>
          <w:p w14:paraId="7B83FB27" w14:textId="4EE5E1DC" w:rsidR="007B5B16" w:rsidRDefault="007B5B16" w:rsidP="007B5B16">
            <w:pPr>
              <w:pStyle w:val="ListBullet"/>
              <w:ind w:left="720"/>
            </w:pPr>
            <w:r>
              <w:t xml:space="preserve">A study of 1,064 male workers showed no significantly elevated </w:t>
            </w:r>
            <w:r w:rsidR="00FE32D5">
              <w:t>SMR</w:t>
            </w:r>
            <w:r>
              <w:t xml:space="preserve"> for all malignant neoplasms, lung cancer, circulatory system disease or arteriosclerotic heart disease </w:t>
            </w:r>
            <w:r w:rsidR="004C29E7">
              <w:t>in comparison to un-exposed external or internal populations.</w:t>
            </w:r>
          </w:p>
          <w:p w14:paraId="11470C8B" w14:textId="77777777" w:rsidR="00BD6CEB" w:rsidRDefault="00BD6CEB" w:rsidP="007B5B16">
            <w:pPr>
              <w:pStyle w:val="ListBullet"/>
              <w:ind w:left="720"/>
            </w:pPr>
            <w:r>
              <w:t>Industry reports of dermal exposure in workers (no further details)</w:t>
            </w:r>
            <w:r w:rsidR="001D5911">
              <w:t>.</w:t>
            </w:r>
          </w:p>
          <w:p w14:paraId="6DB8F042" w14:textId="77777777" w:rsidR="001D5911" w:rsidRDefault="001D5911" w:rsidP="001D5911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6AE603EB" w14:textId="77777777" w:rsidR="000C0DA6" w:rsidRDefault="000D4968" w:rsidP="001D59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15313699" w14:textId="64169115" w:rsidR="00A532E7" w:rsidRDefault="00A532E7" w:rsidP="00A532E7">
            <w:pPr>
              <w:pStyle w:val="ListBullet"/>
              <w:ind w:left="720"/>
            </w:pPr>
            <w:r>
              <w:t xml:space="preserve">Average of 8 ppm </w:t>
            </w:r>
            <w:r w:rsidR="001D5911">
              <w:t xml:space="preserve">produced significant effects in liver and kidneys </w:t>
            </w:r>
            <w:r>
              <w:t>(guine</w:t>
            </w:r>
            <w:r w:rsidR="00FA29EE">
              <w:t>a pigs, rats, rabbits; 28 x 7 h</w:t>
            </w:r>
            <w:r>
              <w:t xml:space="preserve"> exposures</w:t>
            </w:r>
            <w:r w:rsidR="004C29E7">
              <w:t xml:space="preserve"> over 35 d</w:t>
            </w:r>
            <w:r>
              <w:t xml:space="preserve">) </w:t>
            </w:r>
          </w:p>
          <w:p w14:paraId="1C085889" w14:textId="0D6781E5" w:rsidR="00A532E7" w:rsidRDefault="00A532E7" w:rsidP="00A532E7">
            <w:pPr>
              <w:pStyle w:val="ListBullet"/>
              <w:ind w:left="720"/>
            </w:pPr>
            <w:r>
              <w:t xml:space="preserve">Average of 3 ppm produced slight </w:t>
            </w:r>
            <w:r w:rsidR="006953EA">
              <w:t xml:space="preserve">lobular degeneration </w:t>
            </w:r>
            <w:r>
              <w:t>in female rat livers (guinea pi</w:t>
            </w:r>
            <w:r w:rsidR="00FA29EE">
              <w:t>gs, rats, rabbits, dog; 7 h</w:t>
            </w:r>
            <w:r w:rsidR="001D5911">
              <w:t>/d, 5 d/</w:t>
            </w:r>
            <w:proofErr w:type="spellStart"/>
            <w:r w:rsidR="001D5911">
              <w:t>wk</w:t>
            </w:r>
            <w:proofErr w:type="spellEnd"/>
            <w:r w:rsidR="001D5911">
              <w:t>; 127</w:t>
            </w:r>
            <w:r w:rsidR="008A12E0">
              <w:t>–</w:t>
            </w:r>
            <w:r>
              <w:t>134 exposures in 180</w:t>
            </w:r>
            <w:r w:rsidR="008A12E0">
              <w:t>–</w:t>
            </w:r>
            <w:r w:rsidR="001D5911">
              <w:t>194 d</w:t>
            </w:r>
            <w:r>
              <w:t>)</w:t>
            </w:r>
          </w:p>
          <w:p w14:paraId="07394827" w14:textId="77777777" w:rsidR="00A532E7" w:rsidRDefault="00A532E7" w:rsidP="00A532E7">
            <w:pPr>
              <w:pStyle w:val="ListBullet"/>
              <w:ind w:left="720"/>
            </w:pPr>
            <w:r>
              <w:t>NOAEL: 5.4 ppm (17 mg/m</w:t>
            </w:r>
            <w:r>
              <w:rPr>
                <w:vertAlign w:val="superscript"/>
              </w:rPr>
              <w:t>3</w:t>
            </w:r>
            <w:r w:rsidR="00F87071">
              <w:t>) neurological effects (r</w:t>
            </w:r>
            <w:r w:rsidR="00FA29EE">
              <w:t>abbits, 6 h/d, 6 d/</w:t>
            </w:r>
            <w:proofErr w:type="spellStart"/>
            <w:r w:rsidR="00FA29EE">
              <w:t>wk</w:t>
            </w:r>
            <w:proofErr w:type="spellEnd"/>
            <w:r w:rsidR="00FA29EE">
              <w:t xml:space="preserve">, 5 </w:t>
            </w:r>
            <w:proofErr w:type="spellStart"/>
            <w:r w:rsidR="00FA29EE">
              <w:t>mo</w:t>
            </w:r>
            <w:proofErr w:type="spellEnd"/>
            <w:r>
              <w:t>)</w:t>
            </w:r>
          </w:p>
          <w:p w14:paraId="3B91C57A" w14:textId="77777777" w:rsidR="000D4968" w:rsidRDefault="000D4968" w:rsidP="00A532E7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Pr="00FA29EE">
              <w:t>:</w:t>
            </w:r>
            <w:r>
              <w:t xml:space="preserve"> 2,066 mg/kg (rabbit</w:t>
            </w:r>
            <w:r w:rsidR="001D5911">
              <w:t>, dermal</w:t>
            </w:r>
            <w:r>
              <w:t>)</w:t>
            </w:r>
          </w:p>
          <w:p w14:paraId="6251B3D5" w14:textId="77777777" w:rsidR="000D4968" w:rsidRDefault="000D4968" w:rsidP="000D4968">
            <w:pPr>
              <w:pStyle w:val="ListBullet"/>
              <w:ind w:left="720"/>
            </w:pPr>
            <w:r>
              <w:t>LC</w:t>
            </w:r>
            <w:r>
              <w:rPr>
                <w:vertAlign w:val="subscript"/>
              </w:rPr>
              <w:t>50</w:t>
            </w:r>
            <w:r w:rsidR="00FA29EE">
              <w:t>: 2,000 ppm (rat, 4 h</w:t>
            </w:r>
            <w:r>
              <w:t>)</w:t>
            </w:r>
          </w:p>
          <w:p w14:paraId="736CDC66" w14:textId="77777777" w:rsidR="00AF1028" w:rsidRDefault="00594E3A" w:rsidP="001D5911">
            <w:pPr>
              <w:pStyle w:val="ListBullet"/>
              <w:tabs>
                <w:tab w:val="clear" w:pos="360"/>
              </w:tabs>
              <w:ind w:left="731"/>
            </w:pPr>
            <w:r>
              <w:t>A</w:t>
            </w:r>
            <w:r w:rsidRPr="00594E3A">
              <w:t>cts as a skin tumour</w:t>
            </w:r>
            <w:r>
              <w:t xml:space="preserve"> initiator</w:t>
            </w:r>
            <w:r w:rsidR="00823046">
              <w:t xml:space="preserve"> in presence of promoter</w:t>
            </w:r>
            <w:r>
              <w:t xml:space="preserve"> in mice </w:t>
            </w:r>
            <w:r w:rsidR="00267DA0">
              <w:t>and produces</w:t>
            </w:r>
            <w:r w:rsidR="00BD6CEB">
              <w:t xml:space="preserve"> </w:t>
            </w:r>
            <w:r w:rsidR="00AF1028">
              <w:t>neoplastic lesions of the forestomach</w:t>
            </w:r>
            <w:r>
              <w:t xml:space="preserve"> (</w:t>
            </w:r>
            <w:r w:rsidR="006E7CEF">
              <w:t xml:space="preserve">adequately conducted </w:t>
            </w:r>
            <w:r w:rsidR="006A2C22">
              <w:t>carcinogenicity study</w:t>
            </w:r>
            <w:r>
              <w:t>)</w:t>
            </w:r>
            <w:r w:rsidR="00FE32D5">
              <w:t>.</w:t>
            </w:r>
            <w:r>
              <w:t xml:space="preserve"> </w:t>
            </w:r>
          </w:p>
          <w:p w14:paraId="32503615" w14:textId="77777777" w:rsidR="00FE32D5" w:rsidRDefault="00FE32D5" w:rsidP="001D591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4A379560" w14:textId="77777777" w:rsidR="00C04B53" w:rsidRDefault="00AF1028" w:rsidP="001D59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proofErr w:type="spellStart"/>
            <w:r>
              <w:t>Genotoxicity</w:t>
            </w:r>
            <w:proofErr w:type="spellEnd"/>
            <w:r w:rsidR="00C04B53">
              <w:t>:</w:t>
            </w:r>
          </w:p>
          <w:p w14:paraId="516A643B" w14:textId="393E0105" w:rsidR="00C04B53" w:rsidRDefault="00C04B53" w:rsidP="00C04B53">
            <w:pPr>
              <w:pStyle w:val="ListBullet"/>
              <w:ind w:left="720"/>
            </w:pPr>
            <w:r>
              <w:t xml:space="preserve">Mutagenic in </w:t>
            </w:r>
            <w:r w:rsidRPr="00C04B53">
              <w:rPr>
                <w:i/>
              </w:rPr>
              <w:t xml:space="preserve">Salmonella </w:t>
            </w:r>
            <w:proofErr w:type="spellStart"/>
            <w:r w:rsidRPr="00C04B53">
              <w:rPr>
                <w:i/>
              </w:rPr>
              <w:t>typhimurium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and NBP tests </w:t>
            </w:r>
          </w:p>
          <w:p w14:paraId="79941BE6" w14:textId="1AB9E8CC" w:rsidR="00C04B53" w:rsidRDefault="00C04B53" w:rsidP="00C04B53">
            <w:pPr>
              <w:pStyle w:val="ListBullet"/>
              <w:ind w:left="720"/>
            </w:pPr>
            <w:r>
              <w:t>DNA damage in bacteria, mutagenic to bacteria and fungi and induced gene conversion in yeast</w:t>
            </w:r>
          </w:p>
          <w:p w14:paraId="41FF390C" w14:textId="77777777" w:rsidR="00C04B53" w:rsidRDefault="00C04B53" w:rsidP="00C04B53">
            <w:pPr>
              <w:pStyle w:val="ListBullet"/>
              <w:ind w:left="720"/>
            </w:pPr>
            <w:r>
              <w:t>Induced chromosomal aberrations in cult</w:t>
            </w:r>
            <w:r w:rsidR="001D5911">
              <w:t>ured Chinese hamster lung cells</w:t>
            </w:r>
          </w:p>
          <w:p w14:paraId="773C49D0" w14:textId="3C216524" w:rsidR="00D66141" w:rsidRDefault="00C04B53" w:rsidP="00D66141">
            <w:pPr>
              <w:pStyle w:val="ListBullet"/>
              <w:ind w:left="720"/>
            </w:pPr>
            <w:r>
              <w:t>Binds to isolated DNA</w:t>
            </w:r>
            <w:r w:rsidR="00FE32D5">
              <w:t>.</w:t>
            </w:r>
          </w:p>
          <w:p w14:paraId="5EE8A334" w14:textId="77777777" w:rsidR="00FE32D5" w:rsidRDefault="00FE32D5" w:rsidP="001D5911">
            <w:pPr>
              <w:pStyle w:val="ListBullet"/>
              <w:numPr>
                <w:ilvl w:val="0"/>
                <w:numId w:val="0"/>
              </w:numPr>
              <w:ind w:left="22"/>
            </w:pPr>
          </w:p>
          <w:p w14:paraId="6380EC4B" w14:textId="0FB05F58" w:rsidR="00C04B53" w:rsidRDefault="001D5911" w:rsidP="001D5911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 xml:space="preserve">Not </w:t>
            </w:r>
            <w:r w:rsidR="000E2F6C">
              <w:t xml:space="preserve">considered </w:t>
            </w:r>
            <w:r w:rsidR="00CF2CDE">
              <w:t xml:space="preserve">to pose </w:t>
            </w:r>
            <w:r>
              <w:t>a significant developmental hazard</w:t>
            </w:r>
            <w:r w:rsidR="001819E9">
              <w:t>;</w:t>
            </w:r>
            <w:r w:rsidR="00D66141">
              <w:t xml:space="preserve"> but </w:t>
            </w:r>
            <w:r w:rsidR="000E2F6C">
              <w:t>some</w:t>
            </w:r>
            <w:r w:rsidR="00D66141">
              <w:t xml:space="preserve"> damage </w:t>
            </w:r>
            <w:r w:rsidR="000E2F6C">
              <w:t xml:space="preserve">to </w:t>
            </w:r>
            <w:r w:rsidR="00D66141">
              <w:t>sperm</w:t>
            </w:r>
            <w:r w:rsidR="000E2F6C">
              <w:t xml:space="preserve"> reported.</w:t>
            </w:r>
            <w:r w:rsidR="00D66141">
              <w:t xml:space="preserve"> </w:t>
            </w:r>
          </w:p>
          <w:p w14:paraId="63F5EE82" w14:textId="77777777" w:rsidR="00FE32D5" w:rsidRPr="00DA352E" w:rsidRDefault="00FE32D5" w:rsidP="001D5911">
            <w:pPr>
              <w:pStyle w:val="ListBullet"/>
              <w:numPr>
                <w:ilvl w:val="0"/>
                <w:numId w:val="0"/>
              </w:numPr>
              <w:ind w:left="22"/>
            </w:pPr>
          </w:p>
        </w:tc>
      </w:tr>
      <w:tr w:rsidR="00C978F0" w:rsidRPr="00DA352E" w14:paraId="1120355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C3EB21" w14:textId="4EBA2CA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C11EF">
                  <w:rPr>
                    <w:lang w:val="en-US"/>
                  </w:rPr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56D2C">
                  <w:t>NA</w:t>
                </w:r>
              </w:sdtContent>
            </w:sdt>
          </w:p>
        </w:tc>
      </w:tr>
      <w:tr w:rsidR="00C978F0" w:rsidRPr="00DA352E" w14:paraId="7A408C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AA4696" w14:textId="646551A5" w:rsidR="00C978F0" w:rsidRDefault="000C77DF" w:rsidP="003365A5">
            <w:pPr>
              <w:pStyle w:val="Tabletextprimarysource"/>
            </w:pPr>
            <w:r>
              <w:t xml:space="preserve">Suspected </w:t>
            </w:r>
            <w:r w:rsidR="00656D2C">
              <w:t>carcinogenic effects with potential genotoxic mechanisms</w:t>
            </w:r>
            <w:r w:rsidR="00FE32D5">
              <w:t>,</w:t>
            </w:r>
            <w:r w:rsidR="00656D2C">
              <w:t xml:space="preserve"> therefore previous MAK of </w:t>
            </w:r>
            <w:r w:rsidR="00FE32D5">
              <w:t>1 </w:t>
            </w:r>
            <w:r w:rsidR="00656D2C">
              <w:t>ppm withdrawn</w:t>
            </w:r>
            <w:r>
              <w:t>.</w:t>
            </w:r>
          </w:p>
          <w:p w14:paraId="6E629A04" w14:textId="77777777" w:rsidR="00656D2C" w:rsidRDefault="00656D2C" w:rsidP="003365A5">
            <w:pPr>
              <w:pStyle w:val="Tabletextprimarysource"/>
            </w:pPr>
            <w:r>
              <w:t>Summary of additional data:</w:t>
            </w:r>
          </w:p>
          <w:p w14:paraId="57BB8E20" w14:textId="39DD9C28" w:rsidR="00656D2C" w:rsidRDefault="00656D2C" w:rsidP="000C77DF">
            <w:pPr>
              <w:pStyle w:val="ListBullet"/>
              <w:tabs>
                <w:tab w:val="clear" w:pos="360"/>
              </w:tabs>
              <w:ind w:left="731"/>
            </w:pPr>
            <w:r>
              <w:t>Considered</w:t>
            </w:r>
            <w:r w:rsidR="00594E3A">
              <w:t xml:space="preserve"> a weak alkylating/mutagenic substance in studies considered suitable</w:t>
            </w:r>
          </w:p>
          <w:p w14:paraId="05BC8B31" w14:textId="6A42B029" w:rsidR="004C11EF" w:rsidRDefault="004C11EF" w:rsidP="000C77DF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Genotoxic mechanisms involved in the carcinogenic effects </w:t>
            </w:r>
            <w:proofErr w:type="gramStart"/>
            <w:r>
              <w:t>cannot be excluded</w:t>
            </w:r>
            <w:proofErr w:type="gramEnd"/>
            <w:r>
              <w:t>.</w:t>
            </w:r>
          </w:p>
          <w:p w14:paraId="5148596F" w14:textId="77777777" w:rsidR="00594E3A" w:rsidRDefault="00594E3A" w:rsidP="000C77DF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Evidence of simultaneous dermal exposure increasing </w:t>
            </w:r>
            <w:r w:rsidR="00267DA0">
              <w:t xml:space="preserve">excretion of the </w:t>
            </w:r>
            <w:r>
              <w:t xml:space="preserve">metabolite </w:t>
            </w:r>
            <w:r w:rsidRPr="00267DA0">
              <w:rPr>
                <w:i/>
              </w:rPr>
              <w:t>S-allyl mercapturic acid</w:t>
            </w:r>
            <w:r>
              <w:t xml:space="preserve"> </w:t>
            </w:r>
            <w:r w:rsidR="00267DA0">
              <w:t>in the</w:t>
            </w:r>
            <w:r>
              <w:t xml:space="preserve"> urine of workers (no other details)</w:t>
            </w:r>
            <w:r w:rsidR="000C77DF">
              <w:t>.</w:t>
            </w:r>
          </w:p>
          <w:p w14:paraId="5F9BE22C" w14:textId="77777777" w:rsidR="00FE32D5" w:rsidRPr="00DA352E" w:rsidRDefault="00FE32D5" w:rsidP="0059504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9EA3F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5DAE09" w14:textId="584557C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C11EF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D6CEB">
                  <w:t>NA</w:t>
                </w:r>
              </w:sdtContent>
            </w:sdt>
          </w:p>
        </w:tc>
      </w:tr>
      <w:tr w:rsidR="00C978F0" w:rsidRPr="00DA352E" w14:paraId="5570C4A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90F0BF" w14:textId="0F896CD9" w:rsidR="00C978F0" w:rsidRPr="00DA352E" w:rsidRDefault="00BD6CEB" w:rsidP="003365A5">
            <w:pPr>
              <w:pStyle w:val="Tabletextprimarysource"/>
            </w:pPr>
            <w:r>
              <w:t>No report</w:t>
            </w:r>
            <w:r w:rsidR="00F85562">
              <w:t>.</w:t>
            </w:r>
          </w:p>
        </w:tc>
      </w:tr>
      <w:tr w:rsidR="00DA352E" w:rsidRPr="00DA352E" w14:paraId="252AA16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34F868" w14:textId="6F3F8E7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C11EF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D6CEB">
                  <w:t>NA</w:t>
                </w:r>
              </w:sdtContent>
            </w:sdt>
          </w:p>
        </w:tc>
      </w:tr>
      <w:tr w:rsidR="00DA352E" w:rsidRPr="00DA352E" w14:paraId="6398B6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7E83F1" w14:textId="27273D5C" w:rsidR="00DA352E" w:rsidRPr="00DA352E" w:rsidRDefault="00BD6CEB" w:rsidP="003365A5">
            <w:pPr>
              <w:pStyle w:val="Tabletextprimarysource"/>
            </w:pPr>
            <w:r>
              <w:t>No report</w:t>
            </w:r>
            <w:r w:rsidR="00F85562">
              <w:t>.</w:t>
            </w:r>
          </w:p>
        </w:tc>
      </w:tr>
      <w:tr w:rsidR="00DA352E" w:rsidRPr="00DA352E" w14:paraId="2822475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8EDF88" w14:textId="7ACA3E5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C11EF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D6CEB">
                  <w:t>NA</w:t>
                </w:r>
              </w:sdtContent>
            </w:sdt>
          </w:p>
        </w:tc>
      </w:tr>
      <w:tr w:rsidR="00DA352E" w:rsidRPr="00DA352E" w14:paraId="6BF4FC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1698E9" w14:textId="01027CFF" w:rsidR="00DA352E" w:rsidRPr="00DA352E" w:rsidRDefault="00BD6CEB" w:rsidP="003365A5">
            <w:pPr>
              <w:pStyle w:val="Tabletextprimarysource"/>
            </w:pPr>
            <w:r>
              <w:t>No report</w:t>
            </w:r>
            <w:r w:rsidR="00F85562">
              <w:t>.</w:t>
            </w:r>
          </w:p>
        </w:tc>
      </w:tr>
    </w:tbl>
    <w:p w14:paraId="3078935E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5F8986F3" w14:textId="77777777" w:rsidTr="0082304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1CBA44D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30F058E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F8E88F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A29C57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4B2A6F2" w14:textId="77777777" w:rsidTr="00823046">
        <w:trPr>
          <w:cantSplit/>
        </w:trPr>
        <w:tc>
          <w:tcPr>
            <w:tcW w:w="1497" w:type="dxa"/>
          </w:tcPr>
          <w:p w14:paraId="3A0B09D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54867193" w14:textId="1223EBF3" w:rsidR="004966BF" w:rsidRPr="00CE617F" w:rsidRDefault="008217E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C11E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4BFEBC5" w14:textId="77777777" w:rsidR="004966BF" w:rsidRPr="004C23F4" w:rsidRDefault="00BD6CE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11C4B677" w14:textId="77777777" w:rsidR="004966BF" w:rsidRDefault="00BD6CEB" w:rsidP="00BD6CE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BD6CEB">
              <w:rPr>
                <w:rStyle w:val="checkbox"/>
                <w:rFonts w:ascii="Arial" w:hAnsi="Arial" w:cs="Arial"/>
              </w:rPr>
              <w:t xml:space="preserve">eported to cause polyneuropathy, adverse effects on the central nervous system </w:t>
            </w:r>
            <w:r w:rsidR="000C77DF">
              <w:rPr>
                <w:rStyle w:val="checkbox"/>
                <w:rFonts w:ascii="Arial" w:hAnsi="Arial" w:cs="Arial"/>
              </w:rPr>
              <w:t>and</w:t>
            </w:r>
            <w:r w:rsidRPr="00BD6CEB">
              <w:rPr>
                <w:rStyle w:val="checkbox"/>
                <w:rFonts w:ascii="Arial" w:hAnsi="Arial" w:cs="Arial"/>
              </w:rPr>
              <w:t xml:space="preserve"> reversible liver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BD6CEB">
              <w:rPr>
                <w:rStyle w:val="checkbox"/>
                <w:rFonts w:ascii="Arial" w:hAnsi="Arial" w:cs="Arial"/>
              </w:rPr>
              <w:t>and kidney damage after occupational exposure</w:t>
            </w:r>
          </w:p>
          <w:p w14:paraId="4298BB29" w14:textId="77777777" w:rsidR="00BD6CEB" w:rsidRDefault="00BD6CEB" w:rsidP="00BD6CEB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BD6CEB">
              <w:rPr>
                <w:rStyle w:val="checkbox"/>
                <w:rFonts w:ascii="Arial" w:hAnsi="Arial" w:cs="Arial"/>
              </w:rPr>
              <w:t>Respiratory irritation noted in acute inhalation studies</w:t>
            </w:r>
          </w:p>
          <w:p w14:paraId="7850FC1E" w14:textId="75DAD602" w:rsidR="00BD6CEB" w:rsidRDefault="00BD6CEB" w:rsidP="00BD6CE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BD6CEB">
              <w:rPr>
                <w:rStyle w:val="checkbox"/>
                <w:rFonts w:ascii="Arial" w:hAnsi="Arial" w:cs="Arial"/>
              </w:rPr>
              <w:t>eported eye irritation, often with orbital pain along with nose, throat and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BD6CEB">
              <w:rPr>
                <w:rStyle w:val="checkbox"/>
                <w:rFonts w:ascii="Arial" w:hAnsi="Arial" w:cs="Arial"/>
              </w:rPr>
              <w:t>respiratory irritation, and with eye and respiratory tract irritation reported at 75 mg/m³</w:t>
            </w:r>
          </w:p>
          <w:p w14:paraId="55E4FE23" w14:textId="67510F93" w:rsidR="00BD6CEB" w:rsidRDefault="00BD6CEB" w:rsidP="00BD6CE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</w:t>
            </w:r>
            <w:r w:rsidR="00E46E20">
              <w:rPr>
                <w:rStyle w:val="checkbox"/>
                <w:rFonts w:ascii="Arial" w:hAnsi="Arial" w:cs="Arial"/>
              </w:rPr>
              <w:t>:</w:t>
            </w:r>
            <w:r w:rsidR="00823046">
              <w:rPr>
                <w:rStyle w:val="checkbox"/>
                <w:rFonts w:ascii="Arial" w:hAnsi="Arial" w:cs="Arial"/>
              </w:rPr>
              <w:t xml:space="preserve"> 0.29 mg/m</w:t>
            </w:r>
            <w:r w:rsidR="0082304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823046">
              <w:rPr>
                <w:rStyle w:val="checkbox"/>
                <w:rFonts w:ascii="Arial" w:hAnsi="Arial" w:cs="Arial"/>
              </w:rPr>
              <w:t xml:space="preserve"> </w:t>
            </w:r>
            <w:r w:rsidR="00E46E20">
              <w:rPr>
                <w:rStyle w:val="checkbox"/>
                <w:rFonts w:ascii="Arial" w:hAnsi="Arial" w:cs="Arial"/>
              </w:rPr>
              <w:t>(</w:t>
            </w:r>
            <w:r w:rsidR="00823046">
              <w:rPr>
                <w:rStyle w:val="checkbox"/>
                <w:rFonts w:ascii="Arial" w:hAnsi="Arial" w:cs="Arial"/>
              </w:rPr>
              <w:t>rats, sub chronic exposure; reversible neurological effects and effects on male reproducti</w:t>
            </w:r>
            <w:r w:rsidR="00E46E20">
              <w:rPr>
                <w:rStyle w:val="checkbox"/>
                <w:rFonts w:ascii="Arial" w:hAnsi="Arial" w:cs="Arial"/>
              </w:rPr>
              <w:t>on)</w:t>
            </w:r>
          </w:p>
          <w:p w14:paraId="4CF66CA4" w14:textId="175BED12" w:rsidR="00823046" w:rsidRPr="00823046" w:rsidRDefault="00823046" w:rsidP="00823046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823046">
              <w:rPr>
                <w:rStyle w:val="checkbox"/>
                <w:rFonts w:ascii="Arial" w:hAnsi="Arial" w:cs="Arial"/>
              </w:rPr>
              <w:t>The critical effects are systemic</w:t>
            </w:r>
            <w:r w:rsidR="00AF4526">
              <w:rPr>
                <w:rStyle w:val="checkbox"/>
                <w:rFonts w:ascii="Arial" w:hAnsi="Arial" w:cs="Arial"/>
              </w:rPr>
              <w:t>,</w:t>
            </w:r>
            <w:r w:rsidRPr="00823046">
              <w:rPr>
                <w:rStyle w:val="checkbox"/>
                <w:rFonts w:ascii="Arial" w:hAnsi="Arial" w:cs="Arial"/>
              </w:rPr>
              <w:t xml:space="preserve"> long-term effects (carcinogenicity, mutagenicity, repeat dose toxicity and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23046">
              <w:rPr>
                <w:rStyle w:val="checkbox"/>
                <w:rFonts w:ascii="Arial" w:hAnsi="Arial" w:cs="Arial"/>
              </w:rPr>
              <w:t xml:space="preserve">reproductive toxicity). </w:t>
            </w:r>
          </w:p>
        </w:tc>
      </w:tr>
      <w:tr w:rsidR="003560B1" w:rsidRPr="004C23F4" w14:paraId="141BF2C8" w14:textId="77777777" w:rsidTr="00823046">
        <w:trPr>
          <w:cantSplit/>
        </w:trPr>
        <w:tc>
          <w:tcPr>
            <w:tcW w:w="1497" w:type="dxa"/>
          </w:tcPr>
          <w:p w14:paraId="03187A8E" w14:textId="66F296DB" w:rsidR="003560B1" w:rsidRDefault="003560B1" w:rsidP="00224EE2">
            <w:pPr>
              <w:pStyle w:val="Tablefont"/>
            </w:pPr>
            <w:r>
              <w:t>IARC</w:t>
            </w:r>
          </w:p>
        </w:tc>
        <w:tc>
          <w:tcPr>
            <w:tcW w:w="424" w:type="dxa"/>
          </w:tcPr>
          <w:p w14:paraId="5D224C29" w14:textId="0B40C08E" w:rsidR="003560B1" w:rsidRDefault="008217E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649976547"/>
                <w:placeholder>
                  <w:docPart w:val="F0C30002D91546FCAFA7B5F7C8A31983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C11E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D0B20B" w14:textId="42022331" w:rsidR="003560B1" w:rsidRDefault="004C11E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4" w:type="dxa"/>
          </w:tcPr>
          <w:p w14:paraId="397C718A" w14:textId="25504CC0" w:rsidR="00084174" w:rsidRPr="00084174" w:rsidRDefault="004C11EF" w:rsidP="0008417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Non-significant increase the incidence of squamous cell </w:t>
            </w:r>
            <w:proofErr w:type="spellStart"/>
            <w:r>
              <w:rPr>
                <w:rStyle w:val="checkbox"/>
                <w:rFonts w:ascii="Arial" w:hAnsi="Arial" w:cs="Arial"/>
              </w:rPr>
              <w:t>papillomas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and carcinomas of the forestomach of mice in an oral study</w:t>
            </w:r>
          </w:p>
          <w:p w14:paraId="414FE51B" w14:textId="77777777" w:rsidR="00084174" w:rsidRDefault="004C11EF" w:rsidP="00084174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084174">
              <w:rPr>
                <w:rStyle w:val="checkbox"/>
                <w:rFonts w:ascii="Arial" w:hAnsi="Arial" w:cs="Arial"/>
              </w:rPr>
              <w:t>No skin tumours in mice following repeated skin applications</w:t>
            </w:r>
          </w:p>
          <w:p w14:paraId="4B54248B" w14:textId="35591681" w:rsidR="004C11EF" w:rsidRPr="00084174" w:rsidRDefault="004C11EF" w:rsidP="00084174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084174">
              <w:rPr>
                <w:rStyle w:val="checkbox"/>
                <w:rFonts w:ascii="Arial" w:hAnsi="Arial" w:cs="Arial"/>
              </w:rPr>
              <w:t xml:space="preserve">Increased incidence of tumour-bearing mice (compared to controls) after a single application and treatment with </w:t>
            </w:r>
            <w:r>
              <w:t>12</w:t>
            </w:r>
            <w:r w:rsidR="00AF4526">
              <w:noBreakHyphen/>
            </w:r>
            <w:r>
              <w:t>O</w:t>
            </w:r>
            <w:r w:rsidR="00AF4526">
              <w:noBreakHyphen/>
            </w:r>
            <w:r>
              <w:t>tetradecanoylphorbol 13-acetate</w:t>
            </w:r>
          </w:p>
          <w:p w14:paraId="7F3E9F60" w14:textId="796FA685" w:rsidR="004C11EF" w:rsidRDefault="004C11EF" w:rsidP="004C11E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Pr="004C11EF">
              <w:rPr>
                <w:rStyle w:val="checkbox"/>
                <w:rFonts w:ascii="Arial" w:hAnsi="Arial" w:cs="Arial"/>
              </w:rPr>
              <w:t xml:space="preserve"> marginal increase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4C11EF">
              <w:rPr>
                <w:rStyle w:val="checkbox"/>
                <w:rFonts w:ascii="Arial" w:hAnsi="Arial" w:cs="Arial"/>
              </w:rPr>
              <w:t>in the multiplicity of lung adenomas</w:t>
            </w:r>
            <w:r>
              <w:rPr>
                <w:rStyle w:val="checkbox"/>
                <w:rFonts w:ascii="Arial" w:hAnsi="Arial" w:cs="Arial"/>
              </w:rPr>
              <w:t xml:space="preserve"> in mice following intraperitoneal injection</w:t>
            </w:r>
          </w:p>
          <w:p w14:paraId="6C4AFEC0" w14:textId="7B0F3C58" w:rsidR="003560B1" w:rsidRDefault="004C11EF" w:rsidP="004C11E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Concluded not to be </w:t>
            </w:r>
            <w:r w:rsidRPr="004C11EF">
              <w:rPr>
                <w:rStyle w:val="checkbox"/>
                <w:rFonts w:ascii="Arial" w:hAnsi="Arial" w:cs="Arial"/>
              </w:rPr>
              <w:t>classifiable</w:t>
            </w:r>
            <w:r>
              <w:rPr>
                <w:rStyle w:val="checkbox"/>
                <w:rFonts w:ascii="Arial" w:hAnsi="Arial" w:cs="Arial"/>
              </w:rPr>
              <w:t xml:space="preserve"> as carcinogenic</w:t>
            </w:r>
            <w:r w:rsidRPr="004C11EF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in</w:t>
            </w:r>
            <w:r w:rsidRPr="004C11EF">
              <w:rPr>
                <w:rStyle w:val="checkbox"/>
                <w:rFonts w:ascii="Arial" w:hAnsi="Arial" w:cs="Arial"/>
              </w:rPr>
              <w:t xml:space="preserve"> humans based on inadequate evidence in experimental animals and humans.</w:t>
            </w:r>
          </w:p>
        </w:tc>
      </w:tr>
    </w:tbl>
    <w:bookmarkEnd w:id="2"/>
    <w:p w14:paraId="53F0EA7E" w14:textId="77777777" w:rsidR="007E2A4B" w:rsidRDefault="007E2A4B" w:rsidP="00F85562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8"/>
        <w:gridCol w:w="2418"/>
      </w:tblGrid>
      <w:tr w:rsidR="003560B1" w14:paraId="6DAA8664" w14:textId="77777777" w:rsidTr="003560B1">
        <w:trPr>
          <w:trHeight w:val="454"/>
          <w:tblHeader/>
        </w:trPr>
        <w:tc>
          <w:tcPr>
            <w:tcW w:w="6608" w:type="dxa"/>
            <w:vAlign w:val="center"/>
          </w:tcPr>
          <w:p w14:paraId="171CE887" w14:textId="77777777" w:rsidR="003560B1" w:rsidRDefault="003560B1" w:rsidP="00F85562">
            <w:pPr>
              <w:pStyle w:val="Tablefont"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-341158428"/>
            <w:placeholder>
              <w:docPart w:val="128A35704029409FB8419E8B9A59E5A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8" w:type="dxa"/>
                <w:vAlign w:val="center"/>
              </w:tcPr>
              <w:p w14:paraId="4B1131A6" w14:textId="36FDE25A" w:rsidR="003560B1" w:rsidRDefault="004C11EF" w:rsidP="00F85562">
                <w:pPr>
                  <w:pStyle w:val="Tablefont"/>
                  <w:keepLines/>
                  <w:spacing w:before="40" w:after="40"/>
                </w:pPr>
                <w:r>
                  <w:rPr>
                    <w:lang w:val="en-US"/>
                  </w:rPr>
                  <w:t>Yes</w:t>
                </w:r>
              </w:p>
            </w:tc>
          </w:sdtContent>
        </w:sdt>
      </w:tr>
      <w:tr w:rsidR="003560B1" w14:paraId="329AA54C" w14:textId="77777777" w:rsidTr="003560B1">
        <w:trPr>
          <w:trHeight w:val="454"/>
        </w:trPr>
        <w:tc>
          <w:tcPr>
            <w:tcW w:w="6608" w:type="dxa"/>
            <w:vAlign w:val="center"/>
          </w:tcPr>
          <w:p w14:paraId="41F2A968" w14:textId="77777777" w:rsidR="003560B1" w:rsidRDefault="003560B1" w:rsidP="00F85562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1670214479"/>
            <w:placeholder>
              <w:docPart w:val="3E3580B1A6654276988B8AA6DBF91A7D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8" w:type="dxa"/>
                <w:vAlign w:val="center"/>
              </w:tcPr>
              <w:p w14:paraId="1559D705" w14:textId="6AEC60B0" w:rsidR="003560B1" w:rsidRDefault="004C11EF" w:rsidP="00F85562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AF4666" w14:paraId="52B1C950" w14:textId="77777777" w:rsidTr="0039748D">
        <w:trPr>
          <w:trHeight w:val="454"/>
        </w:trPr>
        <w:sdt>
          <w:sdtPr>
            <w:rPr>
              <w:b/>
            </w:rPr>
            <w:id w:val="-149450722"/>
            <w:placeholder>
              <w:docPart w:val="A3E15288036641CBBC702551E5FA47C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BA1A133" w14:textId="6EA81D1E" w:rsidR="00AF4666" w:rsidRDefault="00221074" w:rsidP="00F85562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</w:tr>
      <w:tr w:rsidR="003560B1" w14:paraId="7B614CFC" w14:textId="77777777" w:rsidTr="003560B1">
        <w:trPr>
          <w:trHeight w:val="454"/>
        </w:trPr>
        <w:tc>
          <w:tcPr>
            <w:tcW w:w="6608" w:type="dxa"/>
            <w:vAlign w:val="center"/>
          </w:tcPr>
          <w:p w14:paraId="0984ED37" w14:textId="77777777" w:rsidR="003560B1" w:rsidRDefault="003560B1" w:rsidP="00F85562">
            <w:pPr>
              <w:pStyle w:val="Tablefont"/>
              <w:keepLines/>
              <w:spacing w:before="40" w:after="40"/>
            </w:pPr>
            <w:r w:rsidRPr="008A36CF">
              <w:t xml:space="preserve">Is a cancer slope factor or </w:t>
            </w:r>
            <w:proofErr w:type="gramStart"/>
            <w:r w:rsidRPr="008A36CF">
              <w:t>inhalation unit risk value</w:t>
            </w:r>
            <w:proofErr w:type="gramEnd"/>
            <w:r w:rsidRPr="008A36CF">
              <w:t xml:space="preserve"> available?</w:t>
            </w:r>
          </w:p>
        </w:tc>
        <w:sdt>
          <w:sdtPr>
            <w:id w:val="1304347970"/>
            <w:placeholder>
              <w:docPart w:val="26C5B31AAC4F4E2A80CAD28349E33737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8" w:type="dxa"/>
                <w:vAlign w:val="center"/>
              </w:tcPr>
              <w:p w14:paraId="4B8D00B7" w14:textId="6554B5A8" w:rsidR="003560B1" w:rsidRDefault="004C11EF" w:rsidP="00F85562">
                <w:pPr>
                  <w:pStyle w:val="Tablefont"/>
                  <w:keepLines/>
                  <w:spacing w:before="40" w:after="40"/>
                </w:pPr>
                <w:r>
                  <w:rPr>
                    <w:lang w:val="en-US"/>
                  </w:rPr>
                  <w:t>No</w:t>
                </w:r>
              </w:p>
            </w:tc>
          </w:sdtContent>
        </w:sdt>
      </w:tr>
      <w:tr w:rsidR="003560B1" w14:paraId="4F73FF26" w14:textId="77777777" w:rsidTr="003560B1">
        <w:trPr>
          <w:trHeight w:val="454"/>
        </w:trPr>
        <w:tc>
          <w:tcPr>
            <w:tcW w:w="6608" w:type="dxa"/>
            <w:vAlign w:val="center"/>
          </w:tcPr>
          <w:p w14:paraId="5D7AFF86" w14:textId="77777777" w:rsidR="003560B1" w:rsidRDefault="003560B1" w:rsidP="00F85562">
            <w:pPr>
              <w:pStyle w:val="Tablefont"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18" w:type="dxa"/>
            <w:vAlign w:val="center"/>
          </w:tcPr>
          <w:p w14:paraId="52A99989" w14:textId="3E6C4CC3" w:rsidR="003560B1" w:rsidRDefault="004C11EF" w:rsidP="00F85562">
            <w:pPr>
              <w:pStyle w:val="Tablefont"/>
              <w:keepLines/>
              <w:spacing w:before="40" w:after="40"/>
            </w:pPr>
            <w:r>
              <w:t>NA</w:t>
            </w:r>
          </w:p>
        </w:tc>
      </w:tr>
    </w:tbl>
    <w:p w14:paraId="5D8EE78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6DEEF7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E54289D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A6E65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7EDF308" w14:textId="77777777" w:rsidTr="00812887">
        <w:trPr>
          <w:cantSplit/>
        </w:trPr>
        <w:tc>
          <w:tcPr>
            <w:tcW w:w="3227" w:type="dxa"/>
          </w:tcPr>
          <w:p w14:paraId="4194B47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0DC2116" w14:textId="77777777" w:rsidR="00687890" w:rsidRPr="00DD2F9B" w:rsidRDefault="00267DA0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2</w:t>
            </w:r>
          </w:p>
        </w:tc>
      </w:tr>
      <w:tr w:rsidR="007925F0" w:rsidRPr="004C23F4" w14:paraId="5422AC8B" w14:textId="77777777" w:rsidTr="00812887">
        <w:trPr>
          <w:cantSplit/>
        </w:trPr>
        <w:tc>
          <w:tcPr>
            <w:tcW w:w="3227" w:type="dxa"/>
          </w:tcPr>
          <w:p w14:paraId="1E91299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1F44C5F" w14:textId="77777777" w:rsidR="007925F0" w:rsidRPr="00DD2F9B" w:rsidRDefault="00823046" w:rsidP="00DD2F9B">
            <w:pPr>
              <w:pStyle w:val="Tablefont"/>
            </w:pPr>
            <w:r>
              <w:t xml:space="preserve">Carcinogenicity – category </w:t>
            </w:r>
            <w:r w:rsidR="00077F82">
              <w:t>2</w:t>
            </w:r>
            <w:r w:rsidR="0002711E">
              <w:t xml:space="preserve"> </w:t>
            </w:r>
          </w:p>
        </w:tc>
      </w:tr>
      <w:tr w:rsidR="00AF483F" w:rsidRPr="004C23F4" w14:paraId="57A18AB2" w14:textId="77777777" w:rsidTr="00812887">
        <w:trPr>
          <w:cantSplit/>
        </w:trPr>
        <w:tc>
          <w:tcPr>
            <w:tcW w:w="3227" w:type="dxa"/>
          </w:tcPr>
          <w:p w14:paraId="5142325A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73928913" w14:textId="77777777" w:rsidR="00AF483F" w:rsidRPr="00DD2F9B" w:rsidRDefault="00267DA0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Cat. 3</w:t>
            </w:r>
          </w:p>
        </w:tc>
      </w:tr>
      <w:tr w:rsidR="00687890" w:rsidRPr="004C23F4" w14:paraId="0DE645C4" w14:textId="77777777" w:rsidTr="00812887">
        <w:trPr>
          <w:cantSplit/>
        </w:trPr>
        <w:tc>
          <w:tcPr>
            <w:tcW w:w="3227" w:type="dxa"/>
          </w:tcPr>
          <w:p w14:paraId="6B52C4F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15B7D64" w14:textId="364A6072" w:rsidR="00687890" w:rsidRPr="00DD2F9B" w:rsidRDefault="0049795A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33B2A149" w14:textId="77777777" w:rsidTr="00812887">
        <w:trPr>
          <w:cantSplit/>
        </w:trPr>
        <w:tc>
          <w:tcPr>
            <w:tcW w:w="3227" w:type="dxa"/>
          </w:tcPr>
          <w:p w14:paraId="560F1AE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884B04" w14:textId="77777777" w:rsidR="00E41A26" w:rsidRPr="00DD2F9B" w:rsidRDefault="00595B7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1B3109" w14:textId="77777777" w:rsidTr="00812887">
        <w:trPr>
          <w:cantSplit/>
        </w:trPr>
        <w:tc>
          <w:tcPr>
            <w:tcW w:w="3227" w:type="dxa"/>
          </w:tcPr>
          <w:p w14:paraId="66E2364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F490395" w14:textId="77777777" w:rsidR="002E0D61" w:rsidRPr="00DD2F9B" w:rsidRDefault="00656D2C" w:rsidP="00DD2F9B">
            <w:pPr>
              <w:pStyle w:val="Tablefont"/>
            </w:pPr>
            <w:r>
              <w:t>Carcinogenicity – A3; Skin</w:t>
            </w:r>
          </w:p>
        </w:tc>
      </w:tr>
      <w:tr w:rsidR="002E0D61" w:rsidRPr="004C23F4" w14:paraId="2AB3FE82" w14:textId="77777777" w:rsidTr="00812887">
        <w:trPr>
          <w:cantSplit/>
        </w:trPr>
        <w:tc>
          <w:tcPr>
            <w:tcW w:w="3227" w:type="dxa"/>
          </w:tcPr>
          <w:p w14:paraId="5135122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C06C4AC" w14:textId="77777777" w:rsidR="002E0D61" w:rsidRPr="00DD2F9B" w:rsidRDefault="00656D2C" w:rsidP="00DD2F9B">
            <w:pPr>
              <w:pStyle w:val="Tablefont"/>
            </w:pPr>
            <w:r>
              <w:t>Carcinogenicity – 3B; H (skin)</w:t>
            </w:r>
          </w:p>
        </w:tc>
      </w:tr>
      <w:tr w:rsidR="002E0D61" w:rsidRPr="004C23F4" w14:paraId="2B5B6F29" w14:textId="77777777" w:rsidTr="00812887">
        <w:trPr>
          <w:cantSplit/>
        </w:trPr>
        <w:tc>
          <w:tcPr>
            <w:tcW w:w="3227" w:type="dxa"/>
          </w:tcPr>
          <w:p w14:paraId="56379D2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E95293A" w14:textId="77777777" w:rsidR="002E0D61" w:rsidRPr="00DD2F9B" w:rsidRDefault="00595B7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6745133" w14:textId="77777777" w:rsidTr="00812887">
        <w:trPr>
          <w:cantSplit/>
        </w:trPr>
        <w:tc>
          <w:tcPr>
            <w:tcW w:w="3227" w:type="dxa"/>
          </w:tcPr>
          <w:p w14:paraId="6DC4509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554CE9" w14:textId="77777777" w:rsidR="002E0D61" w:rsidRPr="00DD2F9B" w:rsidRDefault="00595B7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73814A9" w14:textId="77777777" w:rsidTr="00812887">
        <w:trPr>
          <w:cantSplit/>
        </w:trPr>
        <w:tc>
          <w:tcPr>
            <w:tcW w:w="3227" w:type="dxa"/>
          </w:tcPr>
          <w:p w14:paraId="575BE11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AD77889" w14:textId="77777777" w:rsidR="00386093" w:rsidRPr="00DD2F9B" w:rsidRDefault="00595B74" w:rsidP="00DD2F9B">
            <w:pPr>
              <w:pStyle w:val="Tablefont"/>
            </w:pPr>
            <w:r w:rsidRPr="00077F82">
              <w:t>Carcinogenicity – Group 3</w:t>
            </w:r>
          </w:p>
        </w:tc>
      </w:tr>
      <w:tr w:rsidR="00386093" w:rsidRPr="004C23F4" w14:paraId="577814FF" w14:textId="77777777" w:rsidTr="00812887">
        <w:trPr>
          <w:cantSplit/>
        </w:trPr>
        <w:tc>
          <w:tcPr>
            <w:tcW w:w="3227" w:type="dxa"/>
          </w:tcPr>
          <w:p w14:paraId="7D7D58A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CBF06E3" w14:textId="77777777" w:rsidR="00386093" w:rsidRPr="00DD2F9B" w:rsidRDefault="00595B7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34CA4F0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045C76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7EB532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000C0A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4290EA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4"/>
              <w:gridCol w:w="1129"/>
              <w:gridCol w:w="1129"/>
              <w:gridCol w:w="1364"/>
              <w:gridCol w:w="1364"/>
            </w:tblGrid>
            <w:tr w:rsidR="00595B74" w:rsidRPr="00595B74" w14:paraId="076F05D3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E2F25C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278ADC8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F9CF6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2551E5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C3B7CC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95B74" w:rsidRPr="00595B74" w14:paraId="7F578884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F14BE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B937E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613C7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18C51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0BCCA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95B74" w:rsidRPr="00595B74" w14:paraId="466A2493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D28D0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B38CF3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333ADE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662267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429565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95B74" w:rsidRPr="00595B74" w14:paraId="30C14953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09EFEB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460661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F8265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EA1748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C2702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95B74" w:rsidRPr="00595B74" w14:paraId="48D53AEC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26C794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C324C0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65A521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7CC97D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4AACD5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95B74" w:rsidRPr="00595B74" w14:paraId="2CECD9BE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425DE1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85B08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8F0AA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E56A6C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3081B5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95B74" w:rsidRPr="00595B74" w14:paraId="364D39CB" w14:textId="77777777" w:rsidTr="00583F20">
              <w:trPr>
                <w:trHeight w:val="347"/>
              </w:trPr>
              <w:tc>
                <w:tcPr>
                  <w:tcW w:w="2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6A1176" w14:textId="77777777" w:rsidR="00595B74" w:rsidRPr="00595B74" w:rsidRDefault="00595B74" w:rsidP="00595B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2CA1A1" w14:textId="77777777" w:rsidR="00595B74" w:rsidRPr="00595B74" w:rsidRDefault="00595B74" w:rsidP="00595B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15516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9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69FE4B" w14:textId="77777777" w:rsidR="00595B74" w:rsidRPr="00595B74" w:rsidRDefault="00595B74" w:rsidP="00595B7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5B7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BAF039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0623AD8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64376A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1C4E8D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A263171" w14:textId="26D3599F" w:rsidR="00EB3D1B" w:rsidRDefault="004C11EF" w:rsidP="00EB3D1B">
                <w:pPr>
                  <w:pStyle w:val="Tablefont"/>
                </w:pPr>
                <w:r>
                  <w:rPr>
                    <w:lang w:val="en-US"/>
                  </w:rPr>
                  <w:t>No, the chemical is a genotoxic carcinogen</w:t>
                </w:r>
              </w:p>
            </w:tc>
          </w:sdtContent>
        </w:sdt>
      </w:tr>
    </w:tbl>
    <w:p w14:paraId="252B736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15198F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F8147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E36A480" w14:textId="77777777" w:rsidR="001B79E5" w:rsidRDefault="000C77DF" w:rsidP="001B79E5">
                <w:pPr>
                  <w:pStyle w:val="Tablefont"/>
                </w:pPr>
                <w:r>
                  <w:t>7</w:t>
                </w:r>
                <w:r w:rsidR="002D222A">
                  <w:t>6.52</w:t>
                </w:r>
              </w:p>
            </w:tc>
          </w:sdtContent>
        </w:sdt>
      </w:tr>
      <w:tr w:rsidR="00A31D99" w:rsidRPr="004C23F4" w14:paraId="2A37080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662D1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04DCEB2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D000D2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3C810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82E22F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350EAF" w14:textId="77777777" w:rsidTr="00EA6243">
        <w:trPr>
          <w:cantSplit/>
        </w:trPr>
        <w:tc>
          <w:tcPr>
            <w:tcW w:w="4077" w:type="dxa"/>
            <w:vAlign w:val="center"/>
          </w:tcPr>
          <w:p w14:paraId="0605B6E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46DA6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4F83E15" w14:textId="77777777" w:rsidTr="00EA6243">
        <w:trPr>
          <w:cantSplit/>
        </w:trPr>
        <w:tc>
          <w:tcPr>
            <w:tcW w:w="4077" w:type="dxa"/>
            <w:vAlign w:val="center"/>
          </w:tcPr>
          <w:p w14:paraId="0781400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82B22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30811E2" w14:textId="77777777" w:rsidTr="00EA6243">
        <w:trPr>
          <w:cantSplit/>
        </w:trPr>
        <w:tc>
          <w:tcPr>
            <w:tcW w:w="4077" w:type="dxa"/>
            <w:vAlign w:val="center"/>
          </w:tcPr>
          <w:p w14:paraId="627277E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C6ED5AC" w14:textId="77777777" w:rsidR="00E06F40" w:rsidRPr="00A006A0" w:rsidRDefault="008217E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7A2E23F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71FB50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ECE47E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A8570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3092E3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66FE52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DB77B7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23F02F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8AA30D1" w14:textId="268FF4CE" w:rsidR="00602999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9C9753D" w14:textId="77777777" w:rsidR="00656D2C" w:rsidRDefault="00656D2C" w:rsidP="00084859">
      <w:r w:rsidRPr="00656D2C">
        <w:t xml:space="preserve">Deutsche </w:t>
      </w:r>
      <w:proofErr w:type="spellStart"/>
      <w:r w:rsidRPr="00656D2C">
        <w:t>Forschungsgemeinschaft</w:t>
      </w:r>
      <w:proofErr w:type="spellEnd"/>
      <w:r w:rsidRPr="00656D2C">
        <w:t xml:space="preserve"> (DFG) (2002) </w:t>
      </w:r>
      <w:r>
        <w:t>Allyl chloride</w:t>
      </w:r>
      <w:r w:rsidRPr="00656D2C">
        <w:t xml:space="preserve"> – MAK value documentation.</w:t>
      </w:r>
    </w:p>
    <w:p w14:paraId="50A37076" w14:textId="3C62E531" w:rsidR="002E7E70" w:rsidRDefault="002D222A" w:rsidP="00084859">
      <w:r>
        <w:t>International</w:t>
      </w:r>
      <w:r w:rsidR="002E7E70">
        <w:t xml:space="preserve"> Agency for research on Cancer (IARC) (</w:t>
      </w:r>
      <w:r>
        <w:t>1999</w:t>
      </w:r>
      <w:r w:rsidR="002E7E70">
        <w:t xml:space="preserve">) </w:t>
      </w:r>
      <w:r>
        <w:t xml:space="preserve">Allyl Chloride. IARC Monographs on the evaluation of the carcinogenic risk to humans. </w:t>
      </w:r>
    </w:p>
    <w:p w14:paraId="291E4DC3" w14:textId="6FD65D78" w:rsidR="00595B74" w:rsidRDefault="00595B74" w:rsidP="00084859">
      <w:r w:rsidRPr="00595B74">
        <w:t xml:space="preserve">National Industrial Chemicals Notification and </w:t>
      </w:r>
      <w:r>
        <w:t>Assessment Scheme (NICNAS) (2013</w:t>
      </w:r>
      <w:r w:rsidRPr="00595B74">
        <w:t xml:space="preserve">) </w:t>
      </w:r>
      <w:r>
        <w:t>Allyl chloride:</w:t>
      </w:r>
      <w:r w:rsidRPr="00595B74">
        <w:t xml:space="preserve"> Human health tier II assessment – IMAP report.</w:t>
      </w:r>
    </w:p>
    <w:p w14:paraId="72F46CEF" w14:textId="77777777" w:rsidR="0049795A" w:rsidRDefault="0049795A" w:rsidP="0049795A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DCCAF72" w14:textId="102B9180" w:rsidR="0049795A" w:rsidRPr="00351FE0" w:rsidRDefault="0049795A" w:rsidP="00084859"/>
    <w:sectPr w:rsidR="0049795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E6C301" w16cid:durableId="210186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497FD" w14:textId="77777777" w:rsidR="00DB162B" w:rsidRDefault="00DB162B" w:rsidP="00F43AD5">
      <w:pPr>
        <w:spacing w:after="0" w:line="240" w:lineRule="auto"/>
      </w:pPr>
      <w:r>
        <w:separator/>
      </w:r>
    </w:p>
  </w:endnote>
  <w:endnote w:type="continuationSeparator" w:id="0">
    <w:p w14:paraId="44C207D3" w14:textId="77777777" w:rsidR="00DB162B" w:rsidRDefault="00DB162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300D7D6" w14:textId="77777777" w:rsidR="008A36CF" w:rsidRDefault="001118D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Allyl Chloride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107-05-1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2651FC2" w14:textId="43FE90F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217E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EB8FC" w14:textId="77777777" w:rsidR="00DB162B" w:rsidRDefault="00DB162B" w:rsidP="00F43AD5">
      <w:pPr>
        <w:spacing w:after="0" w:line="240" w:lineRule="auto"/>
      </w:pPr>
      <w:r>
        <w:separator/>
      </w:r>
    </w:p>
  </w:footnote>
  <w:footnote w:type="continuationSeparator" w:id="0">
    <w:p w14:paraId="7D5DEB6C" w14:textId="77777777" w:rsidR="00DB162B" w:rsidRDefault="00DB162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B32D1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29FF71B" wp14:editId="1DD78C6B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B40E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DAEF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24F2E"/>
    <w:multiLevelType w:val="hybridMultilevel"/>
    <w:tmpl w:val="F34E8740"/>
    <w:lvl w:ilvl="0" w:tplc="D1F8AD2C"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11E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7F82"/>
    <w:rsid w:val="000803E1"/>
    <w:rsid w:val="00084174"/>
    <w:rsid w:val="00084513"/>
    <w:rsid w:val="00084859"/>
    <w:rsid w:val="00092D94"/>
    <w:rsid w:val="000A3353"/>
    <w:rsid w:val="000B0868"/>
    <w:rsid w:val="000B0C3C"/>
    <w:rsid w:val="000B3E12"/>
    <w:rsid w:val="000B3E78"/>
    <w:rsid w:val="000B7B48"/>
    <w:rsid w:val="000C096D"/>
    <w:rsid w:val="000C0DA6"/>
    <w:rsid w:val="000C139A"/>
    <w:rsid w:val="000C2053"/>
    <w:rsid w:val="000C248C"/>
    <w:rsid w:val="000C77DF"/>
    <w:rsid w:val="000D291C"/>
    <w:rsid w:val="000D4968"/>
    <w:rsid w:val="000D6617"/>
    <w:rsid w:val="000E2F6C"/>
    <w:rsid w:val="000E5A54"/>
    <w:rsid w:val="000E63D3"/>
    <w:rsid w:val="000E67CF"/>
    <w:rsid w:val="000F582B"/>
    <w:rsid w:val="0010461E"/>
    <w:rsid w:val="00106FAA"/>
    <w:rsid w:val="001118D0"/>
    <w:rsid w:val="00113443"/>
    <w:rsid w:val="001268BA"/>
    <w:rsid w:val="001269A7"/>
    <w:rsid w:val="00131092"/>
    <w:rsid w:val="00140232"/>
    <w:rsid w:val="00140E6A"/>
    <w:rsid w:val="00146545"/>
    <w:rsid w:val="00146B75"/>
    <w:rsid w:val="0015266D"/>
    <w:rsid w:val="0015288A"/>
    <w:rsid w:val="00160F47"/>
    <w:rsid w:val="00177CA1"/>
    <w:rsid w:val="001819E9"/>
    <w:rsid w:val="00183823"/>
    <w:rsid w:val="00183942"/>
    <w:rsid w:val="001A009E"/>
    <w:rsid w:val="001A1287"/>
    <w:rsid w:val="001A3859"/>
    <w:rsid w:val="001A3C9D"/>
    <w:rsid w:val="001A43F8"/>
    <w:rsid w:val="001A511D"/>
    <w:rsid w:val="001B79E5"/>
    <w:rsid w:val="001D56F0"/>
    <w:rsid w:val="001D5911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074"/>
    <w:rsid w:val="00221547"/>
    <w:rsid w:val="002216FC"/>
    <w:rsid w:val="00222533"/>
    <w:rsid w:val="00222F30"/>
    <w:rsid w:val="00224EE2"/>
    <w:rsid w:val="00227EC7"/>
    <w:rsid w:val="00244220"/>
    <w:rsid w:val="00244AD1"/>
    <w:rsid w:val="002463BC"/>
    <w:rsid w:val="002465CE"/>
    <w:rsid w:val="002529FB"/>
    <w:rsid w:val="00254208"/>
    <w:rsid w:val="0025542F"/>
    <w:rsid w:val="0025734A"/>
    <w:rsid w:val="00263255"/>
    <w:rsid w:val="00267DA0"/>
    <w:rsid w:val="0027472C"/>
    <w:rsid w:val="00276494"/>
    <w:rsid w:val="00277B0C"/>
    <w:rsid w:val="002B1A2C"/>
    <w:rsid w:val="002C34F2"/>
    <w:rsid w:val="002C49E0"/>
    <w:rsid w:val="002C58FF"/>
    <w:rsid w:val="002C7AFE"/>
    <w:rsid w:val="002D05D2"/>
    <w:rsid w:val="002D222A"/>
    <w:rsid w:val="002E0D61"/>
    <w:rsid w:val="002E4C7B"/>
    <w:rsid w:val="002E7E70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52E"/>
    <w:rsid w:val="00347192"/>
    <w:rsid w:val="0034744C"/>
    <w:rsid w:val="00351FE0"/>
    <w:rsid w:val="00352615"/>
    <w:rsid w:val="0035412B"/>
    <w:rsid w:val="003560B1"/>
    <w:rsid w:val="003567A8"/>
    <w:rsid w:val="00362895"/>
    <w:rsid w:val="00370DBF"/>
    <w:rsid w:val="00373157"/>
    <w:rsid w:val="00384042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539"/>
    <w:rsid w:val="004030BC"/>
    <w:rsid w:val="00403F7D"/>
    <w:rsid w:val="00406785"/>
    <w:rsid w:val="004079B4"/>
    <w:rsid w:val="00417A56"/>
    <w:rsid w:val="00420957"/>
    <w:rsid w:val="00422A10"/>
    <w:rsid w:val="004232F3"/>
    <w:rsid w:val="00430179"/>
    <w:rsid w:val="004414B5"/>
    <w:rsid w:val="00442596"/>
    <w:rsid w:val="00444482"/>
    <w:rsid w:val="00444B42"/>
    <w:rsid w:val="00445E44"/>
    <w:rsid w:val="004509E2"/>
    <w:rsid w:val="004515EE"/>
    <w:rsid w:val="004529F0"/>
    <w:rsid w:val="00460A03"/>
    <w:rsid w:val="00462D50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5A"/>
    <w:rsid w:val="00497984"/>
    <w:rsid w:val="004A5088"/>
    <w:rsid w:val="004C11EF"/>
    <w:rsid w:val="004C1E3F"/>
    <w:rsid w:val="004C23F4"/>
    <w:rsid w:val="004C29E7"/>
    <w:rsid w:val="004C3475"/>
    <w:rsid w:val="004C58B6"/>
    <w:rsid w:val="004D1537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3EAC"/>
    <w:rsid w:val="005272E2"/>
    <w:rsid w:val="0053108F"/>
    <w:rsid w:val="00532B56"/>
    <w:rsid w:val="00534B10"/>
    <w:rsid w:val="00542D7A"/>
    <w:rsid w:val="005446A2"/>
    <w:rsid w:val="00544D2F"/>
    <w:rsid w:val="00551BD8"/>
    <w:rsid w:val="00581055"/>
    <w:rsid w:val="00583F20"/>
    <w:rsid w:val="00591E38"/>
    <w:rsid w:val="00594E3A"/>
    <w:rsid w:val="00595042"/>
    <w:rsid w:val="00595B74"/>
    <w:rsid w:val="005A19C5"/>
    <w:rsid w:val="005A3034"/>
    <w:rsid w:val="005A3111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2999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6D2C"/>
    <w:rsid w:val="00657BFB"/>
    <w:rsid w:val="00660509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3EA"/>
    <w:rsid w:val="00695B72"/>
    <w:rsid w:val="006A2C22"/>
    <w:rsid w:val="006B160A"/>
    <w:rsid w:val="006B2FA6"/>
    <w:rsid w:val="006B4E6C"/>
    <w:rsid w:val="006B50B6"/>
    <w:rsid w:val="006D1079"/>
    <w:rsid w:val="006D79EA"/>
    <w:rsid w:val="006E5D05"/>
    <w:rsid w:val="006E7CEF"/>
    <w:rsid w:val="006F0E2D"/>
    <w:rsid w:val="006F1556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2499"/>
    <w:rsid w:val="00742EE7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0366"/>
    <w:rsid w:val="007B1B42"/>
    <w:rsid w:val="007B5B16"/>
    <w:rsid w:val="007C30EB"/>
    <w:rsid w:val="007D2392"/>
    <w:rsid w:val="007E063C"/>
    <w:rsid w:val="007E2A4B"/>
    <w:rsid w:val="007E307D"/>
    <w:rsid w:val="007E6A4E"/>
    <w:rsid w:val="007E6C94"/>
    <w:rsid w:val="007F1005"/>
    <w:rsid w:val="007F25E0"/>
    <w:rsid w:val="007F2600"/>
    <w:rsid w:val="007F5328"/>
    <w:rsid w:val="00804F5A"/>
    <w:rsid w:val="00810C6D"/>
    <w:rsid w:val="00812887"/>
    <w:rsid w:val="008217E7"/>
    <w:rsid w:val="00823046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12E0"/>
    <w:rsid w:val="008A36CF"/>
    <w:rsid w:val="008A3BC4"/>
    <w:rsid w:val="008B403C"/>
    <w:rsid w:val="008B60F3"/>
    <w:rsid w:val="008B7983"/>
    <w:rsid w:val="008C2511"/>
    <w:rsid w:val="008D026D"/>
    <w:rsid w:val="008D23AB"/>
    <w:rsid w:val="008D30D8"/>
    <w:rsid w:val="008D4B8B"/>
    <w:rsid w:val="008D5A78"/>
    <w:rsid w:val="008E7B64"/>
    <w:rsid w:val="008F20B7"/>
    <w:rsid w:val="008F5DCD"/>
    <w:rsid w:val="00900951"/>
    <w:rsid w:val="00903282"/>
    <w:rsid w:val="009118A6"/>
    <w:rsid w:val="00913291"/>
    <w:rsid w:val="00916909"/>
    <w:rsid w:val="00916EC0"/>
    <w:rsid w:val="00920467"/>
    <w:rsid w:val="00921DE7"/>
    <w:rsid w:val="009239F5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9F3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1676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4BE"/>
    <w:rsid w:val="009E355A"/>
    <w:rsid w:val="009E63E2"/>
    <w:rsid w:val="009F05CF"/>
    <w:rsid w:val="009F0F3A"/>
    <w:rsid w:val="00A01D0C"/>
    <w:rsid w:val="00A026B6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80B"/>
    <w:rsid w:val="00A532E7"/>
    <w:rsid w:val="00A53681"/>
    <w:rsid w:val="00A633D4"/>
    <w:rsid w:val="00A6461A"/>
    <w:rsid w:val="00A84504"/>
    <w:rsid w:val="00A8672F"/>
    <w:rsid w:val="00A86A7A"/>
    <w:rsid w:val="00A93057"/>
    <w:rsid w:val="00A968B0"/>
    <w:rsid w:val="00AA2802"/>
    <w:rsid w:val="00AA73D1"/>
    <w:rsid w:val="00AA7905"/>
    <w:rsid w:val="00AB2672"/>
    <w:rsid w:val="00AB2817"/>
    <w:rsid w:val="00AB43C4"/>
    <w:rsid w:val="00AC32E7"/>
    <w:rsid w:val="00AC3A9F"/>
    <w:rsid w:val="00AC6D2F"/>
    <w:rsid w:val="00AE2745"/>
    <w:rsid w:val="00AE2F64"/>
    <w:rsid w:val="00AE3E43"/>
    <w:rsid w:val="00AF1028"/>
    <w:rsid w:val="00AF42CB"/>
    <w:rsid w:val="00AF4526"/>
    <w:rsid w:val="00AF4666"/>
    <w:rsid w:val="00AF483F"/>
    <w:rsid w:val="00AF5E07"/>
    <w:rsid w:val="00AF5F06"/>
    <w:rsid w:val="00B00A25"/>
    <w:rsid w:val="00B1422A"/>
    <w:rsid w:val="00B1765C"/>
    <w:rsid w:val="00B17B9A"/>
    <w:rsid w:val="00B213C4"/>
    <w:rsid w:val="00B40C60"/>
    <w:rsid w:val="00B479A9"/>
    <w:rsid w:val="00B52EDF"/>
    <w:rsid w:val="00B66EAD"/>
    <w:rsid w:val="00B71188"/>
    <w:rsid w:val="00B728BC"/>
    <w:rsid w:val="00B76A41"/>
    <w:rsid w:val="00B87D4C"/>
    <w:rsid w:val="00B93646"/>
    <w:rsid w:val="00BA0B38"/>
    <w:rsid w:val="00BA1DBB"/>
    <w:rsid w:val="00BA4510"/>
    <w:rsid w:val="00BA529A"/>
    <w:rsid w:val="00BB5DAF"/>
    <w:rsid w:val="00BB612A"/>
    <w:rsid w:val="00BD499F"/>
    <w:rsid w:val="00BD4B7F"/>
    <w:rsid w:val="00BD56DE"/>
    <w:rsid w:val="00BD6CEB"/>
    <w:rsid w:val="00BE606A"/>
    <w:rsid w:val="00BF2406"/>
    <w:rsid w:val="00C04B53"/>
    <w:rsid w:val="00C16315"/>
    <w:rsid w:val="00C3091E"/>
    <w:rsid w:val="00C40FF1"/>
    <w:rsid w:val="00C419E2"/>
    <w:rsid w:val="00C5020E"/>
    <w:rsid w:val="00C57452"/>
    <w:rsid w:val="00C600A4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6919"/>
    <w:rsid w:val="00CE5AD6"/>
    <w:rsid w:val="00CE617F"/>
    <w:rsid w:val="00CE78EF"/>
    <w:rsid w:val="00CF2CDE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6511"/>
    <w:rsid w:val="00D66141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7B61"/>
    <w:rsid w:val="00DB162B"/>
    <w:rsid w:val="00DB2D30"/>
    <w:rsid w:val="00DB454F"/>
    <w:rsid w:val="00DC7694"/>
    <w:rsid w:val="00DD1BF6"/>
    <w:rsid w:val="00DD2F9B"/>
    <w:rsid w:val="00DE0C63"/>
    <w:rsid w:val="00DE2513"/>
    <w:rsid w:val="00DE26E8"/>
    <w:rsid w:val="00DF6F36"/>
    <w:rsid w:val="00E0084C"/>
    <w:rsid w:val="00E025AB"/>
    <w:rsid w:val="00E02B23"/>
    <w:rsid w:val="00E02B29"/>
    <w:rsid w:val="00E06F40"/>
    <w:rsid w:val="00E07CE8"/>
    <w:rsid w:val="00E220E1"/>
    <w:rsid w:val="00E26A07"/>
    <w:rsid w:val="00E32595"/>
    <w:rsid w:val="00E37CFD"/>
    <w:rsid w:val="00E41A26"/>
    <w:rsid w:val="00E46BCB"/>
    <w:rsid w:val="00E46E20"/>
    <w:rsid w:val="00E51CAF"/>
    <w:rsid w:val="00E53620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2BDE"/>
    <w:rsid w:val="00F43AD5"/>
    <w:rsid w:val="00F4402E"/>
    <w:rsid w:val="00F56DD0"/>
    <w:rsid w:val="00F6491C"/>
    <w:rsid w:val="00F67BBB"/>
    <w:rsid w:val="00F85562"/>
    <w:rsid w:val="00F87071"/>
    <w:rsid w:val="00F87D92"/>
    <w:rsid w:val="00F90AA7"/>
    <w:rsid w:val="00F92498"/>
    <w:rsid w:val="00F9496B"/>
    <w:rsid w:val="00F970C9"/>
    <w:rsid w:val="00FA06A8"/>
    <w:rsid w:val="00FA29EE"/>
    <w:rsid w:val="00FA3DF5"/>
    <w:rsid w:val="00FA741F"/>
    <w:rsid w:val="00FB4E07"/>
    <w:rsid w:val="00FB755A"/>
    <w:rsid w:val="00FC60A2"/>
    <w:rsid w:val="00FC6788"/>
    <w:rsid w:val="00FD1871"/>
    <w:rsid w:val="00FD3110"/>
    <w:rsid w:val="00FE32D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528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C0DA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5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B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B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B74"/>
    <w:rPr>
      <w:b/>
      <w:bCs/>
      <w:szCs w:val="20"/>
    </w:rPr>
  </w:style>
  <w:style w:type="paragraph" w:styleId="Revision">
    <w:name w:val="Revision"/>
    <w:hidden/>
    <w:uiPriority w:val="99"/>
    <w:semiHidden/>
    <w:rsid w:val="00E02B2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560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A6B73A3A7D84464ADB0C69494370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DCFAF-0317-4D63-B919-02C391DD9C6F}"/>
      </w:docPartPr>
      <w:docPartBody>
        <w:p w:rsidR="00F54392" w:rsidRDefault="0051088D" w:rsidP="0051088D">
          <w:pPr>
            <w:pStyle w:val="1A6B73A3A7D84464ADB0C6949437013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7A7D9221DEE4B08A29EC34701887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D9747-F784-4C20-A0BE-BABA7ECA7AD2}"/>
      </w:docPartPr>
      <w:docPartBody>
        <w:p w:rsidR="00F54392" w:rsidRDefault="0051088D" w:rsidP="0051088D">
          <w:pPr>
            <w:pStyle w:val="37A7D9221DEE4B08A29EC34701887D3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28A35704029409FB8419E8B9A59E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D35AC-1CE8-4B7D-8964-ADE86C9DCB3F}"/>
      </w:docPartPr>
      <w:docPartBody>
        <w:p w:rsidR="005A6520" w:rsidRDefault="005A6520" w:rsidP="005A6520">
          <w:pPr>
            <w:pStyle w:val="128A35704029409FB8419E8B9A59E5A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3E3580B1A6654276988B8AA6DBF91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863F9-23F6-48A3-845E-774485835706}"/>
      </w:docPartPr>
      <w:docPartBody>
        <w:p w:rsidR="005A6520" w:rsidRDefault="005A6520" w:rsidP="005A6520">
          <w:pPr>
            <w:pStyle w:val="3E3580B1A6654276988B8AA6DBF91A7D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26C5B31AAC4F4E2A80CAD28349E33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7D41E-83C7-4F5C-8718-C61F45AD0472}"/>
      </w:docPartPr>
      <w:docPartBody>
        <w:p w:rsidR="005A6520" w:rsidRDefault="005A6520" w:rsidP="005A6520">
          <w:pPr>
            <w:pStyle w:val="26C5B31AAC4F4E2A80CAD28349E33737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0C30002D91546FCAFA7B5F7C8A31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0F1EE-D8FF-4C11-8E06-E75DC6588085}"/>
      </w:docPartPr>
      <w:docPartBody>
        <w:p w:rsidR="000666BE" w:rsidRDefault="000666BE">
          <w:pPr>
            <w:pStyle w:val="F0C30002D91546FCAFA7B5F7C8A31983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3E15288036641CBBC702551E5FA4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2EBD5-E862-4F17-B30C-DE11A757644B}"/>
      </w:docPartPr>
      <w:docPartBody>
        <w:p w:rsidR="00A440B1" w:rsidRDefault="00166FF0" w:rsidP="00166FF0">
          <w:pPr>
            <w:pStyle w:val="A3E15288036641CBBC702551E5FA47C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666BE"/>
    <w:rsid w:val="00166FF0"/>
    <w:rsid w:val="00224548"/>
    <w:rsid w:val="002C3681"/>
    <w:rsid w:val="00365D8E"/>
    <w:rsid w:val="003D6A4B"/>
    <w:rsid w:val="003F7650"/>
    <w:rsid w:val="0040425A"/>
    <w:rsid w:val="004534FE"/>
    <w:rsid w:val="0051088D"/>
    <w:rsid w:val="005A6520"/>
    <w:rsid w:val="00A440B1"/>
    <w:rsid w:val="00D21A9F"/>
    <w:rsid w:val="00D77C60"/>
    <w:rsid w:val="00DA6FA9"/>
    <w:rsid w:val="00E153D8"/>
    <w:rsid w:val="00E32C0F"/>
    <w:rsid w:val="00F5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6FF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A6B73A3A7D84464ADB0C6949437013E">
    <w:name w:val="1A6B73A3A7D84464ADB0C6949437013E"/>
    <w:rsid w:val="0051088D"/>
  </w:style>
  <w:style w:type="paragraph" w:customStyle="1" w:styleId="37A7D9221DEE4B08A29EC34701887D3F">
    <w:name w:val="37A7D9221DEE4B08A29EC34701887D3F"/>
    <w:rsid w:val="0051088D"/>
  </w:style>
  <w:style w:type="paragraph" w:customStyle="1" w:styleId="4F0830B00C9B48EF8B78DDD574208C9C">
    <w:name w:val="4F0830B00C9B48EF8B78DDD574208C9C"/>
    <w:rsid w:val="00F54392"/>
  </w:style>
  <w:style w:type="paragraph" w:customStyle="1" w:styleId="90275B8332C246E19F9729D56AEEB034">
    <w:name w:val="90275B8332C246E19F9729D56AEEB034"/>
    <w:rsid w:val="00F54392"/>
  </w:style>
  <w:style w:type="paragraph" w:customStyle="1" w:styleId="72709B1AEC5847E4B97FE11B8577CB03">
    <w:name w:val="72709B1AEC5847E4B97FE11B8577CB03"/>
    <w:rsid w:val="00F54392"/>
  </w:style>
  <w:style w:type="paragraph" w:customStyle="1" w:styleId="128A35704029409FB8419E8B9A59E5A8">
    <w:name w:val="128A35704029409FB8419E8B9A59E5A8"/>
    <w:rsid w:val="005A6520"/>
  </w:style>
  <w:style w:type="paragraph" w:customStyle="1" w:styleId="3E3580B1A6654276988B8AA6DBF91A7D">
    <w:name w:val="3E3580B1A6654276988B8AA6DBF91A7D"/>
    <w:rsid w:val="005A6520"/>
  </w:style>
  <w:style w:type="paragraph" w:customStyle="1" w:styleId="144830A220504E7D8E16C5685FAB7B79">
    <w:name w:val="144830A220504E7D8E16C5685FAB7B79"/>
    <w:rsid w:val="005A6520"/>
  </w:style>
  <w:style w:type="paragraph" w:customStyle="1" w:styleId="26C5B31AAC4F4E2A80CAD28349E33737">
    <w:name w:val="26C5B31AAC4F4E2A80CAD28349E33737"/>
    <w:rsid w:val="005A6520"/>
  </w:style>
  <w:style w:type="paragraph" w:customStyle="1" w:styleId="9CB6A9362BDA449ABD344526A93677AE">
    <w:name w:val="9CB6A9362BDA449ABD344526A93677AE"/>
    <w:rsid w:val="005A6520"/>
  </w:style>
  <w:style w:type="paragraph" w:customStyle="1" w:styleId="EB8316A31123474BBE531C90327D189B">
    <w:name w:val="EB8316A31123474BBE531C90327D189B"/>
    <w:rsid w:val="005A6520"/>
  </w:style>
  <w:style w:type="paragraph" w:customStyle="1" w:styleId="0661C6813BA84245B89CED6BCCC9EBF5">
    <w:name w:val="0661C6813BA84245B89CED6BCCC9EBF5"/>
    <w:rsid w:val="005A6520"/>
  </w:style>
  <w:style w:type="paragraph" w:customStyle="1" w:styleId="E3A3429F80D540CC841D9135CF3562C2">
    <w:name w:val="E3A3429F80D540CC841D9135CF3562C2"/>
    <w:rsid w:val="005A6520"/>
  </w:style>
  <w:style w:type="paragraph" w:customStyle="1" w:styleId="EC9C764771964494B9CF143816154013">
    <w:name w:val="EC9C764771964494B9CF143816154013"/>
    <w:rsid w:val="005A6520"/>
  </w:style>
  <w:style w:type="paragraph" w:customStyle="1" w:styleId="681C6F4C196D446687D6B65F09756DED">
    <w:name w:val="681C6F4C196D446687D6B65F09756DED"/>
    <w:rsid w:val="005A6520"/>
  </w:style>
  <w:style w:type="paragraph" w:customStyle="1" w:styleId="0BEFBB1E7ED94613AB2CFE91EE17B390">
    <w:name w:val="0BEFBB1E7ED94613AB2CFE91EE17B390"/>
    <w:rsid w:val="005A6520"/>
  </w:style>
  <w:style w:type="paragraph" w:customStyle="1" w:styleId="3FBE88A4D2DE478A89124CFCB8E15AC2">
    <w:name w:val="3FBE88A4D2DE478A89124CFCB8E15AC2"/>
    <w:rsid w:val="005A6520"/>
  </w:style>
  <w:style w:type="paragraph" w:customStyle="1" w:styleId="A63148823A794F9E8C33F5663652F258">
    <w:name w:val="A63148823A794F9E8C33F5663652F258"/>
    <w:rsid w:val="005A6520"/>
  </w:style>
  <w:style w:type="paragraph" w:customStyle="1" w:styleId="A3D3E38E495C46A8A4191E272BF80321">
    <w:name w:val="A3D3E38E495C46A8A4191E272BF80321"/>
    <w:rsid w:val="005A6520"/>
  </w:style>
  <w:style w:type="paragraph" w:customStyle="1" w:styleId="F0C30002D91546FCAFA7B5F7C8A31983">
    <w:name w:val="F0C30002D91546FCAFA7B5F7C8A31983"/>
  </w:style>
  <w:style w:type="paragraph" w:customStyle="1" w:styleId="A3E15288036641CBBC702551E5FA47C2">
    <w:name w:val="A3E15288036641CBBC702551E5FA47C2"/>
    <w:rsid w:val="00166F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5460-13A9-451F-84E7-CBC7BEEBA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67B83-9A31-4B7C-8098-3EA3AAAAAE12}"/>
</file>

<file path=customXml/itemProps3.xml><?xml version="1.0" encoding="utf-8"?>
<ds:datastoreItem xmlns:ds="http://schemas.openxmlformats.org/officeDocument/2006/customXml" ds:itemID="{9452EBEF-DB8B-42FD-96FF-D8DA518BB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B514C6-732F-4971-8D28-189ACF08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B72547AE.dotm</Template>
  <TotalTime>0</TotalTime>
  <Pages>6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2019-08-16T11:56:00Z</dcterms:created>
  <dcterms:modified xsi:type="dcterms:W3CDTF">2019-08-19T06:15:00Z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