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AA33" w14:textId="28B1E064" w:rsidR="00FB5F0A" w:rsidRDefault="00A26D70" w:rsidP="00013FCA">
      <w:pPr>
        <w:pStyle w:val="Title"/>
        <w:ind w:right="2789"/>
      </w:pPr>
      <w:r>
        <w:t>National policy approach</w:t>
      </w:r>
      <w:r w:rsidR="00013FCA">
        <w:t xml:space="preserve"> </w:t>
      </w:r>
      <w:r>
        <w:t>to workers’ compensation</w:t>
      </w:r>
      <w:r w:rsidR="00AD1831">
        <w:t xml:space="preserve"> </w:t>
      </w:r>
      <w:r>
        <w:t>and the gig economy</w:t>
      </w:r>
    </w:p>
    <w:p w14:paraId="46D2204C" w14:textId="20EEE36E" w:rsidR="000E276E" w:rsidRDefault="000E276E" w:rsidP="000108F5">
      <w:pPr>
        <w:pStyle w:val="Subtitle"/>
      </w:pPr>
    </w:p>
    <w:p w14:paraId="7D645CE3" w14:textId="77777777" w:rsidR="00711F77" w:rsidRPr="00711F77" w:rsidRDefault="00711F77" w:rsidP="00711F77"/>
    <w:p w14:paraId="062DDF2D" w14:textId="042945A0" w:rsidR="00AD361A" w:rsidRPr="000746F6" w:rsidRDefault="00AB03F1" w:rsidP="00013FCA">
      <w:pPr>
        <w:pStyle w:val="Titledate"/>
        <w:tabs>
          <w:tab w:val="clear" w:pos="9016"/>
          <w:tab w:val="clear" w:pos="9072"/>
          <w:tab w:val="right" w:leader="dot" w:pos="6521"/>
          <w:tab w:val="right" w:leader="dot" w:pos="8222"/>
        </w:tabs>
        <w:ind w:right="3072"/>
      </w:pPr>
      <w:r>
        <w:t>OCTOBER 2025</w:t>
      </w:r>
    </w:p>
    <w:p w14:paraId="57851850" w14:textId="77777777" w:rsidR="000E276E" w:rsidRDefault="000E276E" w:rsidP="00E36081">
      <w:pPr>
        <w:sectPr w:rsidR="000E276E" w:rsidSect="008F3F28">
          <w:footerReference w:type="default" r:id="rId8"/>
          <w:headerReference w:type="first" r:id="rId9"/>
          <w:footerReference w:type="first" r:id="rId10"/>
          <w:pgSz w:w="11906" w:h="16838" w:code="9"/>
          <w:pgMar w:top="1440" w:right="1440" w:bottom="567" w:left="1440" w:header="709" w:footer="709" w:gutter="0"/>
          <w:cols w:space="708"/>
          <w:vAlign w:val="center"/>
          <w:titlePg/>
          <w:docGrid w:linePitch="360"/>
        </w:sectPr>
      </w:pPr>
    </w:p>
    <w:p w14:paraId="67E5C8E8" w14:textId="77777777" w:rsidR="00E1134C" w:rsidRPr="007D5BA8" w:rsidRDefault="00E1134C" w:rsidP="00E1134C">
      <w:pPr>
        <w:pStyle w:val="Disclaimer"/>
        <w:rPr>
          <w:b/>
        </w:rPr>
      </w:pPr>
      <w:bookmarkStart w:id="1" w:name="_Hlk157615336"/>
      <w:r w:rsidRPr="007D5BA8">
        <w:rPr>
          <w:b/>
        </w:rPr>
        <w:lastRenderedPageBreak/>
        <w:t>Disclaimer</w:t>
      </w:r>
    </w:p>
    <w:p w14:paraId="75594D76" w14:textId="77777777" w:rsidR="00E1134C" w:rsidRPr="00A034C4" w:rsidRDefault="00E1134C" w:rsidP="00E1134C">
      <w:pPr>
        <w:pStyle w:val="Disclaimer"/>
        <w:rPr>
          <w:b/>
          <w:lang w:eastAsia="en-AU"/>
        </w:rPr>
      </w:pPr>
      <w:r w:rsidRPr="00A034C4">
        <w:rPr>
          <w:lang w:eastAsia="en-AU"/>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7DFD9842" w14:textId="77777777" w:rsidR="00E1134C" w:rsidRPr="00A034C4" w:rsidRDefault="00E1134C" w:rsidP="00E1134C">
      <w:pPr>
        <w:pStyle w:val="Disclaimer"/>
        <w:rPr>
          <w:b/>
          <w:lang w:eastAsia="en-AU"/>
        </w:rPr>
      </w:pPr>
      <w:r w:rsidRPr="00A034C4">
        <w:rPr>
          <w:lang w:eastAsia="en-AU"/>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w:t>
      </w:r>
      <w:r>
        <w:rPr>
          <w:lang w:eastAsia="en-AU"/>
        </w:rPr>
        <w:t>ction.</w:t>
      </w:r>
    </w:p>
    <w:p w14:paraId="04C70781" w14:textId="77777777" w:rsidR="00E1134C" w:rsidRPr="00CD675A" w:rsidRDefault="00E1134C" w:rsidP="00E1134C">
      <w:pPr>
        <w:pStyle w:val="SWADisclaimerheading"/>
        <w:rPr>
          <w:color w:val="auto"/>
          <w:sz w:val="16"/>
          <w:szCs w:val="16"/>
        </w:rPr>
      </w:pPr>
      <w:r w:rsidRPr="00CD675A">
        <w:rPr>
          <w:color w:val="auto"/>
          <w:sz w:val="16"/>
          <w:szCs w:val="16"/>
        </w:rPr>
        <w:t>Creative Commons</w:t>
      </w:r>
    </w:p>
    <w:p w14:paraId="62778626" w14:textId="77777777" w:rsidR="00E1134C" w:rsidRPr="00CD675A" w:rsidRDefault="00E1134C" w:rsidP="00E1134C">
      <w:pPr>
        <w:pStyle w:val="SWADisclaimerheading"/>
        <w:rPr>
          <w:b w:val="0"/>
          <w:color w:val="auto"/>
          <w:spacing w:val="0"/>
          <w:sz w:val="16"/>
          <w:szCs w:val="16"/>
          <w:lang w:eastAsia="en-AU"/>
        </w:rPr>
      </w:pPr>
      <w:r w:rsidRPr="00CD675A">
        <w:rPr>
          <w:b w:val="0"/>
          <w:bCs/>
          <w:color w:val="auto"/>
          <w:spacing w:val="0"/>
          <w:sz w:val="16"/>
          <w:szCs w:val="16"/>
        </w:rPr>
        <w:t>With the exception of the Safe Work Australia logo, this copyright work is licensed under a Creative Commons Attribution 4.0 International licence. To view a copy of this licence, visit creativecommons.org/licenses In essence, you are free to copy, communicate and adapt the work, even commercially, as long as you attribute the work to Safe Work Australia and abide by the other licence terms.</w:t>
      </w:r>
    </w:p>
    <w:p w14:paraId="1E62590B" w14:textId="77777777" w:rsidR="00E1134C" w:rsidRPr="0029654A" w:rsidRDefault="00E1134C" w:rsidP="00E1134C">
      <w:pPr>
        <w:pStyle w:val="Disclaimer"/>
        <w:rPr>
          <w:b/>
        </w:rPr>
      </w:pPr>
      <w:r w:rsidRPr="0029654A">
        <w:rPr>
          <w:b/>
        </w:rPr>
        <w:t>Contact information</w:t>
      </w:r>
    </w:p>
    <w:p w14:paraId="0E13033D" w14:textId="77777777" w:rsidR="00D4529D" w:rsidRDefault="00E1134C" w:rsidP="00E1134C">
      <w:pPr>
        <w:pStyle w:val="Disclaimer"/>
        <w:sectPr w:rsidR="00D4529D" w:rsidSect="00711F77">
          <w:headerReference w:type="first" r:id="rId11"/>
          <w:footerReference w:type="first" r:id="rId12"/>
          <w:pgSz w:w="11906" w:h="16838" w:code="9"/>
          <w:pgMar w:top="1440" w:right="1440" w:bottom="1440" w:left="1440" w:header="709" w:footer="709" w:gutter="0"/>
          <w:cols w:space="708"/>
          <w:vAlign w:val="bottom"/>
          <w:titlePg/>
          <w:docGrid w:linePitch="360"/>
        </w:sectPr>
      </w:pPr>
      <w:r w:rsidRPr="00A034C4">
        <w:rPr>
          <w:lang w:eastAsia="en-AU"/>
        </w:rPr>
        <w:t xml:space="preserve">Safe Work Australia | </w:t>
      </w:r>
      <w:hyperlink r:id="rId13" w:tooltip="Send email to info@swa.gov.au" w:history="1">
        <w:r w:rsidRPr="00A034C4">
          <w:rPr>
            <w:rStyle w:val="Hyperlink"/>
            <w:rFonts w:eastAsia="Times New Roman" w:cs="Times New Roman"/>
            <w:lang w:eastAsia="en-AU"/>
          </w:rPr>
          <w:t>mailto:info@swa.gov.au</w:t>
        </w:r>
      </w:hyperlink>
      <w:r w:rsidRPr="00A034C4">
        <w:rPr>
          <w:lang w:eastAsia="en-AU"/>
        </w:rPr>
        <w:t xml:space="preserve"> | </w:t>
      </w:r>
      <w:hyperlink r:id="rId14" w:history="1">
        <w:r w:rsidRPr="00A034C4">
          <w:rPr>
            <w:rStyle w:val="Hyperlink"/>
            <w:rFonts w:eastAsia="Times New Roman" w:cs="Times New Roman"/>
            <w:lang w:eastAsia="en-AU"/>
          </w:rPr>
          <w:t>www.swa.gov.au</w:t>
        </w:r>
      </w:hyperlink>
    </w:p>
    <w:bookmarkEnd w:id="1"/>
    <w:p w14:paraId="77AEFB29" w14:textId="43998A0D" w:rsidR="00FB5F0A" w:rsidRDefault="001C1FB2" w:rsidP="00B112FF">
      <w:pPr>
        <w:pStyle w:val="ListParagraphh1"/>
      </w:pPr>
      <w:r>
        <w:lastRenderedPageBreak/>
        <w:t>Preamble</w:t>
      </w:r>
      <w:r w:rsidR="003C3D57">
        <w:t xml:space="preserve"> </w:t>
      </w:r>
    </w:p>
    <w:p w14:paraId="52CAC80F" w14:textId="77777777" w:rsidR="003C3D57" w:rsidRPr="00B633A7" w:rsidRDefault="003C3D57" w:rsidP="003C3D57">
      <w:pPr>
        <w:pStyle w:val="ListParagraphbodycopy"/>
        <w:rPr>
          <w:rFonts w:eastAsia="Arial" w:cs="Arial"/>
          <w:color w:val="000000"/>
          <w:szCs w:val="22"/>
        </w:rPr>
      </w:pPr>
      <w:r w:rsidRPr="003C3D57">
        <w:t>Ensuring</w:t>
      </w:r>
      <w:r w:rsidRPr="00B633A7">
        <w:rPr>
          <w:rFonts w:eastAsia="Calibri" w:cs="Arial"/>
          <w:kern w:val="2"/>
          <w:szCs w:val="22"/>
          <w14:ligatures w14:val="standardContextual"/>
        </w:rPr>
        <w:t xml:space="preserve"> gig workers engaged on digital labour platforms are adequately protected in the event of a work-related injury or illness is a complex policy issue being considered by most Australian jurisdictions. Following the tragic deaths of gig workers engaged on digital labour platforms</w:t>
      </w:r>
      <w:r w:rsidRPr="00B633A7">
        <w:rPr>
          <w:rFonts w:eastAsia="Arial" w:cs="Times New Roman"/>
          <w:vertAlign w:val="superscript"/>
        </w:rPr>
        <w:footnoteReference w:id="1"/>
      </w:r>
      <w:r w:rsidRPr="00B633A7">
        <w:rPr>
          <w:rFonts w:eastAsia="Calibri" w:cs="Arial"/>
          <w:kern w:val="2"/>
          <w:szCs w:val="22"/>
          <w14:ligatures w14:val="standardContextual"/>
        </w:rPr>
        <w:t xml:space="preserve"> and the various federal and state inquiries considering approaches to this policy issue, Safe Work Australia Members agreed on 8 June 2023 to develop a national policy approach to address workers’ compensation and the gig economy. </w:t>
      </w:r>
    </w:p>
    <w:p w14:paraId="4869CC87" w14:textId="77777777" w:rsidR="003C3D57" w:rsidRPr="00B633A7" w:rsidRDefault="003C3D57" w:rsidP="003C3D57">
      <w:pPr>
        <w:pStyle w:val="ListParagraphbodycopy"/>
        <w:rPr>
          <w:rFonts w:eastAsia="Arial" w:cs="Arial"/>
          <w:color w:val="000000"/>
          <w:szCs w:val="22"/>
        </w:rPr>
      </w:pPr>
      <w:r w:rsidRPr="00B633A7">
        <w:rPr>
          <w:rFonts w:eastAsia="Calibri" w:cs="Arial"/>
          <w:kern w:val="2"/>
          <w:szCs w:val="22"/>
          <w14:ligatures w14:val="standardContextual"/>
        </w:rPr>
        <w:t xml:space="preserve">The decision to review workers’ compensation arrangements also reflects the </w:t>
      </w:r>
      <w:r w:rsidRPr="003C3D57">
        <w:t>recognition</w:t>
      </w:r>
      <w:r w:rsidRPr="00B633A7">
        <w:rPr>
          <w:rFonts w:eastAsia="Calibri" w:cs="Arial"/>
          <w:kern w:val="2"/>
          <w:szCs w:val="22"/>
          <w14:ligatures w14:val="standardContextual"/>
        </w:rPr>
        <w:t xml:space="preserve"> in the industrial relations context that certain gig workers engaged on digital labour platforms require minimum standards and protections. The </w:t>
      </w:r>
      <w:r w:rsidRPr="00B633A7">
        <w:rPr>
          <w:rFonts w:eastAsia="Calibri" w:cs="Arial"/>
          <w:i/>
          <w:iCs/>
          <w:kern w:val="2"/>
          <w:szCs w:val="22"/>
          <w14:ligatures w14:val="standardContextual"/>
        </w:rPr>
        <w:t xml:space="preserve">Fair Work Act 2009 </w:t>
      </w:r>
      <w:r w:rsidRPr="00B633A7">
        <w:rPr>
          <w:rFonts w:eastAsia="Calibri" w:cs="Arial"/>
          <w:kern w:val="2"/>
          <w:szCs w:val="22"/>
          <w14:ligatures w14:val="standardContextual"/>
        </w:rPr>
        <w:t xml:space="preserve">(Cth) was amended by the </w:t>
      </w:r>
      <w:r w:rsidRPr="00B633A7">
        <w:rPr>
          <w:rFonts w:eastAsia="Calibri" w:cs="Arial"/>
          <w:i/>
          <w:kern w:val="2"/>
          <w:szCs w:val="22"/>
          <w14:ligatures w14:val="standardContextual"/>
        </w:rPr>
        <w:t>Fair Work Legislation Amendment (</w:t>
      </w:r>
      <w:r w:rsidRPr="00B633A7">
        <w:rPr>
          <w:rFonts w:eastAsia="Calibri" w:cs="Arial"/>
          <w:i/>
          <w:iCs/>
          <w:kern w:val="2"/>
          <w:szCs w:val="22"/>
          <w14:ligatures w14:val="standardContextual"/>
        </w:rPr>
        <w:t>Closing Loopholes</w:t>
      </w:r>
      <w:r w:rsidRPr="00B633A7">
        <w:rPr>
          <w:rFonts w:eastAsia="Calibri" w:cs="Arial"/>
          <w:kern w:val="2"/>
          <w:szCs w:val="22"/>
          <w14:ligatures w14:val="standardContextual"/>
        </w:rPr>
        <w:t xml:space="preserve"> </w:t>
      </w:r>
      <w:r w:rsidRPr="00B633A7">
        <w:rPr>
          <w:rFonts w:eastAsia="Calibri" w:cs="Arial"/>
          <w:i/>
          <w:kern w:val="2"/>
          <w:szCs w:val="22"/>
          <w14:ligatures w14:val="standardContextual"/>
        </w:rPr>
        <w:t>No. 2) Act 2024</w:t>
      </w:r>
      <w:r w:rsidRPr="00B633A7">
        <w:rPr>
          <w:rFonts w:eastAsia="Calibri" w:cs="Arial"/>
          <w:kern w:val="2"/>
          <w:szCs w:val="22"/>
          <w14:ligatures w14:val="standardContextual"/>
        </w:rPr>
        <w:t xml:space="preserve"> to empower the Fair Work Commission to make orders setting enforceable minimum standards or voluntary guidelines for classes of ‘employee-like’ workers.</w:t>
      </w:r>
      <w:r w:rsidRPr="00B633A7">
        <w:rPr>
          <w:rFonts w:eastAsia="Calibri" w:cs="Arial"/>
          <w:kern w:val="2"/>
          <w:szCs w:val="22"/>
          <w:vertAlign w:val="superscript"/>
          <w14:ligatures w14:val="standardContextual"/>
        </w:rPr>
        <w:footnoteReference w:id="2"/>
      </w:r>
      <w:r w:rsidRPr="00B633A7">
        <w:rPr>
          <w:rFonts w:eastAsia="Calibri" w:cs="Arial"/>
          <w:kern w:val="2"/>
          <w:szCs w:val="22"/>
          <w14:ligatures w14:val="standardContextual"/>
        </w:rPr>
        <w:t xml:space="preserve"> This includes the ability to set minimum standards or guidelines for personal injury insurance. Personal injury insurance is not the same as workers’ compensation and does not provide the same level of benefits. Beyond monetary compensation for salary or wages, workers’ compensation includes assistance with rehabilitation and return to work and can cover a wider range of work-related injuries or illnesses. The Fair Work Commission is currently considering several applications for minimum standards orders for gig workers who perform food and beverage delivery and ‘last mile’ courier work. The outcome of these applications may impact how schemes view the risks posed to these workers when deciding whether to extend workers’ compensation coverage. </w:t>
      </w:r>
    </w:p>
    <w:p w14:paraId="1DD83228" w14:textId="77777777" w:rsidR="003C3D57" w:rsidRPr="00B37C41" w:rsidRDefault="003C3D57" w:rsidP="003C3D57">
      <w:pPr>
        <w:pStyle w:val="ListParagraphbodycopy"/>
      </w:pPr>
      <w:r w:rsidRPr="00B633A7">
        <w:rPr>
          <w:rFonts w:eastAsia="Calibri" w:cs="Arial"/>
          <w:kern w:val="2"/>
          <w:szCs w:val="22"/>
          <w14:ligatures w14:val="standardContextual"/>
        </w:rPr>
        <w:t xml:space="preserve">Workers’ compensation is an important safety net for workers who suffer injuries or </w:t>
      </w:r>
      <w:r w:rsidRPr="003C3D57">
        <w:t>illnesses</w:t>
      </w:r>
      <w:r w:rsidRPr="00B633A7">
        <w:rPr>
          <w:rFonts w:eastAsia="Calibri" w:cs="Arial"/>
          <w:kern w:val="2"/>
          <w:szCs w:val="22"/>
          <w14:ligatures w14:val="standardContextual"/>
        </w:rPr>
        <w:t xml:space="preserve"> that arise out of and in the course of their employment. It is a mandatory form of insurance which is generally based on the employer/</w:t>
      </w:r>
      <w:r w:rsidRPr="00B633A7">
        <w:rPr>
          <w:rFonts w:eastAsia="Arial" w:cs="Arial"/>
          <w:color w:val="000000"/>
          <w:szCs w:val="22"/>
        </w:rPr>
        <w:t>employee</w:t>
      </w:r>
      <w:r w:rsidRPr="00B633A7">
        <w:rPr>
          <w:rFonts w:eastAsia="Calibri" w:cs="Arial"/>
          <w:kern w:val="2"/>
          <w:szCs w:val="22"/>
          <w14:ligatures w14:val="standardContextual"/>
        </w:rPr>
        <w:t xml:space="preserve"> relationship and funded by premiums paid by the employer. Independent contractors, such as those engaged in the gig economy, are usually not covered by workers’ compensation and must arrange their own personal injury </w:t>
      </w:r>
      <w:r w:rsidRPr="00B633A7">
        <w:rPr>
          <w:rFonts w:eastAsia="Arial" w:cs="Arial"/>
          <w:color w:val="000000"/>
          <w:szCs w:val="22"/>
        </w:rPr>
        <w:t>insurance</w:t>
      </w:r>
      <w:r w:rsidRPr="00B37C41">
        <w:t xml:space="preserve">. </w:t>
      </w:r>
    </w:p>
    <w:p w14:paraId="0A08FD94" w14:textId="79B102DF" w:rsidR="00013FCA" w:rsidRDefault="003C3D57" w:rsidP="003C3D57">
      <w:pPr>
        <w:pStyle w:val="ListParagraphbodycopy"/>
        <w:rPr>
          <w:rFonts w:eastAsia="Calibri" w:cs="Arial"/>
          <w:kern w:val="2"/>
          <w:szCs w:val="22"/>
          <w14:ligatures w14:val="standardContextual"/>
        </w:rPr>
      </w:pPr>
      <w:r w:rsidRPr="00B633A7">
        <w:rPr>
          <w:rFonts w:eastAsia="Calibri" w:cs="Arial"/>
          <w:kern w:val="2"/>
          <w:szCs w:val="22"/>
          <w14:ligatures w14:val="standardContextual"/>
        </w:rPr>
        <w:t xml:space="preserve">To be </w:t>
      </w:r>
      <w:r w:rsidRPr="003C3D57">
        <w:t>eligible</w:t>
      </w:r>
      <w:r w:rsidRPr="00B633A7">
        <w:rPr>
          <w:rFonts w:eastAsia="Calibri" w:cs="Arial"/>
          <w:kern w:val="2"/>
          <w:szCs w:val="22"/>
          <w14:ligatures w14:val="standardContextual"/>
        </w:rPr>
        <w:t xml:space="preserve"> for workers’ compensation, a worker must be within the scope of the relevant scheme’s definition of ‘worker’ or ‘deemed worker’. While there is no consistent definition of a worker </w:t>
      </w:r>
      <w:r w:rsidRPr="00B633A7">
        <w:rPr>
          <w:rFonts w:eastAsia="Arial" w:cs="Arial"/>
          <w:color w:val="000000"/>
          <w:szCs w:val="22"/>
        </w:rPr>
        <w:t>across</w:t>
      </w:r>
      <w:r w:rsidRPr="00B633A7">
        <w:rPr>
          <w:rFonts w:eastAsia="Calibri" w:cs="Arial"/>
          <w:kern w:val="2"/>
          <w:szCs w:val="22"/>
          <w14:ligatures w14:val="standardContextual"/>
        </w:rPr>
        <w:t xml:space="preserve"> workers’ compensation schemes, most schemes will consider whether a person is engaged through a contract of service or is an employee for the purposes of assessment of PAYG tax to determine if they are a worker. Most schemes can deem workers who do not fall within their definition of ‘worker’ to be a ‘worker’ for the purposes of the scheme, which enables their eligibility to receive workers’ compensation.</w:t>
      </w:r>
    </w:p>
    <w:p w14:paraId="16C830C1" w14:textId="77777777" w:rsidR="00013FCA" w:rsidRDefault="00013FCA">
      <w:pPr>
        <w:spacing w:after="200" w:line="276" w:lineRule="auto"/>
        <w:contextualSpacing w:val="0"/>
        <w:rPr>
          <w:rFonts w:eastAsia="Calibri" w:cs="Arial"/>
          <w:kern w:val="2"/>
          <w:szCs w:val="22"/>
          <w14:ligatures w14:val="standardContextual"/>
        </w:rPr>
      </w:pPr>
      <w:r>
        <w:rPr>
          <w:rFonts w:eastAsia="Calibri" w:cs="Arial"/>
          <w:kern w:val="2"/>
          <w:szCs w:val="22"/>
          <w14:ligatures w14:val="standardContextual"/>
        </w:rPr>
        <w:br w:type="page"/>
      </w:r>
    </w:p>
    <w:p w14:paraId="15F4D077" w14:textId="77777777" w:rsidR="003C3D57" w:rsidRDefault="003C3D57" w:rsidP="003C3D57">
      <w:pPr>
        <w:pStyle w:val="ListParagraphbodycopy"/>
        <w:rPr>
          <w:rFonts w:eastAsia="Arial" w:cs="Arial"/>
          <w:color w:val="000000"/>
          <w:szCs w:val="22"/>
        </w:rPr>
      </w:pPr>
      <w:r w:rsidRPr="00B633A7">
        <w:rPr>
          <w:rFonts w:eastAsia="Arial" w:cs="Arial"/>
          <w:color w:val="000000"/>
          <w:szCs w:val="22"/>
        </w:rPr>
        <w:lastRenderedPageBreak/>
        <w:t xml:space="preserve">The </w:t>
      </w:r>
      <w:r w:rsidRPr="003C3D57">
        <w:t>national</w:t>
      </w:r>
      <w:r w:rsidRPr="00B633A7">
        <w:rPr>
          <w:rFonts w:eastAsia="Arial" w:cs="Arial"/>
          <w:color w:val="000000"/>
          <w:szCs w:val="22"/>
        </w:rPr>
        <w:t xml:space="preserve"> policy approach to workers’ compensation and the gig economy, as set out below, was informed by consultation with workers’ compensation authorities, employee and employer representatives and representatives of digital labour platforms and gig workers engaged on digital labour platforms. This consultation aimed to develop a shared national understanding of the issues facing gig workers engaged on digital labour platforms and explore the pathways to progress a coordinated approach in the form of national policy principles. </w:t>
      </w:r>
    </w:p>
    <w:p w14:paraId="6BEE1375" w14:textId="77777777" w:rsidR="003C3D57" w:rsidRPr="00C71F8D" w:rsidRDefault="003C3D57" w:rsidP="003C3D57">
      <w:pPr>
        <w:pStyle w:val="ListParagraphbodycopy"/>
        <w:rPr>
          <w:rFonts w:eastAsia="Arial" w:cs="Times New Roman"/>
          <w:color w:val="404040"/>
          <w:szCs w:val="22"/>
        </w:rPr>
      </w:pPr>
      <w:r>
        <w:rPr>
          <w:rFonts w:eastAsia="Calibri" w:cs="Times New Roman"/>
          <w:kern w:val="2"/>
          <w:szCs w:val="22"/>
          <w14:ligatures w14:val="standardContextual"/>
        </w:rPr>
        <w:t xml:space="preserve">The </w:t>
      </w:r>
      <w:r w:rsidRPr="003C3D57">
        <w:t>purpose</w:t>
      </w:r>
      <w:r>
        <w:rPr>
          <w:rFonts w:eastAsia="Calibri" w:cs="Times New Roman"/>
          <w:kern w:val="2"/>
          <w:szCs w:val="22"/>
          <w14:ligatures w14:val="standardContextual"/>
        </w:rPr>
        <w:t xml:space="preserve"> of the principles is to </w:t>
      </w:r>
      <w:r>
        <w:rPr>
          <w:rFonts w:eastAsia="Arial" w:cs="Arial"/>
          <w:color w:val="000000"/>
          <w:szCs w:val="22"/>
        </w:rPr>
        <w:t xml:space="preserve">provide </w:t>
      </w:r>
      <w:r w:rsidRPr="005939A3">
        <w:rPr>
          <w:rFonts w:eastAsia="Calibri" w:cs="Times New Roman"/>
          <w:kern w:val="2"/>
          <w:szCs w:val="22"/>
          <w14:ligatures w14:val="standardContextual"/>
        </w:rPr>
        <w:t>a nationally consistent framework</w:t>
      </w:r>
      <w:r>
        <w:rPr>
          <w:rFonts w:eastAsia="Calibri" w:cs="Times New Roman"/>
          <w:kern w:val="2"/>
          <w:szCs w:val="22"/>
          <w14:ligatures w14:val="standardContextual"/>
        </w:rPr>
        <w:t xml:space="preserve"> to assist jurisdictions to progress policy development related to coverage for gig workers engaged on digital labour platforms. </w:t>
      </w:r>
      <w:r w:rsidRPr="005939A3">
        <w:rPr>
          <w:rFonts w:eastAsia="Calibri" w:cs="Times New Roman"/>
          <w:kern w:val="2"/>
          <w:szCs w:val="22"/>
          <w14:ligatures w14:val="standardContextual"/>
        </w:rPr>
        <w:t xml:space="preserve">It is </w:t>
      </w:r>
      <w:r w:rsidRPr="005939A3">
        <w:rPr>
          <w:rFonts w:eastAsia="Arial" w:cs="Arial"/>
          <w:color w:val="000000"/>
          <w:szCs w:val="22"/>
        </w:rPr>
        <w:t>acknowledged</w:t>
      </w:r>
      <w:r w:rsidRPr="005939A3">
        <w:rPr>
          <w:rFonts w:eastAsia="Calibri" w:cs="Times New Roman"/>
          <w:kern w:val="2"/>
          <w:szCs w:val="22"/>
          <w14:ligatures w14:val="standardContextual"/>
        </w:rPr>
        <w:t xml:space="preserve"> that </w:t>
      </w:r>
      <w:r w:rsidRPr="005939A3">
        <w:rPr>
          <w:rFonts w:eastAsia="Calibri" w:cs="Arial"/>
          <w:kern w:val="2"/>
          <w:szCs w:val="22"/>
          <w14:ligatures w14:val="standardContextual"/>
        </w:rPr>
        <w:t>developing a national policy approach to address workers’ compensation and the gig economy</w:t>
      </w:r>
      <w:r w:rsidRPr="005939A3">
        <w:rPr>
          <w:rFonts w:eastAsia="Calibri" w:cs="Times New Roman"/>
          <w:kern w:val="2"/>
          <w:szCs w:val="22"/>
          <w14:ligatures w14:val="standardContextual"/>
        </w:rPr>
        <w:t xml:space="preserve"> is a complex policy issue which creates unique challenges in each workers’ compensation jurisdiction.</w:t>
      </w:r>
      <w:r>
        <w:rPr>
          <w:rFonts w:eastAsia="Calibri" w:cs="Times New Roman"/>
          <w:kern w:val="2"/>
          <w:szCs w:val="22"/>
          <w14:ligatures w14:val="standardContextual"/>
        </w:rPr>
        <w:t xml:space="preserve"> The principles also provide jurisdictions with the necessary flexibility to implement coverage in a way that accounts for the unique needs and context of individual</w:t>
      </w:r>
      <w:r w:rsidDel="00962116">
        <w:rPr>
          <w:rFonts w:eastAsia="Calibri" w:cs="Times New Roman"/>
          <w:kern w:val="2"/>
          <w:szCs w:val="22"/>
          <w14:ligatures w14:val="standardContextual"/>
        </w:rPr>
        <w:t xml:space="preserve"> </w:t>
      </w:r>
      <w:r>
        <w:rPr>
          <w:rFonts w:eastAsia="Calibri" w:cs="Times New Roman"/>
          <w:kern w:val="2"/>
          <w:szCs w:val="22"/>
          <w14:ligatures w14:val="standardContextual"/>
        </w:rPr>
        <w:t xml:space="preserve">schemes. </w:t>
      </w:r>
    </w:p>
    <w:p w14:paraId="276D727B" w14:textId="19A0BAE2" w:rsidR="00B37C41" w:rsidRDefault="003C3D57" w:rsidP="003C3D57">
      <w:pPr>
        <w:pStyle w:val="ListParagraphbodycopy"/>
        <w:rPr>
          <w:rFonts w:eastAsia="Calibri" w:cs="Times New Roman"/>
          <w:kern w:val="2"/>
          <w:szCs w:val="22"/>
          <w14:ligatures w14:val="standardContextual"/>
        </w:rPr>
      </w:pPr>
      <w:r>
        <w:rPr>
          <w:rFonts w:eastAsia="Calibri" w:cs="Times New Roman"/>
          <w:kern w:val="2"/>
          <w:szCs w:val="22"/>
          <w14:ligatures w14:val="standardContextual"/>
        </w:rPr>
        <w:t>Ultimately, t</w:t>
      </w:r>
      <w:r w:rsidRPr="005939A3">
        <w:rPr>
          <w:rFonts w:eastAsia="Calibri" w:cs="Times New Roman"/>
          <w:kern w:val="2"/>
          <w:szCs w:val="22"/>
          <w14:ligatures w14:val="standardContextual"/>
        </w:rPr>
        <w:t xml:space="preserve">he Commonwealth, states and territories are responsible for determining the scheme arrangements in their jurisdiction, including the potential expansion of workers’ compensation coverage to gig workers engaged on a digital labour platform. </w:t>
      </w:r>
    </w:p>
    <w:p w14:paraId="3F401CE1" w14:textId="77777777" w:rsidR="00B37C41" w:rsidRDefault="00B37C41">
      <w:pPr>
        <w:spacing w:after="200" w:line="276" w:lineRule="auto"/>
        <w:contextualSpacing w:val="0"/>
        <w:rPr>
          <w:rFonts w:eastAsia="Calibri" w:cs="Times New Roman"/>
          <w:kern w:val="2"/>
          <w:szCs w:val="22"/>
          <w14:ligatures w14:val="standardContextual"/>
        </w:rPr>
      </w:pPr>
      <w:r>
        <w:rPr>
          <w:rFonts w:eastAsia="Calibri" w:cs="Times New Roman"/>
          <w:kern w:val="2"/>
          <w:szCs w:val="22"/>
          <w14:ligatures w14:val="standardContextual"/>
        </w:rPr>
        <w:br w:type="page"/>
      </w:r>
    </w:p>
    <w:p w14:paraId="2D15FA64" w14:textId="34DFD9B7" w:rsidR="00982FB6" w:rsidRDefault="00A02C40" w:rsidP="00B37C41">
      <w:pPr>
        <w:pStyle w:val="ListParagraphh1"/>
      </w:pPr>
      <w:r>
        <w:lastRenderedPageBreak/>
        <w:t xml:space="preserve">National Principles </w:t>
      </w:r>
    </w:p>
    <w:p w14:paraId="0CB04180" w14:textId="77777777" w:rsidR="00013FCA" w:rsidRPr="00013FCA" w:rsidRDefault="006258B4" w:rsidP="00013FCA">
      <w:pPr>
        <w:pStyle w:val="Boxedshaded"/>
        <w:spacing w:before="240"/>
        <w:rPr>
          <w:b/>
          <w:bCs/>
        </w:rPr>
      </w:pPr>
      <w:r w:rsidRPr="00013FCA">
        <w:rPr>
          <w:b/>
          <w:bCs/>
        </w:rPr>
        <w:t xml:space="preserve">Principle 1: </w:t>
      </w:r>
    </w:p>
    <w:p w14:paraId="50DCE5BD" w14:textId="57AFC1F2" w:rsidR="006258B4" w:rsidRPr="00013FCA" w:rsidRDefault="006258B4" w:rsidP="00013FCA">
      <w:pPr>
        <w:pStyle w:val="Boxedshaded"/>
        <w:spacing w:after="360"/>
      </w:pPr>
      <w:r w:rsidRPr="00013FCA">
        <w:t xml:space="preserve">The emergence of digital labour platforms has changed how some people are engaged to undertake work, resulting in less protections for these workers when they sustain an injury or illness at work or because of work when compared to employees performing the same kind of work. </w:t>
      </w:r>
    </w:p>
    <w:p w14:paraId="304BAC80" w14:textId="77777777" w:rsidR="003B5951" w:rsidRPr="003B5951" w:rsidRDefault="003B5951" w:rsidP="00180638">
      <w:pPr>
        <w:pStyle w:val="ListParagraphbodycopy"/>
        <w:rPr>
          <w:rFonts w:eastAsia="Calibri" w:cs="Arial"/>
          <w:kern w:val="2"/>
          <w:szCs w:val="22"/>
          <w14:ligatures w14:val="standardContextual"/>
        </w:rPr>
      </w:pPr>
      <w:bookmarkStart w:id="3" w:name="_Toc156999757"/>
      <w:r w:rsidRPr="003B5951">
        <w:rPr>
          <w:rFonts w:eastAsia="Calibri" w:cs="Arial"/>
          <w:kern w:val="2"/>
          <w:szCs w:val="22"/>
          <w14:ligatures w14:val="standardContextual"/>
        </w:rPr>
        <w:t xml:space="preserve">Traditional workforce </w:t>
      </w:r>
      <w:r w:rsidRPr="003B5951">
        <w:rPr>
          <w:rFonts w:eastAsia="Calibri" w:cs="Times New Roman"/>
          <w:kern w:val="2"/>
          <w:szCs w:val="22"/>
          <w14:ligatures w14:val="standardContextual"/>
        </w:rPr>
        <w:t>arrangements</w:t>
      </w:r>
      <w:r w:rsidRPr="003B5951">
        <w:rPr>
          <w:rFonts w:eastAsia="Calibri" w:cs="Arial"/>
          <w:kern w:val="2"/>
          <w:szCs w:val="22"/>
          <w14:ligatures w14:val="standardContextual"/>
        </w:rPr>
        <w:t xml:space="preserve"> have been challenged by the emergence of digital labour platforms. There is a significant group of workers within Australia undertaking gig work through digital labour platforms. </w:t>
      </w:r>
      <w:r w:rsidRPr="003B5951">
        <w:rPr>
          <w:rFonts w:eastAsia="Calibri" w:cs="Arial"/>
          <w:color w:val="000000"/>
          <w:szCs w:val="22"/>
        </w:rPr>
        <w:t>It is estimated that there are over 100 digital labour platforms operating within Australia</w:t>
      </w:r>
      <w:r w:rsidRPr="003B5951">
        <w:rPr>
          <w:rFonts w:eastAsia="Calibri" w:cs="Arial"/>
          <w:color w:val="000000"/>
          <w:szCs w:val="22"/>
          <w:vertAlign w:val="superscript"/>
        </w:rPr>
        <w:footnoteReference w:id="3"/>
      </w:r>
      <w:r w:rsidRPr="003B5951">
        <w:rPr>
          <w:rFonts w:eastAsia="Calibri" w:cs="Arial"/>
          <w:color w:val="000000"/>
          <w:szCs w:val="22"/>
        </w:rPr>
        <w:t xml:space="preserve"> and </w:t>
      </w:r>
      <w:r w:rsidRPr="003B5951">
        <w:rPr>
          <w:rFonts w:eastAsia="Calibri" w:cs="Arial"/>
          <w:kern w:val="2"/>
          <w:szCs w:val="22"/>
          <w14:ligatures w14:val="standardContextual"/>
        </w:rPr>
        <w:t>up to 250,000</w:t>
      </w:r>
      <w:r w:rsidRPr="003B5951">
        <w:rPr>
          <w:rFonts w:eastAsia="Calibri" w:cs="Arial"/>
          <w:kern w:val="2"/>
          <w:szCs w:val="22"/>
          <w:vertAlign w:val="superscript"/>
          <w14:ligatures w14:val="standardContextual"/>
        </w:rPr>
        <w:footnoteReference w:id="4"/>
      </w:r>
      <w:r w:rsidRPr="003B5951">
        <w:rPr>
          <w:rFonts w:eastAsia="Calibri" w:cs="Arial"/>
          <w:kern w:val="2"/>
          <w:szCs w:val="22"/>
          <w14:ligatures w14:val="standardContextual"/>
        </w:rPr>
        <w:t xml:space="preserve"> workers on those platforms. Recently, the Australian Bureau of Statistics found that in 2023-24, 1.2% of employed people (~164 400)</w:t>
      </w:r>
      <w:r w:rsidRPr="003B5951">
        <w:rPr>
          <w:rFonts w:eastAsia="Calibri" w:cs="Arial"/>
          <w:kern w:val="2"/>
          <w:szCs w:val="22"/>
          <w:vertAlign w:val="superscript"/>
          <w14:ligatures w14:val="standardContextual"/>
        </w:rPr>
        <w:footnoteReference w:id="5"/>
      </w:r>
      <w:r w:rsidRPr="003B5951">
        <w:rPr>
          <w:rFonts w:eastAsia="Calibri" w:cs="Arial"/>
          <w:kern w:val="2"/>
          <w:szCs w:val="22"/>
          <w14:ligatures w14:val="standardContextual"/>
        </w:rPr>
        <w:t xml:space="preserve"> had undertaken digital platform work in the last 12 months.</w:t>
      </w:r>
      <w:r w:rsidRPr="003B5951">
        <w:rPr>
          <w:rFonts w:eastAsia="Calibri" w:cs="Arial"/>
          <w:kern w:val="2"/>
          <w:szCs w:val="22"/>
          <w:vertAlign w:val="superscript"/>
          <w14:ligatures w14:val="standardContextual"/>
        </w:rPr>
        <w:footnoteReference w:id="6"/>
      </w:r>
      <w:r w:rsidRPr="003B5951">
        <w:rPr>
          <w:rFonts w:eastAsia="Calibri" w:cs="Arial"/>
          <w:kern w:val="2"/>
          <w:szCs w:val="22"/>
          <w14:ligatures w14:val="standardContextual"/>
        </w:rPr>
        <w:t xml:space="preserve"> The work available on these platforms span </w:t>
      </w:r>
      <w:r w:rsidRPr="003B5951">
        <w:rPr>
          <w:rFonts w:eastAsia="Calibri" w:cs="Arial"/>
          <w:szCs w:val="22"/>
        </w:rPr>
        <w:t>many industries such as rideshare, food delivery and transport, clerical and data entry, creative and multimedia, health care, sales and marketing, software development and professional services</w:t>
      </w:r>
      <w:r w:rsidRPr="003B5951">
        <w:rPr>
          <w:rFonts w:eastAsia="Calibri" w:cs="Arial"/>
          <w:color w:val="000000"/>
          <w:szCs w:val="22"/>
        </w:rPr>
        <w:t>.</w:t>
      </w:r>
      <w:r w:rsidRPr="003B5951">
        <w:rPr>
          <w:rFonts w:eastAsia="Calibri" w:cs="Arial"/>
          <w:color w:val="000000"/>
          <w:szCs w:val="22"/>
          <w:vertAlign w:val="superscript"/>
        </w:rPr>
        <w:footnoteReference w:id="7"/>
      </w:r>
      <w:r w:rsidRPr="003B5951">
        <w:rPr>
          <w:rFonts w:eastAsia="Calibri" w:cs="Arial"/>
          <w:color w:val="000000"/>
          <w:szCs w:val="22"/>
        </w:rPr>
        <w:t xml:space="preserve">  </w:t>
      </w:r>
    </w:p>
    <w:p w14:paraId="62258610" w14:textId="77777777" w:rsidR="003B5951" w:rsidRPr="003B5951" w:rsidRDefault="003B5951" w:rsidP="00180638">
      <w:pPr>
        <w:pStyle w:val="ListParagraphbodycopy"/>
        <w:rPr>
          <w:rFonts w:eastAsia="Calibri" w:cs="Arial"/>
          <w:kern w:val="2"/>
          <w:szCs w:val="22"/>
          <w14:ligatures w14:val="standardContextual"/>
        </w:rPr>
      </w:pPr>
      <w:r w:rsidRPr="003B5951">
        <w:rPr>
          <w:rFonts w:eastAsia="Calibri" w:cs="Arial"/>
          <w:kern w:val="2"/>
          <w:szCs w:val="22"/>
          <w14:ligatures w14:val="standardContextual"/>
        </w:rPr>
        <w:t xml:space="preserve">Currently, most gig workers engaged on digital labour platforms are independent contractors. Engaging in work on digital </w:t>
      </w:r>
      <w:r w:rsidRPr="003B5951">
        <w:rPr>
          <w:rFonts w:eastAsia="Calibri" w:cs="Times New Roman"/>
          <w:kern w:val="2"/>
          <w:szCs w:val="22"/>
          <w14:ligatures w14:val="standardContextual"/>
        </w:rPr>
        <w:t>labour</w:t>
      </w:r>
      <w:r w:rsidRPr="003B5951">
        <w:rPr>
          <w:rFonts w:eastAsia="Calibri" w:cs="Arial"/>
          <w:kern w:val="2"/>
          <w:szCs w:val="22"/>
          <w14:ligatures w14:val="standardContextual"/>
        </w:rPr>
        <w:t xml:space="preserve"> platforms can provide increased flexibility for gig workers in scheduling work and greater access to work for those unable to easily access other forms of employment. However, due to their engagement status, they do not receive the benefits and protections of workers’ </w:t>
      </w:r>
      <w:r w:rsidRPr="003B5951">
        <w:rPr>
          <w:rFonts w:eastAsia="Arial" w:cs="Arial"/>
          <w:color w:val="000000"/>
          <w:szCs w:val="22"/>
        </w:rPr>
        <w:t>compensation</w:t>
      </w:r>
      <w:r w:rsidRPr="003B5951">
        <w:rPr>
          <w:rFonts w:eastAsia="Calibri" w:cs="Arial"/>
          <w:kern w:val="2"/>
          <w:szCs w:val="22"/>
          <w14:ligatures w14:val="standardContextual"/>
        </w:rPr>
        <w:t>. For some gig workers, their engagement as independent contractors is contentious given the variation in the control platforms exercise over their workers. This issue has been recognised in the industrial relations context with the introduction of minimum standards orders or guidelines for certain gig workers engaged on a digital labour platform.</w:t>
      </w:r>
      <w:r w:rsidRPr="003B5951">
        <w:rPr>
          <w:rFonts w:eastAsia="Calibri" w:cs="Arial"/>
          <w:kern w:val="2"/>
          <w:szCs w:val="22"/>
          <w:vertAlign w:val="superscript"/>
          <w14:ligatures w14:val="standardContextual"/>
        </w:rPr>
        <w:footnoteReference w:id="8"/>
      </w:r>
    </w:p>
    <w:p w14:paraId="5494EC4D" w14:textId="37D40E65" w:rsidR="00013FCA" w:rsidRDefault="003B5951" w:rsidP="00180638">
      <w:pPr>
        <w:pStyle w:val="ListParagraphbodycopy"/>
        <w:rPr>
          <w:rFonts w:eastAsia="Calibri" w:cs="Arial"/>
          <w:kern w:val="2"/>
          <w:szCs w:val="22"/>
          <w14:ligatures w14:val="standardContextual"/>
        </w:rPr>
      </w:pPr>
      <w:r w:rsidRPr="003B5951">
        <w:rPr>
          <w:rFonts w:eastAsia="Calibri" w:cs="Arial"/>
          <w:kern w:val="2"/>
          <w:szCs w:val="22"/>
          <w14:ligatures w14:val="standardContextual"/>
        </w:rPr>
        <w:t xml:space="preserve">However, minimum standards would not provide gig workers engaged on a digital labour platform with access to workers’ </w:t>
      </w:r>
      <w:r w:rsidRPr="003B5951">
        <w:rPr>
          <w:rFonts w:eastAsia="Calibri" w:cs="Times New Roman"/>
          <w:kern w:val="2"/>
          <w:szCs w:val="22"/>
          <w14:ligatures w14:val="standardContextual"/>
        </w:rPr>
        <w:t>compensation</w:t>
      </w:r>
      <w:r w:rsidRPr="003B5951">
        <w:rPr>
          <w:rFonts w:eastAsia="Calibri" w:cs="Arial"/>
          <w:kern w:val="2"/>
          <w:szCs w:val="22"/>
          <w14:ligatures w14:val="standardContextual"/>
        </w:rPr>
        <w:t xml:space="preserve"> coverage.</w:t>
      </w:r>
      <w:r w:rsidRPr="003B5951" w:rsidDel="003C3E1A">
        <w:rPr>
          <w:rFonts w:eastAsia="Calibri" w:cs="Arial"/>
          <w:kern w:val="2"/>
          <w:szCs w:val="22"/>
          <w:vertAlign w:val="superscript"/>
          <w14:ligatures w14:val="standardContextual"/>
        </w:rPr>
        <w:t xml:space="preserve"> </w:t>
      </w:r>
      <w:r w:rsidRPr="003B5951">
        <w:rPr>
          <w:rFonts w:eastAsia="Calibri" w:cs="Arial"/>
          <w:kern w:val="2"/>
          <w:szCs w:val="22"/>
          <w14:ligatures w14:val="standardContextual"/>
        </w:rPr>
        <w:t>The lack of access to workers’ compensation leaves many gig workers engaged on digital labour platforms without adequate protection in the event of a work-related injury or illness when compared to employees performing the same type of work.</w:t>
      </w:r>
      <w:r w:rsidRPr="003B5951">
        <w:rPr>
          <w:rFonts w:eastAsia="Arial" w:cs="Times New Roman"/>
          <w:color w:val="404040"/>
          <w:sz w:val="20"/>
          <w:szCs w:val="20"/>
          <w:vertAlign w:val="superscript"/>
        </w:rPr>
        <w:footnoteReference w:id="9"/>
      </w:r>
      <w:r w:rsidRPr="003B5951">
        <w:rPr>
          <w:rFonts w:eastAsia="Calibri" w:cs="Arial"/>
          <w:kern w:val="2"/>
          <w:szCs w:val="22"/>
          <w14:ligatures w14:val="standardContextual"/>
        </w:rPr>
        <w:t xml:space="preserve"> </w:t>
      </w:r>
    </w:p>
    <w:p w14:paraId="5D390E42" w14:textId="77777777" w:rsidR="00013FCA" w:rsidRDefault="00013FCA">
      <w:pPr>
        <w:spacing w:after="200" w:line="276" w:lineRule="auto"/>
        <w:contextualSpacing w:val="0"/>
        <w:rPr>
          <w:rFonts w:eastAsia="Calibri" w:cs="Arial"/>
          <w:kern w:val="2"/>
          <w:szCs w:val="22"/>
          <w14:ligatures w14:val="standardContextual"/>
        </w:rPr>
      </w:pPr>
      <w:r>
        <w:rPr>
          <w:rFonts w:eastAsia="Calibri" w:cs="Arial"/>
          <w:kern w:val="2"/>
          <w:szCs w:val="22"/>
          <w14:ligatures w14:val="standardContextual"/>
        </w:rPr>
        <w:br w:type="page"/>
      </w:r>
    </w:p>
    <w:p w14:paraId="703A33AA" w14:textId="77777777" w:rsidR="003B5951" w:rsidRPr="003B5951" w:rsidRDefault="003B5951" w:rsidP="00180638">
      <w:pPr>
        <w:pStyle w:val="ListParagraphbodycopy"/>
        <w:rPr>
          <w:rFonts w:eastAsia="Calibri" w:cs="Arial"/>
          <w:kern w:val="2"/>
          <w:szCs w:val="22"/>
          <w14:ligatures w14:val="standardContextual"/>
        </w:rPr>
      </w:pPr>
      <w:r w:rsidRPr="003B5951">
        <w:rPr>
          <w:rFonts w:eastAsia="Calibri" w:cs="Arial"/>
          <w:kern w:val="2"/>
          <w:szCs w:val="22"/>
          <w14:ligatures w14:val="standardContextual"/>
        </w:rPr>
        <w:lastRenderedPageBreak/>
        <w:t xml:space="preserve">Ultimately, gig </w:t>
      </w:r>
      <w:r w:rsidRPr="003B5951">
        <w:rPr>
          <w:rFonts w:eastAsia="Calibri" w:cs="Times New Roman"/>
          <w:kern w:val="2"/>
          <w:szCs w:val="22"/>
          <w14:ligatures w14:val="standardContextual"/>
        </w:rPr>
        <w:t>workers</w:t>
      </w:r>
      <w:r w:rsidRPr="003B5951">
        <w:rPr>
          <w:rFonts w:eastAsia="Calibri" w:cs="Arial"/>
          <w:kern w:val="2"/>
          <w:szCs w:val="22"/>
          <w14:ligatures w14:val="standardContextual"/>
        </w:rPr>
        <w:t xml:space="preserve"> engaged on digital labour platforms can be considered at risk as:</w:t>
      </w:r>
    </w:p>
    <w:p w14:paraId="59A9FB28" w14:textId="77777777" w:rsidR="004745AD" w:rsidRDefault="003B5951" w:rsidP="00D4529D">
      <w:pPr>
        <w:pStyle w:val="ListParagraph"/>
        <w:numPr>
          <w:ilvl w:val="0"/>
          <w:numId w:val="11"/>
        </w:numPr>
        <w:spacing w:line="240" w:lineRule="exact"/>
        <w:contextualSpacing w:val="0"/>
        <w:rPr>
          <w:rFonts w:eastAsia="Calibri" w:cs="Arial"/>
          <w:kern w:val="2"/>
          <w:szCs w:val="22"/>
          <w14:ligatures w14:val="standardContextual"/>
        </w:rPr>
      </w:pPr>
      <w:r w:rsidRPr="004745AD">
        <w:rPr>
          <w:rFonts w:eastAsia="Calibri" w:cs="Arial"/>
          <w:kern w:val="2"/>
          <w:szCs w:val="22"/>
          <w14:ligatures w14:val="standardContextual"/>
        </w:rPr>
        <w:t xml:space="preserve">they lack </w:t>
      </w:r>
      <w:r w:rsidRPr="004745AD">
        <w:rPr>
          <w:rFonts w:eastAsia="Arial" w:cs="Times New Roman"/>
          <w:szCs w:val="22"/>
        </w:rPr>
        <w:t>the</w:t>
      </w:r>
      <w:r w:rsidRPr="004745AD">
        <w:rPr>
          <w:rFonts w:eastAsia="Calibri" w:cs="Arial"/>
          <w:kern w:val="2"/>
          <w:szCs w:val="22"/>
          <w14:ligatures w14:val="standardContextual"/>
        </w:rPr>
        <w:t xml:space="preserve"> entitlements and protections that employees have </w:t>
      </w:r>
    </w:p>
    <w:p w14:paraId="7C84CCE6" w14:textId="77777777" w:rsidR="004745AD" w:rsidRDefault="003B5951" w:rsidP="00D4529D">
      <w:pPr>
        <w:pStyle w:val="ListParagraph"/>
        <w:numPr>
          <w:ilvl w:val="0"/>
          <w:numId w:val="11"/>
        </w:numPr>
        <w:spacing w:line="240" w:lineRule="exact"/>
        <w:contextualSpacing w:val="0"/>
        <w:rPr>
          <w:rFonts w:eastAsia="Calibri" w:cs="Arial"/>
          <w:kern w:val="2"/>
          <w:szCs w:val="22"/>
          <w14:ligatures w14:val="standardContextual"/>
        </w:rPr>
      </w:pPr>
      <w:r w:rsidRPr="004745AD">
        <w:rPr>
          <w:rFonts w:eastAsia="Calibri" w:cs="Arial"/>
          <w:kern w:val="2"/>
          <w:szCs w:val="22"/>
          <w14:ligatures w14:val="standardContextual"/>
        </w:rPr>
        <w:t xml:space="preserve">they do not necessarily have the control and autonomy over their work that </w:t>
      </w:r>
      <w:r w:rsidRPr="004745AD">
        <w:rPr>
          <w:rFonts w:eastAsia="Arial" w:cs="Times New Roman"/>
          <w:szCs w:val="22"/>
        </w:rPr>
        <w:t>independent</w:t>
      </w:r>
      <w:r w:rsidRPr="004745AD">
        <w:rPr>
          <w:rFonts w:eastAsia="Calibri" w:cs="Arial"/>
          <w:kern w:val="2"/>
          <w:szCs w:val="22"/>
          <w14:ligatures w14:val="standardContextual"/>
        </w:rPr>
        <w:t xml:space="preserve"> contractors are typically afforded, as digital labour platforms exercise varying levels of control over their work, working conditions, and income, and </w:t>
      </w:r>
    </w:p>
    <w:p w14:paraId="529C4044" w14:textId="3C03E569" w:rsidR="003B5951" w:rsidRPr="004745AD" w:rsidRDefault="003B5951" w:rsidP="00D4529D">
      <w:pPr>
        <w:pStyle w:val="ListParagraph"/>
        <w:numPr>
          <w:ilvl w:val="0"/>
          <w:numId w:val="11"/>
        </w:numPr>
        <w:spacing w:line="240" w:lineRule="exact"/>
        <w:contextualSpacing w:val="0"/>
        <w:rPr>
          <w:rFonts w:eastAsia="Calibri" w:cs="Arial"/>
          <w:kern w:val="2"/>
          <w:szCs w:val="22"/>
          <w14:ligatures w14:val="standardContextual"/>
        </w:rPr>
      </w:pPr>
      <w:r w:rsidRPr="004745AD">
        <w:rPr>
          <w:rFonts w:eastAsia="Calibri" w:cs="Arial"/>
          <w:kern w:val="2"/>
          <w:szCs w:val="22"/>
          <w14:ligatures w14:val="standardContextual"/>
        </w:rPr>
        <w:t xml:space="preserve">they are generally ineligible for workers’ compensation and lack adequate protection </w:t>
      </w:r>
      <w:r w:rsidRPr="004745AD">
        <w:rPr>
          <w:rFonts w:eastAsia="Arial" w:cs="Times New Roman"/>
          <w:szCs w:val="22"/>
        </w:rPr>
        <w:t>in</w:t>
      </w:r>
      <w:r w:rsidRPr="004745AD">
        <w:rPr>
          <w:rFonts w:eastAsia="Calibri" w:cs="Arial"/>
          <w:kern w:val="2"/>
          <w:szCs w:val="22"/>
          <w14:ligatures w14:val="standardContextual"/>
        </w:rPr>
        <w:t xml:space="preserve"> the event of a work-related injury or illness. </w:t>
      </w:r>
    </w:p>
    <w:p w14:paraId="4F5A522F" w14:textId="77777777" w:rsidR="003B5951" w:rsidRPr="003B5951" w:rsidRDefault="003B5951" w:rsidP="00180638">
      <w:pPr>
        <w:pStyle w:val="ListParagraphbodycopy"/>
        <w:rPr>
          <w:rFonts w:eastAsia="Calibri" w:cs="Arial"/>
          <w:kern w:val="2"/>
          <w:szCs w:val="22"/>
          <w14:ligatures w14:val="standardContextual"/>
        </w:rPr>
      </w:pPr>
      <w:r w:rsidRPr="003B5951">
        <w:rPr>
          <w:rFonts w:eastAsia="Calibri" w:cs="Arial"/>
          <w:kern w:val="2"/>
          <w:szCs w:val="22"/>
          <w14:ligatures w14:val="standardContextual"/>
        </w:rPr>
        <w:t xml:space="preserve">Gig </w:t>
      </w:r>
      <w:r w:rsidRPr="003B5951">
        <w:rPr>
          <w:rFonts w:eastAsia="Arial" w:cs="Arial"/>
          <w:color w:val="000000"/>
          <w:szCs w:val="22"/>
        </w:rPr>
        <w:t>workers</w:t>
      </w:r>
      <w:r w:rsidRPr="003B5951">
        <w:rPr>
          <w:rFonts w:eastAsia="Calibri" w:cs="Arial"/>
          <w:kern w:val="2"/>
          <w:szCs w:val="22"/>
          <w14:ligatures w14:val="standardContextual"/>
        </w:rPr>
        <w:t xml:space="preserve"> may also work in isolated, individual settings, and have limited awareness of their legal rights and protections. This workforce includes high numbers of young workers and </w:t>
      </w:r>
      <w:r w:rsidRPr="003B5951">
        <w:rPr>
          <w:rFonts w:eastAsia="Calibri" w:cs="Arial"/>
          <w:szCs w:val="22"/>
        </w:rPr>
        <w:t>temporary and permanent residents</w:t>
      </w:r>
      <w:r w:rsidRPr="003B5951">
        <w:rPr>
          <w:rFonts w:eastAsia="Calibri" w:cs="Arial"/>
          <w:kern w:val="2"/>
          <w:szCs w:val="22"/>
          <w14:ligatures w14:val="standardContextual"/>
        </w:rPr>
        <w:t>: 2 groups with limited knowledge about their rights, and how to defend them.</w:t>
      </w:r>
      <w:r w:rsidRPr="003B5951">
        <w:rPr>
          <w:rFonts w:eastAsia="Calibri" w:cs="Arial"/>
          <w:kern w:val="2"/>
          <w:szCs w:val="22"/>
          <w:vertAlign w:val="superscript"/>
          <w14:ligatures w14:val="standardContextual"/>
        </w:rPr>
        <w:footnoteReference w:id="10"/>
      </w:r>
    </w:p>
    <w:p w14:paraId="2F4E3E07" w14:textId="28DEFCB3" w:rsidR="00013FCA" w:rsidRDefault="003B5951" w:rsidP="00AE220B">
      <w:pPr>
        <w:pStyle w:val="ListParagraphbodycopy"/>
        <w:rPr>
          <w:rFonts w:eastAsia="Calibri" w:cs="Arial"/>
          <w:szCs w:val="22"/>
        </w:rPr>
      </w:pPr>
      <w:r w:rsidRPr="003B5951">
        <w:rPr>
          <w:rFonts w:eastAsia="Calibri" w:cs="Arial"/>
          <w:kern w:val="2"/>
          <w:szCs w:val="22"/>
          <w14:ligatures w14:val="standardContextual"/>
        </w:rPr>
        <w:t xml:space="preserve">Some digital labour platforms, such as rideshare or food delivery platforms, are also more likely to </w:t>
      </w:r>
      <w:r w:rsidRPr="003B5951">
        <w:rPr>
          <w:rFonts w:eastAsia="Arial" w:cs="Arial"/>
          <w:color w:val="000000"/>
          <w:szCs w:val="22"/>
        </w:rPr>
        <w:t>attract</w:t>
      </w:r>
      <w:r w:rsidRPr="003B5951">
        <w:rPr>
          <w:rFonts w:eastAsia="Calibri" w:cs="Arial"/>
          <w:kern w:val="2"/>
          <w:szCs w:val="22"/>
          <w14:ligatures w14:val="standardContextual"/>
        </w:rPr>
        <w:t xml:space="preserve"> vulnerable workers as they feature lower barriers to entry and provide ready access to flexible work. Vulnerable workers include </w:t>
      </w:r>
      <w:r w:rsidRPr="003B5951">
        <w:rPr>
          <w:rFonts w:eastAsia="Calibri" w:cs="Arial"/>
          <w:szCs w:val="22"/>
        </w:rPr>
        <w:t xml:space="preserve">young workers, Aboriginal and Torres Strait Islanders, people living with a disability, temporary and </w:t>
      </w:r>
      <w:r w:rsidRPr="003B5951">
        <w:rPr>
          <w:rFonts w:eastAsia="Calibri" w:cs="Arial"/>
          <w:kern w:val="2"/>
          <w:szCs w:val="22"/>
          <w14:ligatures w14:val="standardContextual"/>
        </w:rPr>
        <w:t>permanent</w:t>
      </w:r>
      <w:r w:rsidRPr="003B5951">
        <w:rPr>
          <w:rFonts w:eastAsia="Calibri" w:cs="Arial"/>
          <w:szCs w:val="22"/>
        </w:rPr>
        <w:t xml:space="preserve"> residents, and unemployed people only working on platforms.</w:t>
      </w:r>
      <w:r w:rsidRPr="003B5951">
        <w:rPr>
          <w:rFonts w:eastAsia="Calibri" w:cs="Arial"/>
          <w:szCs w:val="22"/>
          <w:vertAlign w:val="superscript"/>
        </w:rPr>
        <w:footnoteReference w:id="11"/>
      </w:r>
      <w:r w:rsidRPr="003B5951">
        <w:rPr>
          <w:rFonts w:eastAsia="Calibri" w:cs="Arial"/>
          <w:szCs w:val="22"/>
        </w:rPr>
        <w:t xml:space="preserve"> This type of platform work enables workers without formal educational qualifications or with qualifications that are not recognised in Australia to work around their study, care or other responsibilities.</w:t>
      </w:r>
      <w:r w:rsidRPr="003B5951">
        <w:rPr>
          <w:rFonts w:eastAsia="Calibri" w:cs="Arial"/>
          <w:szCs w:val="22"/>
          <w:vertAlign w:val="superscript"/>
        </w:rPr>
        <w:footnoteReference w:id="12"/>
      </w:r>
      <w:r w:rsidRPr="003B5951">
        <w:rPr>
          <w:rFonts w:eastAsia="Calibri" w:cs="Arial"/>
          <w:szCs w:val="22"/>
        </w:rPr>
        <w:t xml:space="preserve"> </w:t>
      </w:r>
    </w:p>
    <w:p w14:paraId="5ABE5C97" w14:textId="571B549F" w:rsidR="003B5951" w:rsidRPr="00013FCA" w:rsidRDefault="009B087B" w:rsidP="00013FCA">
      <w:pPr>
        <w:pStyle w:val="Boxedshaded"/>
        <w:spacing w:before="240" w:after="240"/>
      </w:pPr>
      <w:r w:rsidRPr="00013FCA">
        <w:rPr>
          <w:b/>
          <w:bCs/>
        </w:rPr>
        <w:t>Principle 2:</w:t>
      </w:r>
      <w:r w:rsidRPr="00013FCA">
        <w:t xml:space="preserve"> </w:t>
      </w:r>
      <w:r w:rsidR="00013FCA">
        <w:br/>
      </w:r>
      <w:r w:rsidRPr="00013FCA">
        <w:t xml:space="preserve">Workers’ compensation coverage should be considered for gig workers engaged on digital labour platforms. </w:t>
      </w:r>
    </w:p>
    <w:p w14:paraId="784F2179" w14:textId="3BDCF022" w:rsidR="00013FCA" w:rsidRDefault="00C95005" w:rsidP="00C95005">
      <w:pPr>
        <w:pStyle w:val="ListParagraphbodycopy"/>
        <w:rPr>
          <w:rFonts w:eastAsia="Calibri" w:cs="Arial"/>
          <w:kern w:val="2"/>
          <w:szCs w:val="22"/>
          <w14:ligatures w14:val="standardContextual"/>
        </w:rPr>
      </w:pPr>
      <w:r w:rsidRPr="00C95005">
        <w:rPr>
          <w:rFonts w:eastAsia="Calibri" w:cs="Arial"/>
          <w:kern w:val="2"/>
          <w:szCs w:val="22"/>
          <w14:ligatures w14:val="standardContextual"/>
        </w:rPr>
        <w:t xml:space="preserve">There are different mechanisms to extend workers’ compensation to gig workers engaged on digital labour platforms. Workers’ compensation authorities should consider the most appropriate mechanism to extending workers’ compensation coverage arrangements to gig workers engaged on digital labour platforms in their jurisdiction, to assist government consideration and decision making on this issue. It is acknowledged that due to the differences in legislative and operating arrangements across jurisdictions, there is no national consensus or preferred mechanism advanced for determining coverage. </w:t>
      </w:r>
      <w:r w:rsidR="00013FCA">
        <w:rPr>
          <w:rFonts w:eastAsia="Calibri" w:cs="Arial"/>
          <w:kern w:val="2"/>
          <w:szCs w:val="22"/>
          <w14:ligatures w14:val="standardContextual"/>
        </w:rPr>
        <w:br w:type="page"/>
      </w:r>
    </w:p>
    <w:p w14:paraId="0EC41978" w14:textId="77777777" w:rsidR="00C95005" w:rsidRPr="00C95005" w:rsidRDefault="00C95005" w:rsidP="00C95005">
      <w:pPr>
        <w:pStyle w:val="ListParagraphbodycopy"/>
        <w:rPr>
          <w:rFonts w:eastAsia="Calibri" w:cs="Arial"/>
          <w:kern w:val="2"/>
          <w:szCs w:val="22"/>
          <w14:ligatures w14:val="standardContextual"/>
        </w:rPr>
      </w:pPr>
      <w:r w:rsidRPr="00C95005">
        <w:rPr>
          <w:rFonts w:eastAsia="Calibri" w:cs="Arial"/>
          <w:kern w:val="2"/>
          <w:szCs w:val="22"/>
          <w14:ligatures w14:val="standardContextual"/>
        </w:rPr>
        <w:lastRenderedPageBreak/>
        <w:t>Broadly 3 different options were considered for extending workers’ compensation coverage to gig workers on digital labour platforms:</w:t>
      </w:r>
    </w:p>
    <w:p w14:paraId="1411C379" w14:textId="4F84E83A" w:rsidR="00C95005" w:rsidRPr="00C95005" w:rsidRDefault="00C95005" w:rsidP="00D4529D">
      <w:pPr>
        <w:pStyle w:val="ListParagraph"/>
        <w:numPr>
          <w:ilvl w:val="0"/>
          <w:numId w:val="10"/>
        </w:numPr>
        <w:spacing w:line="240" w:lineRule="exact"/>
        <w:contextualSpacing w:val="0"/>
        <w:rPr>
          <w:rFonts w:eastAsia="Calibri" w:cs="Arial"/>
          <w:kern w:val="2"/>
          <w:szCs w:val="22"/>
          <w14:ligatures w14:val="standardContextual"/>
        </w:rPr>
      </w:pPr>
      <w:r w:rsidRPr="00C95005">
        <w:rPr>
          <w:rFonts w:eastAsia="Calibri" w:cs="Arial"/>
          <w:kern w:val="2"/>
          <w:szCs w:val="22"/>
          <w14:ligatures w14:val="standardContextual"/>
        </w:rPr>
        <w:t xml:space="preserve">consideration of extending workers’ compensation to digital labour platforms that exert </w:t>
      </w:r>
      <w:r w:rsidRPr="00C95005">
        <w:rPr>
          <w:rFonts w:eastAsia="Calibri" w:cs="Arial"/>
          <w:i/>
          <w:iCs/>
          <w:kern w:val="2"/>
          <w:szCs w:val="22"/>
          <w14:ligatures w14:val="standardContextual"/>
        </w:rPr>
        <w:t>meaningful control</w:t>
      </w:r>
      <w:r w:rsidRPr="00C95005">
        <w:rPr>
          <w:rFonts w:eastAsia="Calibri" w:cs="Arial"/>
          <w:kern w:val="2"/>
          <w:szCs w:val="22"/>
          <w14:ligatures w14:val="standardContextual"/>
        </w:rPr>
        <w:t xml:space="preserve"> over their workers</w:t>
      </w:r>
    </w:p>
    <w:p w14:paraId="0884B940" w14:textId="77777777" w:rsidR="00C95005" w:rsidRPr="00C95005" w:rsidRDefault="00C95005" w:rsidP="00D4529D">
      <w:pPr>
        <w:pStyle w:val="ListParagraph"/>
        <w:numPr>
          <w:ilvl w:val="0"/>
          <w:numId w:val="10"/>
        </w:numPr>
        <w:spacing w:line="240" w:lineRule="exact"/>
        <w:contextualSpacing w:val="0"/>
        <w:rPr>
          <w:rFonts w:eastAsia="Arial" w:cs="Times New Roman"/>
          <w:szCs w:val="22"/>
        </w:rPr>
      </w:pPr>
      <w:r w:rsidRPr="00C95005">
        <w:rPr>
          <w:rFonts w:eastAsia="Arial" w:cs="Times New Roman"/>
          <w:szCs w:val="22"/>
        </w:rPr>
        <w:t xml:space="preserve">consideration of extending workers’ compensation for workers who are determined by the Fair Work Commission as ‘employee-like’ on a case by case basis, or  </w:t>
      </w:r>
    </w:p>
    <w:p w14:paraId="66C379E1" w14:textId="77777777" w:rsidR="00C95005" w:rsidRPr="00C95005" w:rsidRDefault="00C95005" w:rsidP="00D4529D">
      <w:pPr>
        <w:pStyle w:val="ListParagraph"/>
        <w:numPr>
          <w:ilvl w:val="0"/>
          <w:numId w:val="10"/>
        </w:numPr>
        <w:spacing w:line="240" w:lineRule="exact"/>
        <w:contextualSpacing w:val="0"/>
        <w:rPr>
          <w:rFonts w:eastAsia="Arial" w:cs="Times New Roman"/>
          <w:szCs w:val="22"/>
        </w:rPr>
      </w:pPr>
      <w:r w:rsidRPr="00C95005">
        <w:rPr>
          <w:rFonts w:eastAsia="Arial" w:cs="Times New Roman"/>
          <w:szCs w:val="22"/>
        </w:rPr>
        <w:t xml:space="preserve">consideration of a legislative test that provides workers’ compensation coverage to all gig workers unless the </w:t>
      </w:r>
      <w:r w:rsidRPr="00C95005">
        <w:rPr>
          <w:rFonts w:eastAsia="Calibri" w:cs="Arial"/>
          <w:kern w:val="2"/>
          <w:szCs w:val="22"/>
          <w14:ligatures w14:val="standardContextual"/>
        </w:rPr>
        <w:t>platform</w:t>
      </w:r>
      <w:r w:rsidRPr="00C95005">
        <w:rPr>
          <w:rFonts w:eastAsia="Arial" w:cs="Times New Roman"/>
          <w:szCs w:val="22"/>
        </w:rPr>
        <w:t xml:space="preserve"> can prove they do not exert control over the worker. </w:t>
      </w:r>
    </w:p>
    <w:p w14:paraId="74279E54" w14:textId="77777777" w:rsidR="00C95005" w:rsidRPr="00C95005" w:rsidRDefault="00C95005" w:rsidP="00C95005">
      <w:pPr>
        <w:pStyle w:val="ListParagraphbodycopy"/>
        <w:rPr>
          <w:rFonts w:eastAsia="Arial" w:cs="Times New Roman"/>
          <w:szCs w:val="22"/>
        </w:rPr>
      </w:pPr>
      <w:r w:rsidRPr="00C95005">
        <w:rPr>
          <w:rFonts w:eastAsia="Arial" w:cs="Times New Roman"/>
          <w:szCs w:val="22"/>
        </w:rPr>
        <w:t xml:space="preserve">The first policy option proposes a broad range of factors specific to the gig economy to determine whether the totality of the relationship between digital labour platforms and gig workers meets the threshold of ‘meaningful control’ to provide a basis of workers’ </w:t>
      </w:r>
      <w:r w:rsidRPr="00C95005">
        <w:rPr>
          <w:rFonts w:eastAsia="Calibri" w:cs="Arial"/>
          <w:kern w:val="2"/>
          <w:szCs w:val="22"/>
          <w14:ligatures w14:val="standardContextual"/>
        </w:rPr>
        <w:t>compensation</w:t>
      </w:r>
      <w:r w:rsidRPr="00C95005">
        <w:rPr>
          <w:rFonts w:eastAsia="Arial" w:cs="Times New Roman"/>
          <w:szCs w:val="22"/>
        </w:rPr>
        <w:t xml:space="preserve"> coverage. This approach would aim to capture digital labour platforms who engage gig workers in a manner that resembles traditional employment. However, it is noted there may be an inconsistent application of this test between jurisdictions without further guidance on specific factors and ongoing national collaboration (and calibration) concerning the application of a ‘meaningful control’ test. </w:t>
      </w:r>
    </w:p>
    <w:p w14:paraId="493B30FE" w14:textId="005585CB" w:rsidR="00013FCA" w:rsidRPr="00013FCA" w:rsidRDefault="00C95005" w:rsidP="00013FCA">
      <w:pPr>
        <w:pStyle w:val="ListParagraphbodycopy"/>
        <w:rPr>
          <w:rFonts w:eastAsia="Arial" w:cs="Times New Roman"/>
          <w:szCs w:val="22"/>
        </w:rPr>
      </w:pPr>
      <w:r w:rsidRPr="00C95005">
        <w:rPr>
          <w:rFonts w:eastAsia="Arial" w:cs="Times New Roman"/>
          <w:szCs w:val="22"/>
        </w:rPr>
        <w:t xml:space="preserve">The second policy option proposes that schemes consider each Fair Work Commission minimum standards order or guidelines related to ‘employee-like’ workers on a case by case basis to </w:t>
      </w:r>
      <w:r w:rsidRPr="00C95005">
        <w:rPr>
          <w:rFonts w:eastAsia="Calibri" w:cs="Arial"/>
          <w:kern w:val="2"/>
          <w:szCs w:val="22"/>
          <w14:ligatures w14:val="standardContextual"/>
        </w:rPr>
        <w:t>determine</w:t>
      </w:r>
      <w:r w:rsidRPr="00C95005">
        <w:rPr>
          <w:rFonts w:eastAsia="Arial" w:cs="Times New Roman"/>
          <w:szCs w:val="22"/>
        </w:rPr>
        <w:t xml:space="preserve"> whether it would be appropriate to extend workers’ compensation coverage to this cohort, and considering the content of the order or guideline. This approach could facilitate national consideration of extending workers’ compensation to select cohorts of workers on an incremental basis. However, this approach relies on a proactive application to the Fair Work Commission, then a determination by the Commission of whether a class of workers is ‘employee-like’, and then a corresponding order or guidelines.  </w:t>
      </w:r>
    </w:p>
    <w:p w14:paraId="10D59A7F" w14:textId="77777777" w:rsidR="00C95005" w:rsidRPr="00C95005" w:rsidRDefault="00C95005" w:rsidP="00C95005">
      <w:pPr>
        <w:pStyle w:val="ListParagraphbodycopy"/>
        <w:rPr>
          <w:rFonts w:eastAsia="Arial" w:cs="Times New Roman"/>
          <w:szCs w:val="22"/>
        </w:rPr>
      </w:pPr>
      <w:r w:rsidRPr="00C95005">
        <w:rPr>
          <w:rFonts w:eastAsia="Arial" w:cs="Times New Roman"/>
          <w:szCs w:val="22"/>
        </w:rPr>
        <w:t xml:space="preserve">The final policy option proposes a legislative test that assumes coverage for gig workers engaged on digital labour platforms, unless the platform can demonstrate they do not exert control over their workers. This approach would likely result in the broadest coverage of gig </w:t>
      </w:r>
      <w:r w:rsidRPr="00C95005">
        <w:rPr>
          <w:rFonts w:eastAsia="Calibri" w:cs="Arial"/>
          <w:kern w:val="2"/>
          <w:szCs w:val="22"/>
          <w14:ligatures w14:val="standardContextual"/>
        </w:rPr>
        <w:t>workers</w:t>
      </w:r>
      <w:r w:rsidRPr="00C95005">
        <w:rPr>
          <w:rFonts w:eastAsia="Arial" w:cs="Times New Roman"/>
          <w:szCs w:val="22"/>
        </w:rPr>
        <w:t xml:space="preserve"> engaged on digital labour platforms in comparison to the other options proposed and may prove challenging for scheme to implement due to the large unquantified number of gig workers engaged on digital labour platforms. Further, this approach may not be fit for purpose for all schemes and their legislative frameworks.  </w:t>
      </w:r>
    </w:p>
    <w:p w14:paraId="6D94ACA3" w14:textId="77777777" w:rsidR="00C95005" w:rsidRPr="00C95005" w:rsidDel="00207DC5" w:rsidRDefault="00C95005" w:rsidP="00C95005">
      <w:pPr>
        <w:pStyle w:val="ListParagraphbodycopy"/>
        <w:rPr>
          <w:rFonts w:eastAsia="Calibri" w:cs="Arial"/>
          <w:kern w:val="2"/>
          <w:szCs w:val="22"/>
          <w14:ligatures w14:val="standardContextual"/>
        </w:rPr>
      </w:pPr>
      <w:r w:rsidRPr="00C95005">
        <w:rPr>
          <w:rFonts w:eastAsia="Calibri" w:cs="Arial"/>
          <w:kern w:val="2"/>
          <w:szCs w:val="22"/>
          <w14:ligatures w14:val="standardContextual"/>
        </w:rPr>
        <w:t>Regardless of the mechanism, e</w:t>
      </w:r>
      <w:r w:rsidRPr="00C95005" w:rsidDel="00207DC5">
        <w:rPr>
          <w:rFonts w:eastAsia="Calibri" w:cs="Arial"/>
          <w:kern w:val="2"/>
          <w:szCs w:val="22"/>
          <w14:ligatures w14:val="standardContextual"/>
        </w:rPr>
        <w:t xml:space="preserve">xtending workers’ compensation coverage to </w:t>
      </w:r>
      <w:r w:rsidRPr="00C95005">
        <w:rPr>
          <w:rFonts w:eastAsia="Calibri" w:cs="Arial"/>
          <w:kern w:val="2"/>
          <w:szCs w:val="22"/>
          <w14:ligatures w14:val="standardContextual"/>
        </w:rPr>
        <w:t xml:space="preserve">cohorts of </w:t>
      </w:r>
      <w:r w:rsidRPr="00C95005" w:rsidDel="00207DC5">
        <w:rPr>
          <w:rFonts w:eastAsia="Calibri" w:cs="Arial"/>
          <w:kern w:val="2"/>
          <w:szCs w:val="22"/>
          <w14:ligatures w14:val="standardContextual"/>
        </w:rPr>
        <w:t xml:space="preserve">gig workers </w:t>
      </w:r>
      <w:r w:rsidRPr="00C95005">
        <w:rPr>
          <w:rFonts w:eastAsia="Calibri" w:cs="Arial"/>
          <w:kern w:val="2"/>
          <w:szCs w:val="22"/>
          <w14:ligatures w14:val="standardContextual"/>
        </w:rPr>
        <w:t>would protect these workers in the</w:t>
      </w:r>
      <w:r w:rsidRPr="00C95005" w:rsidDel="00207DC5">
        <w:rPr>
          <w:rFonts w:eastAsia="Calibri" w:cs="Arial"/>
          <w:kern w:val="2"/>
          <w:szCs w:val="22"/>
          <w14:ligatures w14:val="standardContextual"/>
        </w:rPr>
        <w:t xml:space="preserve"> event of a work-related injury or illness. Schemes </w:t>
      </w:r>
      <w:r w:rsidRPr="00C95005">
        <w:rPr>
          <w:rFonts w:eastAsia="Calibri" w:cs="Arial"/>
          <w:kern w:val="2"/>
          <w:szCs w:val="22"/>
          <w14:ligatures w14:val="standardContextual"/>
        </w:rPr>
        <w:t>are best placed to determine the</w:t>
      </w:r>
      <w:r w:rsidRPr="00C95005" w:rsidDel="00207DC5">
        <w:rPr>
          <w:rFonts w:eastAsia="Calibri" w:cs="Arial"/>
          <w:kern w:val="2"/>
          <w:szCs w:val="22"/>
          <w14:ligatures w14:val="standardContextual"/>
        </w:rPr>
        <w:t xml:space="preserve"> most appropriate mechanism to extend workers’ compensation coverage to gig workers, including whether the use of </w:t>
      </w:r>
      <w:r w:rsidRPr="00C95005">
        <w:rPr>
          <w:rFonts w:eastAsia="Calibri" w:cs="Arial"/>
          <w:kern w:val="2"/>
          <w:szCs w:val="22"/>
          <w14:ligatures w14:val="standardContextual"/>
        </w:rPr>
        <w:t xml:space="preserve">existing </w:t>
      </w:r>
      <w:r w:rsidRPr="00C95005" w:rsidDel="00207DC5">
        <w:rPr>
          <w:rFonts w:eastAsia="Calibri" w:cs="Arial"/>
          <w:kern w:val="2"/>
          <w:szCs w:val="22"/>
          <w14:ligatures w14:val="standardContextual"/>
        </w:rPr>
        <w:t xml:space="preserve">deeming provisions or </w:t>
      </w:r>
      <w:r w:rsidRPr="00C95005">
        <w:rPr>
          <w:rFonts w:eastAsia="Calibri" w:cs="Arial"/>
          <w:kern w:val="2"/>
          <w:szCs w:val="22"/>
          <w14:ligatures w14:val="standardContextual"/>
        </w:rPr>
        <w:t xml:space="preserve">if broader </w:t>
      </w:r>
      <w:r w:rsidRPr="00C95005" w:rsidDel="00207DC5">
        <w:rPr>
          <w:rFonts w:eastAsia="Calibri" w:cs="Arial"/>
          <w:kern w:val="2"/>
          <w:szCs w:val="22"/>
          <w14:ligatures w14:val="standardContextual"/>
        </w:rPr>
        <w:t xml:space="preserve">legislative reform </w:t>
      </w:r>
      <w:r w:rsidRPr="00C95005">
        <w:rPr>
          <w:rFonts w:eastAsia="Calibri" w:cs="Arial"/>
          <w:kern w:val="2"/>
          <w:szCs w:val="22"/>
          <w14:ligatures w14:val="standardContextual"/>
        </w:rPr>
        <w:t>is required</w:t>
      </w:r>
      <w:r w:rsidRPr="00C95005" w:rsidDel="00207DC5">
        <w:rPr>
          <w:rFonts w:eastAsia="Calibri" w:cs="Arial"/>
          <w:kern w:val="2"/>
          <w:szCs w:val="22"/>
          <w14:ligatures w14:val="standardContextual"/>
        </w:rPr>
        <w:t>.</w:t>
      </w:r>
      <w:r w:rsidRPr="00C95005">
        <w:rPr>
          <w:rFonts w:eastAsia="Calibri" w:cs="Arial"/>
          <w:kern w:val="2"/>
          <w:szCs w:val="22"/>
          <w14:ligatures w14:val="standardContextual"/>
        </w:rPr>
        <w:t xml:space="preserve"> There are also a range of complex policy and operational issues associated with the implementation of these arrangements which may inform the approach taken in each jurisdiction.   </w:t>
      </w:r>
      <w:r w:rsidRPr="00C95005" w:rsidDel="00207DC5">
        <w:rPr>
          <w:rFonts w:eastAsia="Calibri" w:cs="Arial"/>
          <w:kern w:val="2"/>
          <w:szCs w:val="22"/>
          <w14:ligatures w14:val="standardContextual"/>
        </w:rPr>
        <w:t xml:space="preserve"> </w:t>
      </w:r>
    </w:p>
    <w:p w14:paraId="5846A957" w14:textId="32094EE0" w:rsidR="00F35A12" w:rsidRPr="00013FCA" w:rsidRDefault="00F35A12" w:rsidP="00013FCA">
      <w:pPr>
        <w:pStyle w:val="Boxedshaded"/>
        <w:spacing w:before="240" w:after="240"/>
      </w:pPr>
      <w:bookmarkStart w:id="4" w:name="_Toc156999758"/>
      <w:bookmarkEnd w:id="3"/>
      <w:r w:rsidRPr="00013FCA">
        <w:rPr>
          <w:b/>
          <w:bCs/>
        </w:rPr>
        <w:lastRenderedPageBreak/>
        <w:t>Principle 3:</w:t>
      </w:r>
      <w:r w:rsidRPr="00013FCA">
        <w:t xml:space="preserve"> </w:t>
      </w:r>
      <w:r w:rsidR="00013FCA">
        <w:br/>
      </w:r>
      <w:r w:rsidRPr="00013FCA">
        <w:t>Digital labour platforms would be the most appropriate party to meet workers’ compensation employer obligations for gig workers, including premium payments and rehabilitation and return to work obligations.</w:t>
      </w:r>
    </w:p>
    <w:p w14:paraId="22435683" w14:textId="77777777" w:rsidR="00F35A12" w:rsidRPr="00B633A7" w:rsidRDefault="00F35A12" w:rsidP="00F35A12">
      <w:pPr>
        <w:pStyle w:val="ListParagraphbodycopy"/>
        <w:rPr>
          <w:rFonts w:eastAsia="Calibri" w:cs="Arial"/>
          <w:kern w:val="2"/>
          <w:szCs w:val="22"/>
          <w14:ligatures w14:val="standardContextual"/>
        </w:rPr>
      </w:pPr>
      <w:r w:rsidRPr="00B633A7">
        <w:rPr>
          <w:rFonts w:eastAsia="Calibri" w:cs="Arial"/>
          <w:kern w:val="2"/>
          <w:szCs w:val="22"/>
          <w14:ligatures w14:val="standardContextual"/>
        </w:rPr>
        <w:t>Digital labour platforms are the most ‘employer-like’ entity in the relationship between worker, platform and consumer or end user. Platforms have similar attributes to employers as they can exert control over the worker’s access to work, their rate of pay, how the worker performs their work and unilaterally change the terms of the worker’s contract.</w:t>
      </w:r>
      <w:r w:rsidRPr="00B633A7">
        <w:rPr>
          <w:rFonts w:eastAsia="Calibri" w:cs="Arial"/>
          <w:kern w:val="2"/>
          <w:szCs w:val="22"/>
          <w:vertAlign w:val="superscript"/>
          <w14:ligatures w14:val="standardContextual"/>
        </w:rPr>
        <w:footnoteReference w:id="13"/>
      </w:r>
      <w:r w:rsidRPr="00B633A7">
        <w:rPr>
          <w:rFonts w:eastAsia="Calibri" w:cs="Arial"/>
          <w:kern w:val="2"/>
          <w:szCs w:val="22"/>
          <w14:ligatures w14:val="standardContextual"/>
        </w:rPr>
        <w:t xml:space="preserve"> Workers can only access work through the digital labour platform. Platforms facilitate payment between the worker and the consumer or end user. Platforms can generate revenue through various methods, including taking a portion of the income paid by the consumer for the gig </w:t>
      </w:r>
      <w:r w:rsidRPr="00B633A7">
        <w:rPr>
          <w:rFonts w:eastAsia="Arial" w:cs="Arial"/>
          <w:color w:val="000000"/>
          <w:szCs w:val="22"/>
        </w:rPr>
        <w:t>work</w:t>
      </w:r>
      <w:r w:rsidRPr="00B633A7">
        <w:rPr>
          <w:rFonts w:eastAsia="Calibri" w:cs="Arial"/>
          <w:kern w:val="2"/>
          <w:szCs w:val="22"/>
          <w:vertAlign w:val="superscript"/>
          <w14:ligatures w14:val="standardContextual"/>
        </w:rPr>
        <w:footnoteReference w:id="14"/>
      </w:r>
      <w:r w:rsidRPr="00B633A7">
        <w:rPr>
          <w:rFonts w:eastAsia="Calibri" w:cs="Arial"/>
          <w:kern w:val="2"/>
          <w:szCs w:val="22"/>
          <w14:ligatures w14:val="standardContextual"/>
        </w:rPr>
        <w:t xml:space="preserve"> or charging workers and the consumer or end user a membership subscription.</w:t>
      </w:r>
      <w:r w:rsidRPr="00B633A7">
        <w:rPr>
          <w:rFonts w:eastAsia="Calibri" w:cs="Arial"/>
          <w:kern w:val="2"/>
          <w:szCs w:val="22"/>
          <w:vertAlign w:val="superscript"/>
          <w14:ligatures w14:val="standardContextual"/>
        </w:rPr>
        <w:footnoteReference w:id="15"/>
      </w:r>
      <w:r w:rsidRPr="00B633A7">
        <w:rPr>
          <w:rFonts w:eastAsia="Calibri" w:cs="Arial"/>
          <w:kern w:val="2"/>
          <w:szCs w:val="22"/>
          <w14:ligatures w14:val="standardContextual"/>
        </w:rPr>
        <w:t xml:space="preserve"> As such, digital labour platforms are the most appropriate party to be responsible for workers’ compensation employer obligations, including premium payments and rehabilitation and return to work obligations. </w:t>
      </w:r>
    </w:p>
    <w:p w14:paraId="0C5AA49A" w14:textId="77777777" w:rsidR="00F35A12" w:rsidRPr="00B633A7" w:rsidRDefault="00F35A12" w:rsidP="00F35A12">
      <w:pPr>
        <w:pStyle w:val="ListParagraphbodycopy"/>
        <w:rPr>
          <w:rFonts w:eastAsia="Times New Roman" w:cs="Arial"/>
          <w:kern w:val="2"/>
          <w:szCs w:val="22"/>
          <w14:ligatures w14:val="standardContextual"/>
        </w:rPr>
      </w:pPr>
      <w:r w:rsidRPr="00B633A7">
        <w:rPr>
          <w:rFonts w:eastAsia="Calibri" w:cs="Arial"/>
          <w:kern w:val="2"/>
          <w:szCs w:val="22"/>
          <w14:ligatures w14:val="standardContextual"/>
        </w:rPr>
        <w:t xml:space="preserve">The alternatives to requiring platforms fulfil the employer obligations of workers’ compensation include requiring these obligations be fulfilled by the </w:t>
      </w:r>
      <w:r w:rsidRPr="00B633A7">
        <w:rPr>
          <w:rFonts w:eastAsia="Arial" w:cs="Arial"/>
          <w:color w:val="000000"/>
          <w:szCs w:val="22"/>
        </w:rPr>
        <w:t>gig</w:t>
      </w:r>
      <w:r w:rsidRPr="00B633A7">
        <w:rPr>
          <w:rFonts w:eastAsia="Calibri" w:cs="Arial"/>
          <w:kern w:val="2"/>
          <w:szCs w:val="22"/>
          <w14:ligatures w14:val="standardContextual"/>
        </w:rPr>
        <w:t xml:space="preserve"> worker, or the consumer or end user. Neither option is practical. It is </w:t>
      </w:r>
      <w:r w:rsidRPr="00B633A7">
        <w:rPr>
          <w:rFonts w:eastAsia="Times New Roman" w:cs="Arial"/>
          <w:kern w:val="2"/>
          <w:szCs w:val="22"/>
          <w14:ligatures w14:val="standardContextual"/>
        </w:rPr>
        <w:t>well established that gig workers engaged on digital labour platforms are likely to be low income earners.</w:t>
      </w:r>
      <w:r w:rsidRPr="00B633A7">
        <w:rPr>
          <w:rFonts w:eastAsia="Times New Roman" w:cs="Arial"/>
          <w:kern w:val="2"/>
          <w:szCs w:val="22"/>
          <w:vertAlign w:val="superscript"/>
          <w14:ligatures w14:val="standardContextual"/>
        </w:rPr>
        <w:footnoteReference w:id="16"/>
      </w:r>
      <w:r w:rsidRPr="00B633A7">
        <w:rPr>
          <w:rFonts w:eastAsia="Times New Roman" w:cs="Arial"/>
          <w:kern w:val="2"/>
          <w:szCs w:val="22"/>
          <w14:ligatures w14:val="standardContextual"/>
        </w:rPr>
        <w:t xml:space="preserve"> It may not be feasible for those workers to afford their own workers’ compensation policy, leaving them unprotected in the event of a work-related injury or illness. Additionally, similar workers engaged as employees are not required to purchase their own policies to be covered by workers’ compensation or are required to fulfil employer obligations related to rehabilitation and return to work. </w:t>
      </w:r>
    </w:p>
    <w:p w14:paraId="0C696697" w14:textId="77777777" w:rsidR="00F35A12" w:rsidRPr="00B633A7" w:rsidRDefault="00F35A12" w:rsidP="00F35A12">
      <w:pPr>
        <w:pStyle w:val="ListParagraphbodycopy"/>
        <w:rPr>
          <w:rFonts w:eastAsia="Calibri" w:cs="Arial"/>
          <w:kern w:val="2"/>
          <w:szCs w:val="22"/>
          <w14:ligatures w14:val="standardContextual"/>
        </w:rPr>
      </w:pPr>
      <w:r w:rsidRPr="00B633A7">
        <w:rPr>
          <w:rFonts w:eastAsia="Calibri" w:cs="Arial"/>
          <w:kern w:val="2"/>
          <w:szCs w:val="22"/>
          <w14:ligatures w14:val="standardContextual"/>
        </w:rPr>
        <w:t xml:space="preserve">Requiring the consumer or end user to fulfil the workers’ compensation employer obligations would also be unusual. The </w:t>
      </w:r>
      <w:r w:rsidRPr="00B633A7">
        <w:rPr>
          <w:rFonts w:eastAsia="Arial" w:cs="Arial"/>
          <w:color w:val="000000"/>
          <w:szCs w:val="22"/>
        </w:rPr>
        <w:t>relationship</w:t>
      </w:r>
      <w:r w:rsidRPr="00B633A7">
        <w:rPr>
          <w:rFonts w:eastAsia="Calibri" w:cs="Arial"/>
          <w:kern w:val="2"/>
          <w:szCs w:val="22"/>
          <w14:ligatures w14:val="standardContextual"/>
        </w:rPr>
        <w:t xml:space="preserve"> between the gig worker and the consumer or end user, unlike the platform, is often one-off and over a short period. It is inappropriate and impracticable for a consumer or end user to need to take out and maintain a workers’ compensation policy for each occasion they engage a gig worker’s services via the platform. It is acknowledged some consumers or end users may also request the services of a worker over a longer period (e.g., weekly sustained care). However, due to the other factors set out above relating to facilitation of payments and the ability to monitor and control how and when the worker performs their work across a platform, beyond just a single client, it is still on balance more appropriate for the digital platform to retain employer obligations rather than the consumer or end user.  </w:t>
      </w:r>
    </w:p>
    <w:p w14:paraId="0CEE8F67" w14:textId="60CF2AB8" w:rsidR="00A35F86" w:rsidRPr="00013FCA" w:rsidRDefault="00A35F86" w:rsidP="00013FCA">
      <w:pPr>
        <w:pStyle w:val="Boxedshaded"/>
        <w:spacing w:after="240"/>
      </w:pPr>
      <w:r w:rsidRPr="00013FCA">
        <w:rPr>
          <w:b/>
          <w:bCs/>
        </w:rPr>
        <w:lastRenderedPageBreak/>
        <w:t>Principle 4:</w:t>
      </w:r>
      <w:r w:rsidRPr="00013FCA">
        <w:t xml:space="preserve"> </w:t>
      </w:r>
      <w:r w:rsidR="00013FCA">
        <w:br/>
      </w:r>
      <w:r w:rsidRPr="00013FCA">
        <w:t>Workers’ compensation authorities should consider the unique aspects of gig work when extending workers’ compensation obligations to digital labour platforms.</w:t>
      </w:r>
    </w:p>
    <w:p w14:paraId="0742DFDF" w14:textId="77777777" w:rsidR="003F2CF8" w:rsidRPr="003F2CF8" w:rsidRDefault="003F2CF8" w:rsidP="003F2CF8">
      <w:pPr>
        <w:pStyle w:val="ListParagraphbodycopy"/>
        <w:rPr>
          <w:rFonts w:eastAsia="Calibri" w:cs="Arial"/>
          <w:kern w:val="2"/>
          <w:szCs w:val="22"/>
          <w14:ligatures w14:val="standardContextual"/>
        </w:rPr>
      </w:pPr>
      <w:r w:rsidRPr="003F2CF8">
        <w:rPr>
          <w:rFonts w:eastAsia="Calibri" w:cs="Arial"/>
          <w:kern w:val="2"/>
          <w:szCs w:val="22"/>
          <w14:ligatures w14:val="standardContextual"/>
        </w:rPr>
        <w:t xml:space="preserve">Schemes must determine if existing workers’ compensation arrangements can be adapted to fit </w:t>
      </w:r>
      <w:r w:rsidRPr="003F2CF8">
        <w:rPr>
          <w:rFonts w:eastAsia="Times New Roman" w:cs="Arial"/>
          <w:kern w:val="2"/>
          <w:szCs w:val="22"/>
          <w14:ligatures w14:val="standardContextual"/>
        </w:rPr>
        <w:t>the</w:t>
      </w:r>
      <w:r w:rsidRPr="003F2CF8">
        <w:rPr>
          <w:rFonts w:eastAsia="Calibri" w:cs="Arial"/>
          <w:kern w:val="2"/>
          <w:szCs w:val="22"/>
          <w14:ligatures w14:val="standardContextual"/>
        </w:rPr>
        <w:t xml:space="preserve"> circumstances of the gig worker and digital labour platforms or if new arrangements will need to be created to provide equitable (so far as reasonably practicable) workers’ compensation entitlements to these workers. </w:t>
      </w:r>
    </w:p>
    <w:p w14:paraId="2B931547" w14:textId="77777777" w:rsidR="003F2CF8" w:rsidRPr="003F2CF8" w:rsidRDefault="003F2CF8" w:rsidP="003F2CF8">
      <w:pPr>
        <w:pStyle w:val="ListParagraphbodycopy"/>
        <w:rPr>
          <w:rFonts w:eastAsia="Calibri" w:cs="Arial"/>
          <w:kern w:val="2"/>
          <w:szCs w:val="22"/>
          <w14:ligatures w14:val="standardContextual"/>
        </w:rPr>
      </w:pPr>
      <w:r w:rsidRPr="003F2CF8">
        <w:rPr>
          <w:rFonts w:eastAsia="Calibri" w:cs="Arial"/>
          <w:kern w:val="2"/>
          <w:szCs w:val="22"/>
          <w14:ligatures w14:val="standardContextual"/>
        </w:rPr>
        <w:t xml:space="preserve">Where </w:t>
      </w:r>
      <w:r w:rsidRPr="003F2CF8">
        <w:rPr>
          <w:rFonts w:eastAsia="Times New Roman" w:cs="Arial"/>
          <w:kern w:val="2"/>
          <w:szCs w:val="22"/>
          <w14:ligatures w14:val="standardContextual"/>
        </w:rPr>
        <w:t>possible</w:t>
      </w:r>
      <w:r w:rsidRPr="003F2CF8">
        <w:rPr>
          <w:rFonts w:eastAsia="Calibri" w:cs="Arial"/>
          <w:kern w:val="2"/>
          <w:szCs w:val="22"/>
          <w14:ligatures w14:val="standardContextual"/>
        </w:rPr>
        <w:t xml:space="preserve">, gig workers engaged on digital labour platforms should start from the basis of having the same benefits and protections as other workers covered for workers’ compensation. However, digital labour platform work (and workers’ status as contractors) has unique characteristics that may need to be considered by workers’ compensation authorities. These characteristics include the gig worker’s ability to work for multiple </w:t>
      </w:r>
      <w:r w:rsidRPr="003F2CF8">
        <w:rPr>
          <w:rFonts w:eastAsia="Arial" w:cs="Arial"/>
          <w:color w:val="000000"/>
          <w:szCs w:val="22"/>
        </w:rPr>
        <w:t>platforms</w:t>
      </w:r>
      <w:r w:rsidRPr="003F2CF8">
        <w:rPr>
          <w:rFonts w:eastAsia="Calibri" w:cs="Arial"/>
          <w:kern w:val="2"/>
          <w:szCs w:val="22"/>
          <w14:ligatures w14:val="standardContextual"/>
        </w:rPr>
        <w:t xml:space="preserve"> and to decide whether they work on an irregular, intermittent or full-time basis on a platform or across platforms. If schemes are unable to provide gig workers engaged on digital labour platform with the same benefits and protections as other workers due to these characteristics, schemes may need to develop bespoke arrangements for gig workers. </w:t>
      </w:r>
    </w:p>
    <w:p w14:paraId="44A3FF2A" w14:textId="77777777" w:rsidR="003F2CF8" w:rsidRPr="003F2CF8" w:rsidRDefault="003F2CF8" w:rsidP="003F2CF8">
      <w:pPr>
        <w:pStyle w:val="ListParagraphbodycopy"/>
        <w:rPr>
          <w:rFonts w:eastAsia="Calibri" w:cs="Arial"/>
          <w:kern w:val="2"/>
          <w:szCs w:val="22"/>
          <w14:ligatures w14:val="standardContextual"/>
        </w:rPr>
      </w:pPr>
      <w:r w:rsidRPr="003F2CF8">
        <w:rPr>
          <w:rFonts w:eastAsia="Calibri" w:cs="Arial"/>
          <w:kern w:val="2"/>
          <w:szCs w:val="22"/>
          <w14:ligatures w14:val="standardContextual"/>
        </w:rPr>
        <w:t xml:space="preserve">There are also technological and operational elements of digital labour platforms that workers’ </w:t>
      </w:r>
      <w:r w:rsidRPr="003F2CF8">
        <w:rPr>
          <w:rFonts w:eastAsia="Times New Roman" w:cs="Arial"/>
          <w:kern w:val="2"/>
          <w:szCs w:val="22"/>
          <w14:ligatures w14:val="standardContextual"/>
        </w:rPr>
        <w:t>compensation</w:t>
      </w:r>
      <w:r w:rsidRPr="003F2CF8">
        <w:rPr>
          <w:rFonts w:eastAsia="Calibri" w:cs="Arial"/>
          <w:kern w:val="2"/>
          <w:szCs w:val="22"/>
          <w14:ligatures w14:val="standardContextual"/>
        </w:rPr>
        <w:t xml:space="preserve"> legislation was not drafted to anticipate. The introduction of the digital </w:t>
      </w:r>
      <w:r w:rsidRPr="003F2CF8">
        <w:rPr>
          <w:rFonts w:eastAsia="Arial" w:cs="Arial"/>
          <w:color w:val="000000"/>
          <w:szCs w:val="22"/>
        </w:rPr>
        <w:t>intermediary</w:t>
      </w:r>
      <w:r w:rsidRPr="003F2CF8">
        <w:rPr>
          <w:rFonts w:eastAsia="Calibri" w:cs="Arial"/>
          <w:kern w:val="2"/>
          <w:szCs w:val="22"/>
          <w14:ligatures w14:val="standardContextual"/>
        </w:rPr>
        <w:t xml:space="preserve"> and its relationships with the worker and consumer or end user may complicate the application of existing workers’ compensation legislation and operational arrangements to gig work.</w:t>
      </w:r>
      <w:r w:rsidRPr="003F2CF8">
        <w:rPr>
          <w:rFonts w:eastAsia="Calibri" w:cs="Arial"/>
          <w:kern w:val="2"/>
          <w:szCs w:val="22"/>
          <w:vertAlign w:val="superscript"/>
          <w14:ligatures w14:val="standardContextual"/>
        </w:rPr>
        <w:footnoteReference w:id="17"/>
      </w:r>
      <w:r w:rsidRPr="003F2CF8">
        <w:rPr>
          <w:rFonts w:eastAsia="Calibri" w:cs="Arial"/>
          <w:kern w:val="2"/>
          <w:szCs w:val="22"/>
          <w14:ligatures w14:val="standardContextual"/>
        </w:rPr>
        <w:t xml:space="preserve"> Workers’ compensation authorities may need to consider the following features:</w:t>
      </w:r>
    </w:p>
    <w:p w14:paraId="6280B4D7" w14:textId="77777777" w:rsidR="003F2CF8" w:rsidRPr="003F2CF8" w:rsidRDefault="003F2CF8" w:rsidP="00D4529D">
      <w:pPr>
        <w:pStyle w:val="ListParagraph"/>
        <w:numPr>
          <w:ilvl w:val="0"/>
          <w:numId w:val="11"/>
        </w:numPr>
        <w:spacing w:line="240" w:lineRule="exact"/>
        <w:contextualSpacing w:val="0"/>
        <w:rPr>
          <w:rFonts w:eastAsia="Calibri" w:cs="Arial"/>
          <w:kern w:val="2"/>
          <w:szCs w:val="22"/>
          <w14:ligatures w14:val="standardContextual"/>
        </w:rPr>
      </w:pPr>
      <w:r w:rsidRPr="003F2CF8">
        <w:rPr>
          <w:rFonts w:eastAsia="Calibri" w:cs="Arial"/>
          <w:kern w:val="2"/>
          <w:szCs w:val="22"/>
          <w14:ligatures w14:val="standardContextual"/>
        </w:rPr>
        <w:t>how to determine liability when a worker is injured while simultaneously working for more than one platform</w:t>
      </w:r>
    </w:p>
    <w:p w14:paraId="7EA679FD" w14:textId="77777777" w:rsidR="003F2CF8" w:rsidRPr="003F2CF8" w:rsidRDefault="003F2CF8" w:rsidP="00D4529D">
      <w:pPr>
        <w:pStyle w:val="ListParagraph"/>
        <w:numPr>
          <w:ilvl w:val="0"/>
          <w:numId w:val="11"/>
        </w:numPr>
        <w:spacing w:line="240" w:lineRule="exact"/>
        <w:contextualSpacing w:val="0"/>
        <w:rPr>
          <w:rFonts w:eastAsia="Calibri" w:cs="Arial"/>
          <w:kern w:val="2"/>
          <w:szCs w:val="22"/>
          <w14:ligatures w14:val="standardContextual"/>
        </w:rPr>
      </w:pPr>
      <w:r w:rsidRPr="003F2CF8">
        <w:rPr>
          <w:rFonts w:eastAsia="Calibri" w:cs="Arial"/>
          <w:kern w:val="2"/>
          <w:szCs w:val="22"/>
          <w14:ligatures w14:val="standardContextual"/>
        </w:rPr>
        <w:t xml:space="preserve">when </w:t>
      </w:r>
      <w:r w:rsidRPr="003F2CF8">
        <w:rPr>
          <w:rFonts w:eastAsia="Arial" w:cs="Times New Roman"/>
          <w:szCs w:val="22"/>
        </w:rPr>
        <w:t>are</w:t>
      </w:r>
      <w:r w:rsidRPr="003F2CF8">
        <w:rPr>
          <w:rFonts w:eastAsia="Calibri" w:cs="Arial"/>
          <w:kern w:val="2"/>
          <w:szCs w:val="22"/>
          <w14:ligatures w14:val="standardContextual"/>
        </w:rPr>
        <w:t xml:space="preserve"> gig workers ‘working’ for the purposes of workers’ compensation, and </w:t>
      </w:r>
    </w:p>
    <w:p w14:paraId="53A2CF9A" w14:textId="77777777" w:rsidR="003F2CF8" w:rsidRPr="003F2CF8" w:rsidRDefault="003F2CF8" w:rsidP="00D4529D">
      <w:pPr>
        <w:pStyle w:val="ListParagraph"/>
        <w:numPr>
          <w:ilvl w:val="0"/>
          <w:numId w:val="11"/>
        </w:numPr>
        <w:spacing w:line="240" w:lineRule="exact"/>
        <w:contextualSpacing w:val="0"/>
        <w:rPr>
          <w:rFonts w:eastAsia="Calibri" w:cs="Arial"/>
          <w:kern w:val="2"/>
          <w:szCs w:val="22"/>
          <w14:ligatures w14:val="standardContextual"/>
        </w:rPr>
      </w:pPr>
      <w:r w:rsidRPr="003F2CF8">
        <w:rPr>
          <w:rFonts w:eastAsia="Arial" w:cs="Times New Roman"/>
          <w:szCs w:val="22"/>
        </w:rPr>
        <w:t>determining</w:t>
      </w:r>
      <w:r w:rsidRPr="003F2CF8">
        <w:rPr>
          <w:rFonts w:eastAsia="Calibri" w:cs="Arial"/>
          <w:kern w:val="2"/>
          <w:szCs w:val="22"/>
          <w14:ligatures w14:val="standardContextual"/>
        </w:rPr>
        <w:t xml:space="preserve"> the pattern of work when calculating average weekly earnings for injured gig workers when gig work can be undertaken on an irregular or intermittent basis.</w:t>
      </w:r>
      <w:r w:rsidRPr="003F2CF8">
        <w:rPr>
          <w:rFonts w:eastAsia="Arial" w:cs="Times New Roman"/>
          <w:color w:val="404040"/>
          <w:sz w:val="20"/>
          <w:szCs w:val="20"/>
          <w:vertAlign w:val="superscript"/>
        </w:rPr>
        <w:footnoteReference w:id="18"/>
      </w:r>
    </w:p>
    <w:p w14:paraId="280327FB" w14:textId="01FA6607" w:rsidR="00013FCA" w:rsidRDefault="003F2CF8" w:rsidP="003F2CF8">
      <w:pPr>
        <w:pStyle w:val="ListParagraphbodycopy"/>
        <w:rPr>
          <w:rFonts w:eastAsia="Calibri" w:cs="Arial"/>
          <w:kern w:val="2"/>
          <w:szCs w:val="22"/>
          <w14:ligatures w14:val="standardContextual"/>
        </w:rPr>
      </w:pPr>
      <w:r w:rsidRPr="003F2CF8">
        <w:rPr>
          <w:rFonts w:eastAsia="Calibri" w:cs="Arial"/>
          <w:kern w:val="2"/>
          <w:szCs w:val="22"/>
          <w14:ligatures w14:val="standardContextual"/>
        </w:rPr>
        <w:t xml:space="preserve">A digital labour platform’s operating model may influence how workers’ compensation is applied. Vertical, horizontal and hybrid platforms operate differently and aspects of workers’ </w:t>
      </w:r>
      <w:r w:rsidRPr="003F2CF8">
        <w:rPr>
          <w:rFonts w:eastAsia="Arial" w:cs="Arial"/>
          <w:color w:val="000000"/>
          <w:szCs w:val="22"/>
        </w:rPr>
        <w:t>compensation</w:t>
      </w:r>
      <w:r w:rsidRPr="003F2CF8">
        <w:rPr>
          <w:rFonts w:eastAsia="Calibri" w:cs="Arial"/>
          <w:kern w:val="2"/>
          <w:szCs w:val="22"/>
          <w14:ligatures w14:val="standardContextual"/>
        </w:rPr>
        <w:t xml:space="preserve"> may need to be altered to suit the different models. Generally, there are a broader variety of tasks that can be performed on horizontal or hybrid platforms in comparison to vertical platforms, such as care work. This may mean it is easier to design a </w:t>
      </w:r>
      <w:proofErr w:type="gramStart"/>
      <w:r w:rsidRPr="003F2CF8">
        <w:rPr>
          <w:rFonts w:eastAsia="Calibri" w:cs="Arial"/>
          <w:kern w:val="2"/>
          <w:szCs w:val="22"/>
          <w14:ligatures w14:val="standardContextual"/>
        </w:rPr>
        <w:t>return to work</w:t>
      </w:r>
      <w:proofErr w:type="gramEnd"/>
      <w:r w:rsidRPr="003F2CF8">
        <w:rPr>
          <w:rFonts w:eastAsia="Calibri" w:cs="Arial"/>
          <w:kern w:val="2"/>
          <w:szCs w:val="22"/>
          <w14:ligatures w14:val="standardContextual"/>
        </w:rPr>
        <w:t xml:space="preserve"> plan and develop suitable or alternate duties for workers injured on those platforms in comparison to workers on vertical platforms undertaking very short term and specific gigs. </w:t>
      </w:r>
    </w:p>
    <w:p w14:paraId="7E28D5CF" w14:textId="77777777" w:rsidR="00013FCA" w:rsidRDefault="00013FCA">
      <w:pPr>
        <w:spacing w:after="200" w:line="276" w:lineRule="auto"/>
        <w:contextualSpacing w:val="0"/>
        <w:rPr>
          <w:rFonts w:eastAsia="Calibri" w:cs="Arial"/>
          <w:kern w:val="2"/>
          <w:szCs w:val="22"/>
          <w14:ligatures w14:val="standardContextual"/>
        </w:rPr>
      </w:pPr>
      <w:r>
        <w:rPr>
          <w:rFonts w:eastAsia="Calibri" w:cs="Arial"/>
          <w:kern w:val="2"/>
          <w:szCs w:val="22"/>
          <w14:ligatures w14:val="standardContextual"/>
        </w:rPr>
        <w:br w:type="page"/>
      </w:r>
    </w:p>
    <w:p w14:paraId="1C218447" w14:textId="77777777" w:rsidR="003F2CF8" w:rsidRPr="003F2CF8" w:rsidRDefault="003F2CF8" w:rsidP="003F2CF8">
      <w:pPr>
        <w:pStyle w:val="ListParagraphbodycopy"/>
        <w:rPr>
          <w:rFonts w:eastAsia="Calibri" w:cs="Arial"/>
          <w:kern w:val="2"/>
          <w:szCs w:val="22"/>
          <w14:ligatures w14:val="standardContextual"/>
        </w:rPr>
      </w:pPr>
      <w:r w:rsidRPr="003F2CF8">
        <w:rPr>
          <w:rFonts w:eastAsia="Calibri" w:cs="Arial"/>
          <w:kern w:val="2"/>
          <w:szCs w:val="22"/>
          <w14:ligatures w14:val="standardContextual"/>
        </w:rPr>
        <w:lastRenderedPageBreak/>
        <w:t xml:space="preserve">Digital labour platforms may also use algorithms to assist in managing workers. This may make it difficult to apply traditional workers’ compensation processes such as those relating to the </w:t>
      </w:r>
      <w:r w:rsidRPr="003F2CF8">
        <w:rPr>
          <w:rFonts w:eastAsia="Times New Roman" w:cs="Arial"/>
          <w:kern w:val="2"/>
          <w:szCs w:val="22"/>
          <w14:ligatures w14:val="standardContextual"/>
        </w:rPr>
        <w:t>rehabilitation</w:t>
      </w:r>
      <w:r w:rsidRPr="003F2CF8">
        <w:rPr>
          <w:rFonts w:eastAsia="Calibri" w:cs="Arial"/>
          <w:kern w:val="2"/>
          <w:szCs w:val="22"/>
          <w14:ligatures w14:val="standardContextual"/>
        </w:rPr>
        <w:t xml:space="preserve"> and return to work process, as there is no human supervisor </w:t>
      </w:r>
      <w:r w:rsidRPr="003F2CF8">
        <w:rPr>
          <w:rFonts w:eastAsia="Arial" w:cs="Arial"/>
          <w:color w:val="000000"/>
          <w:szCs w:val="22"/>
        </w:rPr>
        <w:t>for</w:t>
      </w:r>
      <w:r w:rsidRPr="003F2CF8">
        <w:rPr>
          <w:rFonts w:eastAsia="Calibri" w:cs="Arial"/>
          <w:kern w:val="2"/>
          <w:szCs w:val="22"/>
          <w14:ligatures w14:val="standardContextual"/>
        </w:rPr>
        <w:t xml:space="preserve"> gig workers to discuss how to manage their injury and adjust their work duties to suit their return to work.  </w:t>
      </w:r>
    </w:p>
    <w:p w14:paraId="21D1535E" w14:textId="12821708" w:rsidR="00013FCA" w:rsidRDefault="003F2CF8" w:rsidP="00C31F44">
      <w:pPr>
        <w:pStyle w:val="ListParagraphbodycopy"/>
        <w:rPr>
          <w:rFonts w:eastAsia="Calibri" w:cs="Arial"/>
          <w:kern w:val="2"/>
          <w:szCs w:val="22"/>
          <w14:ligatures w14:val="standardContextual"/>
        </w:rPr>
      </w:pPr>
      <w:r w:rsidRPr="003F2CF8">
        <w:rPr>
          <w:rFonts w:eastAsia="Calibri" w:cs="Arial"/>
          <w:kern w:val="2"/>
          <w:szCs w:val="22"/>
          <w14:ligatures w14:val="standardContextual"/>
        </w:rPr>
        <w:t xml:space="preserve">Implementing workers’ compensation arrangements for gig workers engaged on digital labour platform is a complex policy and operational issue. Schemes may consider undertaking further work to assess how they can best respond to the issues and challenges created by extending workers’ compensation to these unique work arrangements. This work is best undertaken after schemes determine the appropriate mechanism for extending workers’ compensation coverage in their scheme, as this will impact the class of workers covered and the specific implementation issues that arise. </w:t>
      </w:r>
    </w:p>
    <w:p w14:paraId="051EF682" w14:textId="28655384" w:rsidR="008D6C3B" w:rsidRPr="00013FCA" w:rsidRDefault="008D6C3B" w:rsidP="00013FCA">
      <w:pPr>
        <w:pStyle w:val="Boxedshaded"/>
        <w:spacing w:before="240" w:after="240"/>
      </w:pPr>
      <w:r w:rsidRPr="00013FCA">
        <w:rPr>
          <w:b/>
          <w:bCs/>
        </w:rPr>
        <w:t>Principle 5:</w:t>
      </w:r>
      <w:r w:rsidRPr="00013FCA">
        <w:t xml:space="preserve"> </w:t>
      </w:r>
      <w:r w:rsidR="00013FCA">
        <w:br/>
      </w:r>
      <w:r w:rsidRPr="00013FCA">
        <w:t>Where possible, workers’ compensation arrangements for gig workers engaged on digital labour platforms should be nationally consistent to provide clarity and equity for workers and platforms.</w:t>
      </w:r>
    </w:p>
    <w:p w14:paraId="1CD7DD83" w14:textId="77777777" w:rsidR="000E4198" w:rsidRPr="00B633A7" w:rsidRDefault="000E4198" w:rsidP="000E4198">
      <w:pPr>
        <w:pStyle w:val="ListParagraphbodycopy"/>
        <w:rPr>
          <w:rFonts w:eastAsia="Calibri" w:cs="Arial"/>
          <w:kern w:val="2"/>
          <w:szCs w:val="22"/>
          <w14:ligatures w14:val="standardContextual"/>
        </w:rPr>
      </w:pPr>
      <w:r w:rsidRPr="00B633A7">
        <w:rPr>
          <w:rFonts w:eastAsia="Calibri" w:cs="Arial"/>
          <w:kern w:val="2"/>
          <w:szCs w:val="22"/>
          <w14:ligatures w14:val="standardContextual"/>
        </w:rPr>
        <w:t>Various federal and state inquiries</w:t>
      </w:r>
      <w:r w:rsidRPr="00B633A7">
        <w:rPr>
          <w:rFonts w:eastAsia="Calibri" w:cs="Arial"/>
          <w:kern w:val="2"/>
          <w:szCs w:val="22"/>
          <w:vertAlign w:val="superscript"/>
          <w14:ligatures w14:val="standardContextual"/>
        </w:rPr>
        <w:footnoteReference w:id="19"/>
      </w:r>
      <w:r w:rsidRPr="00B633A7">
        <w:rPr>
          <w:rFonts w:eastAsia="Calibri" w:cs="Arial"/>
          <w:kern w:val="2"/>
          <w:szCs w:val="22"/>
          <w14:ligatures w14:val="standardContextual"/>
        </w:rPr>
        <w:t xml:space="preserve"> have recommended action </w:t>
      </w:r>
      <w:r>
        <w:rPr>
          <w:rFonts w:eastAsia="Calibri" w:cs="Arial"/>
          <w:kern w:val="2"/>
          <w:szCs w:val="22"/>
          <w14:ligatures w14:val="standardContextual"/>
        </w:rPr>
        <w:t>to address the lack of workers’ compensation coverage for gig workers engaged on digital labour platforms. This issue</w:t>
      </w:r>
      <w:r w:rsidRPr="00B633A7">
        <w:rPr>
          <w:rFonts w:eastAsia="Calibri" w:cs="Arial"/>
          <w:kern w:val="2"/>
          <w:szCs w:val="22"/>
          <w14:ligatures w14:val="standardContextual"/>
        </w:rPr>
        <w:t xml:space="preserve"> has been recognised in some jurisdictions. For example, both Western Australia</w:t>
      </w:r>
      <w:r w:rsidRPr="00B633A7">
        <w:rPr>
          <w:rFonts w:eastAsia="Calibri" w:cs="Arial"/>
          <w:kern w:val="2"/>
          <w:szCs w:val="22"/>
          <w:vertAlign w:val="superscript"/>
          <w14:ligatures w14:val="standardContextual"/>
        </w:rPr>
        <w:footnoteReference w:id="20"/>
      </w:r>
      <w:r w:rsidRPr="00B633A7">
        <w:rPr>
          <w:rFonts w:eastAsia="Calibri" w:cs="Arial"/>
          <w:kern w:val="2"/>
          <w:szCs w:val="22"/>
          <w14:ligatures w14:val="standardContextual"/>
        </w:rPr>
        <w:t xml:space="preserve"> and Queensland</w:t>
      </w:r>
      <w:r w:rsidRPr="00B633A7">
        <w:rPr>
          <w:rFonts w:eastAsia="Calibri" w:cs="Arial"/>
          <w:kern w:val="2"/>
          <w:szCs w:val="22"/>
          <w:vertAlign w:val="superscript"/>
          <w14:ligatures w14:val="standardContextual"/>
        </w:rPr>
        <w:footnoteReference w:id="21"/>
      </w:r>
      <w:r w:rsidRPr="00B633A7">
        <w:rPr>
          <w:rFonts w:eastAsia="Calibri" w:cs="Arial"/>
          <w:kern w:val="2"/>
          <w:szCs w:val="22"/>
          <w14:ligatures w14:val="standardContextual"/>
        </w:rPr>
        <w:t xml:space="preserve"> have amended their workers’ </w:t>
      </w:r>
      <w:r w:rsidRPr="00B633A7">
        <w:rPr>
          <w:rFonts w:eastAsia="Arial" w:cs="Arial"/>
          <w:color w:val="000000"/>
          <w:szCs w:val="22"/>
        </w:rPr>
        <w:t>compensation</w:t>
      </w:r>
      <w:r w:rsidRPr="00B633A7">
        <w:rPr>
          <w:rFonts w:eastAsia="Calibri" w:cs="Arial"/>
          <w:kern w:val="2"/>
          <w:szCs w:val="22"/>
          <w14:ligatures w14:val="standardContextual"/>
        </w:rPr>
        <w:t xml:space="preserve"> legislation to enable the coverage of some gig workers</w:t>
      </w:r>
      <w:r>
        <w:rPr>
          <w:rFonts w:eastAsia="Calibri" w:cs="Arial"/>
          <w:kern w:val="2"/>
          <w:szCs w:val="22"/>
          <w14:ligatures w14:val="standardContextual"/>
        </w:rPr>
        <w:t xml:space="preserve">  and t</w:t>
      </w:r>
      <w:r w:rsidRPr="00B633A7">
        <w:rPr>
          <w:rFonts w:eastAsia="Calibri" w:cs="Arial"/>
          <w:kern w:val="2"/>
          <w:szCs w:val="22"/>
          <w14:ligatures w14:val="standardContextual"/>
        </w:rPr>
        <w:t xml:space="preserve">he New South Wales </w:t>
      </w:r>
      <w:r>
        <w:rPr>
          <w:rFonts w:eastAsia="Calibri" w:cs="Arial"/>
          <w:kern w:val="2"/>
          <w:szCs w:val="22"/>
          <w14:ligatures w14:val="standardContextual"/>
        </w:rPr>
        <w:t xml:space="preserve">Government’s election commitment to introduce </w:t>
      </w:r>
      <w:r w:rsidRPr="00F51437">
        <w:rPr>
          <w:rFonts w:eastAsia="Calibri" w:cs="Arial"/>
          <w:kern w:val="2"/>
          <w:szCs w:val="22"/>
          <w14:ligatures w14:val="standardContextual"/>
        </w:rPr>
        <w:t>a scheme that provides workers</w:t>
      </w:r>
      <w:r>
        <w:rPr>
          <w:rFonts w:eastAsia="Calibri" w:cs="Arial"/>
          <w:kern w:val="2"/>
          <w:szCs w:val="22"/>
          <w14:ligatures w14:val="standardContextual"/>
        </w:rPr>
        <w:t>’</w:t>
      </w:r>
      <w:r w:rsidRPr="00F51437">
        <w:rPr>
          <w:rFonts w:eastAsia="Calibri" w:cs="Arial"/>
          <w:kern w:val="2"/>
          <w:szCs w:val="22"/>
          <w14:ligatures w14:val="standardContextual"/>
        </w:rPr>
        <w:t xml:space="preserve"> compensation benefits to gig platform workers akin to those currently provided to employees injured in New South Wales workplaces</w:t>
      </w:r>
      <w:r w:rsidRPr="00B633A7">
        <w:rPr>
          <w:rFonts w:eastAsia="Calibri" w:cs="Arial"/>
          <w:kern w:val="2"/>
          <w:szCs w:val="22"/>
          <w14:ligatures w14:val="standardContextual"/>
        </w:rPr>
        <w:t>.</w:t>
      </w:r>
      <w:r w:rsidRPr="00B633A7">
        <w:rPr>
          <w:rFonts w:eastAsia="Calibri" w:cs="Arial"/>
          <w:kern w:val="2"/>
          <w:szCs w:val="22"/>
          <w:vertAlign w:val="superscript"/>
          <w14:ligatures w14:val="standardContextual"/>
        </w:rPr>
        <w:footnoteReference w:id="22"/>
      </w:r>
    </w:p>
    <w:p w14:paraId="2059AC28" w14:textId="77777777" w:rsidR="000E4198" w:rsidRPr="00B633A7" w:rsidRDefault="000E4198" w:rsidP="000E4198">
      <w:pPr>
        <w:pStyle w:val="ListParagraphbodycopy"/>
        <w:rPr>
          <w:rFonts w:eastAsia="Calibri" w:cs="Arial"/>
          <w:kern w:val="2"/>
          <w:szCs w:val="22"/>
          <w14:ligatures w14:val="standardContextual"/>
        </w:rPr>
      </w:pPr>
      <w:r>
        <w:rPr>
          <w:rFonts w:eastAsia="Calibri" w:cs="Arial"/>
          <w:kern w:val="2"/>
          <w:szCs w:val="22"/>
          <w14:ligatures w14:val="standardContextual"/>
        </w:rPr>
        <w:t xml:space="preserve">Aiming for </w:t>
      </w:r>
      <w:r w:rsidRPr="00B633A7">
        <w:rPr>
          <w:rFonts w:eastAsia="Calibri" w:cs="Arial"/>
          <w:kern w:val="2"/>
          <w:szCs w:val="22"/>
          <w14:ligatures w14:val="standardContextual"/>
        </w:rPr>
        <w:t>national consistency, where possible, improves outcomes for schemes, gig workers and digital labour platforms.</w:t>
      </w:r>
      <w:r w:rsidRPr="00B633A7">
        <w:rPr>
          <w:rFonts w:eastAsia="Calibri" w:cs="Arial"/>
          <w:kern w:val="2"/>
          <w:szCs w:val="22"/>
          <w:vertAlign w:val="superscript"/>
          <w14:ligatures w14:val="standardContextual"/>
        </w:rPr>
        <w:footnoteReference w:id="23"/>
      </w:r>
      <w:r w:rsidRPr="00B633A7">
        <w:rPr>
          <w:rFonts w:eastAsia="Calibri" w:cs="Arial"/>
          <w:kern w:val="2"/>
          <w:szCs w:val="22"/>
          <w14:ligatures w14:val="standardContextual"/>
        </w:rPr>
        <w:t xml:space="preserve"> This approach reduces duplication of work between schemes and helps schemes develop shared solutions. As platforms operate nationally across Australia, gig workers should not be </w:t>
      </w:r>
      <w:r w:rsidRPr="00B633A7">
        <w:rPr>
          <w:rFonts w:eastAsia="Arial" w:cs="Arial"/>
          <w:color w:val="000000"/>
          <w:szCs w:val="22"/>
        </w:rPr>
        <w:t>disadvantaged</w:t>
      </w:r>
      <w:r w:rsidRPr="00B633A7">
        <w:rPr>
          <w:rFonts w:eastAsia="Calibri" w:cs="Arial"/>
          <w:kern w:val="2"/>
          <w:szCs w:val="22"/>
          <w14:ligatures w14:val="standardContextual"/>
        </w:rPr>
        <w:t xml:space="preserve"> based on their location, or if they choose to move between jurisdictions.</w:t>
      </w:r>
      <w:r w:rsidRPr="00B633A7">
        <w:rPr>
          <w:rFonts w:eastAsia="Calibri" w:cs="Arial"/>
          <w:kern w:val="2"/>
          <w:szCs w:val="22"/>
          <w:vertAlign w:val="superscript"/>
          <w14:ligatures w14:val="standardContextual"/>
        </w:rPr>
        <w:footnoteReference w:id="24"/>
      </w:r>
      <w:r w:rsidRPr="00B633A7">
        <w:rPr>
          <w:rFonts w:eastAsia="Calibri" w:cs="Arial"/>
          <w:kern w:val="2"/>
          <w:szCs w:val="22"/>
          <w14:ligatures w14:val="standardContextual"/>
        </w:rPr>
        <w:t xml:space="preserve"> A nationally consistent approach to workers’ compensation also reduces the regulatory impact faced by digital labour platforms.</w:t>
      </w:r>
      <w:r w:rsidRPr="00B633A7">
        <w:rPr>
          <w:rFonts w:eastAsia="Calibri" w:cs="Arial"/>
          <w:kern w:val="2"/>
          <w:szCs w:val="22"/>
          <w:vertAlign w:val="superscript"/>
          <w14:ligatures w14:val="standardContextual"/>
        </w:rPr>
        <w:footnoteReference w:id="25"/>
      </w:r>
      <w:r w:rsidRPr="00B633A7">
        <w:rPr>
          <w:rFonts w:eastAsia="Calibri" w:cs="Arial"/>
          <w:kern w:val="2"/>
          <w:szCs w:val="22"/>
          <w14:ligatures w14:val="standardContextual"/>
        </w:rPr>
        <w:t xml:space="preserve"> </w:t>
      </w:r>
    </w:p>
    <w:p w14:paraId="177F405C" w14:textId="77777777" w:rsidR="004576DE" w:rsidRDefault="000E4198" w:rsidP="004576DE">
      <w:pPr>
        <w:pStyle w:val="ListParagraphbodycopy"/>
        <w:rPr>
          <w:rFonts w:eastAsia="Calibri" w:cs="Arial"/>
          <w:kern w:val="2"/>
          <w:szCs w:val="22"/>
          <w14:ligatures w14:val="standardContextual"/>
        </w:rPr>
      </w:pPr>
      <w:r w:rsidRPr="00B633A7">
        <w:rPr>
          <w:rFonts w:eastAsia="Calibri" w:cs="Arial"/>
          <w:kern w:val="2"/>
          <w:szCs w:val="22"/>
          <w14:ligatures w14:val="standardContextual"/>
        </w:rPr>
        <w:lastRenderedPageBreak/>
        <w:t xml:space="preserve">Schemes </w:t>
      </w:r>
      <w:r w:rsidRPr="00B633A7">
        <w:rPr>
          <w:rFonts w:eastAsia="Arial" w:cs="Arial"/>
          <w:color w:val="000000"/>
          <w:szCs w:val="22"/>
        </w:rPr>
        <w:t>should also</w:t>
      </w:r>
      <w:r w:rsidRPr="00B633A7">
        <w:rPr>
          <w:rFonts w:eastAsia="Calibri" w:cs="Arial"/>
          <w:kern w:val="2"/>
          <w:szCs w:val="22"/>
          <w14:ligatures w14:val="standardContextual"/>
        </w:rPr>
        <w:t xml:space="preserve">, where possible, implement arrangements that can complement other legislative frameworks, such as the new ‘employee-like’ framework introduced under the </w:t>
      </w:r>
      <w:r w:rsidRPr="00B633A7">
        <w:rPr>
          <w:rFonts w:eastAsia="Calibri" w:cs="Arial"/>
          <w:i/>
          <w:iCs/>
          <w:kern w:val="2"/>
          <w:szCs w:val="22"/>
          <w14:ligatures w14:val="standardContextual"/>
        </w:rPr>
        <w:t xml:space="preserve">Fair Work Act 2009 </w:t>
      </w:r>
      <w:r w:rsidRPr="00B633A7">
        <w:rPr>
          <w:rFonts w:eastAsia="Calibri" w:cs="Arial"/>
          <w:kern w:val="2"/>
          <w:szCs w:val="22"/>
          <w14:ligatures w14:val="standardContextual"/>
        </w:rPr>
        <w:t xml:space="preserve">(Cth), including consideration of any future minimum standards orders, minimum standards guidelines and collective agreements relating to personal injury insurance, to reduce regulatory impact or duplication of requirements for platforms. </w:t>
      </w:r>
    </w:p>
    <w:p w14:paraId="05CED847" w14:textId="6EA6FE86" w:rsidR="00711F77" w:rsidRPr="004576DE" w:rsidRDefault="000E4198" w:rsidP="004576DE">
      <w:pPr>
        <w:pStyle w:val="ListParagraphbodycopy"/>
        <w:rPr>
          <w:rFonts w:eastAsia="Calibri" w:cs="Arial"/>
          <w:kern w:val="2"/>
          <w:szCs w:val="22"/>
          <w14:ligatures w14:val="standardContextual"/>
        </w:rPr>
      </w:pPr>
      <w:r w:rsidRPr="004576DE">
        <w:rPr>
          <w:rFonts w:eastAsia="Calibri" w:cs="Arial"/>
          <w:kern w:val="2"/>
          <w:szCs w:val="22"/>
          <w14:ligatures w14:val="standardContextual"/>
        </w:rPr>
        <w:t xml:space="preserve">Workers’ compensation authorities should continue to collaborate, where appropriate, beyond the development of the national policy approach to ensure that common operational and implementation issues </w:t>
      </w:r>
      <w:r w:rsidRPr="004576DE">
        <w:rPr>
          <w:rFonts w:eastAsia="Arial" w:cs="Arial"/>
          <w:color w:val="000000"/>
          <w:szCs w:val="22"/>
        </w:rPr>
        <w:t>across</w:t>
      </w:r>
      <w:r w:rsidRPr="004576DE">
        <w:rPr>
          <w:rFonts w:eastAsia="Calibri" w:cs="Arial"/>
          <w:kern w:val="2"/>
          <w:szCs w:val="22"/>
          <w14:ligatures w14:val="standardContextual"/>
        </w:rPr>
        <w:t xml:space="preserve"> schemes are resolved in a nationally consistent manner.</w:t>
      </w:r>
      <w:bookmarkEnd w:id="4"/>
    </w:p>
    <w:sectPr w:rsidR="00711F77" w:rsidRPr="004576DE" w:rsidSect="00D4529D">
      <w:head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A88A" w14:textId="77777777" w:rsidR="003D26E4" w:rsidRDefault="003D26E4" w:rsidP="00FB5F0A">
      <w:pPr>
        <w:spacing w:after="0"/>
      </w:pPr>
      <w:r>
        <w:separator/>
      </w:r>
    </w:p>
    <w:p w14:paraId="4DB59A3D" w14:textId="77777777" w:rsidR="003D26E4" w:rsidRDefault="003D26E4"/>
  </w:endnote>
  <w:endnote w:type="continuationSeparator" w:id="0">
    <w:p w14:paraId="30231766" w14:textId="77777777" w:rsidR="003D26E4" w:rsidRDefault="003D26E4" w:rsidP="00FB5F0A">
      <w:pPr>
        <w:spacing w:after="0"/>
      </w:pPr>
      <w:r>
        <w:continuationSeparator/>
      </w:r>
    </w:p>
    <w:p w14:paraId="4D457F3E" w14:textId="77777777" w:rsidR="003D26E4" w:rsidRDefault="003D2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3309" w14:textId="6CB44787" w:rsidR="000746F6" w:rsidRPr="00DE38BD" w:rsidRDefault="000746F6" w:rsidP="000746F6">
    <w:pPr>
      <w:pStyle w:val="Footer"/>
      <w:rPr>
        <w:b/>
      </w:rPr>
    </w:pPr>
    <w:bookmarkStart w:id="0" w:name="_Hlk157096869"/>
  </w:p>
  <w:p w14:paraId="02A98B6F" w14:textId="0FADC31D" w:rsidR="000746F6" w:rsidRPr="00E6439B" w:rsidRDefault="00AD1831" w:rsidP="000746F6">
    <w:pPr>
      <w:pStyle w:val="Footer"/>
      <w:tabs>
        <w:tab w:val="clear" w:pos="4513"/>
      </w:tabs>
      <w:rPr>
        <w:b/>
        <w:bCs/>
      </w:rPr>
    </w:pPr>
    <w:r>
      <w:t>National policy approach to workers’ compensation and the gig economy</w:t>
    </w:r>
    <w:bookmarkEnd w:id="0"/>
    <w:r w:rsidR="00C6085C">
      <w:tab/>
    </w:r>
    <w:r w:rsidR="001B3E20" w:rsidRPr="009335F0">
      <w:rPr>
        <w:b/>
        <w:bCs/>
        <w:sz w:val="18"/>
        <w:szCs w:val="28"/>
      </w:rPr>
      <w:t xml:space="preserve"> </w:t>
    </w:r>
    <w:r w:rsidR="00371196">
      <w:rPr>
        <w:b/>
        <w:bCs/>
        <w:sz w:val="18"/>
        <w:szCs w:val="28"/>
      </w:rPr>
      <w:t>October 2025</w:t>
    </w:r>
    <w:r w:rsidR="001B3E20" w:rsidRPr="009335F0">
      <w:rPr>
        <w:b/>
        <w:bCs/>
        <w:sz w:val="18"/>
        <w:szCs w:val="28"/>
      </w:rPr>
      <w:t xml:space="preserve"> | Page </w:t>
    </w:r>
    <w:r w:rsidR="001B3E20" w:rsidRPr="009335F0">
      <w:rPr>
        <w:b/>
        <w:bCs/>
        <w:sz w:val="18"/>
        <w:szCs w:val="28"/>
      </w:rPr>
      <w:fldChar w:fldCharType="begin"/>
    </w:r>
    <w:r w:rsidR="001B3E20" w:rsidRPr="009335F0">
      <w:rPr>
        <w:b/>
        <w:bCs/>
        <w:sz w:val="18"/>
        <w:szCs w:val="28"/>
      </w:rPr>
      <w:instrText xml:space="preserve"> PAGE  \* Arabic  \* MERGEFORMAT </w:instrText>
    </w:r>
    <w:r w:rsidR="001B3E20" w:rsidRPr="009335F0">
      <w:rPr>
        <w:b/>
        <w:bCs/>
        <w:sz w:val="18"/>
        <w:szCs w:val="28"/>
      </w:rPr>
      <w:fldChar w:fldCharType="separate"/>
    </w:r>
    <w:r w:rsidR="001B3E20">
      <w:rPr>
        <w:b/>
        <w:bCs/>
        <w:sz w:val="18"/>
        <w:szCs w:val="28"/>
      </w:rPr>
      <w:t>4</w:t>
    </w:r>
    <w:r w:rsidR="001B3E20" w:rsidRPr="009335F0">
      <w:rPr>
        <w:b/>
        <w:bCs/>
        <w:sz w:val="18"/>
        <w:szCs w:val="28"/>
      </w:rPr>
      <w:fldChar w:fldCharType="end"/>
    </w:r>
    <w:r w:rsidR="001B3E20" w:rsidRPr="009335F0">
      <w:rPr>
        <w:b/>
        <w:bCs/>
        <w:sz w:val="18"/>
        <w:szCs w:val="28"/>
      </w:rPr>
      <w:t xml:space="preserve"> of </w:t>
    </w:r>
    <w:r w:rsidR="001B3E20" w:rsidRPr="009335F0">
      <w:rPr>
        <w:b/>
        <w:bCs/>
        <w:sz w:val="18"/>
        <w:szCs w:val="28"/>
      </w:rPr>
      <w:fldChar w:fldCharType="begin"/>
    </w:r>
    <w:r w:rsidR="001B3E20" w:rsidRPr="009335F0">
      <w:rPr>
        <w:b/>
        <w:bCs/>
        <w:sz w:val="18"/>
        <w:szCs w:val="28"/>
      </w:rPr>
      <w:instrText xml:space="preserve"> NUMPAGES  \* Arabic  \* MERGEFORMAT </w:instrText>
    </w:r>
    <w:r w:rsidR="001B3E20" w:rsidRPr="009335F0">
      <w:rPr>
        <w:b/>
        <w:bCs/>
        <w:sz w:val="18"/>
        <w:szCs w:val="28"/>
      </w:rPr>
      <w:fldChar w:fldCharType="separate"/>
    </w:r>
    <w:r w:rsidR="001B3E20">
      <w:rPr>
        <w:b/>
        <w:bCs/>
        <w:sz w:val="18"/>
        <w:szCs w:val="28"/>
      </w:rPr>
      <w:t>7</w:t>
    </w:r>
    <w:r w:rsidR="001B3E20" w:rsidRPr="009335F0">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8301" w14:textId="77777777" w:rsidR="000746F6" w:rsidRDefault="000746F6">
    <w:pPr>
      <w:pStyle w:val="Footer"/>
    </w:pPr>
    <w:r>
      <w:rPr>
        <w:noProof/>
      </w:rPr>
      <w:drawing>
        <wp:anchor distT="0" distB="0" distL="114300" distR="114300" simplePos="0" relativeHeight="251659264" behindDoc="1" locked="0" layoutInCell="1" allowOverlap="1" wp14:anchorId="462E0B7C" wp14:editId="4900A4A8">
          <wp:simplePos x="0" y="0"/>
          <wp:positionH relativeFrom="page">
            <wp:posOffset>4095750</wp:posOffset>
          </wp:positionH>
          <wp:positionV relativeFrom="page">
            <wp:posOffset>8905875</wp:posOffset>
          </wp:positionV>
          <wp:extent cx="2516505" cy="720054"/>
          <wp:effectExtent l="0" t="0" r="0" b="0"/>
          <wp:wrapNone/>
          <wp:docPr id="1697850901" name="Graphic 169785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50901" name="Graphic 1697850901"/>
                  <pic:cNvPicPr/>
                </pic:nvPicPr>
                <pic:blipFill rotWithShape="1">
                  <a:blip r:embed="rId1">
                    <a:extLst>
                      <a:ext uri="{96DAC541-7B7A-43D3-8B79-37D633B846F1}">
                        <asvg:svgBlip xmlns:asvg="http://schemas.microsoft.com/office/drawing/2016/SVG/main" r:embed="rId2"/>
                      </a:ext>
                    </a:extLst>
                  </a:blip>
                  <a:srcRect t="-54602" b="-54602"/>
                  <a:stretch/>
                </pic:blipFill>
                <pic:spPr bwMode="auto">
                  <a:xfrm>
                    <a:off x="0" y="0"/>
                    <a:ext cx="2516920" cy="720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4F3B" w14:textId="0C0B068A" w:rsidR="00241746" w:rsidRPr="00241746" w:rsidRDefault="00C641DB" w:rsidP="001B1EDF">
    <w:pPr>
      <w:pStyle w:val="Footer"/>
      <w:tabs>
        <w:tab w:val="clear" w:pos="4513"/>
        <w:tab w:val="clear" w:pos="9026"/>
        <w:tab w:val="right" w:pos="13892"/>
      </w:tabs>
      <w:rPr>
        <w:b/>
        <w:bCs/>
      </w:rPr>
    </w:pPr>
    <w:bookmarkStart w:id="2" w:name="_Hlk157076426"/>
    <w:r>
      <w:t>National policy approach to workers’ compensation and the gig economy</w:t>
    </w:r>
    <w:bookmarkEnd w:id="2"/>
    <w:r w:rsidR="00241746">
      <w:tab/>
    </w:r>
    <w:r w:rsidR="00241746" w:rsidRPr="009335F0">
      <w:rPr>
        <w:b/>
        <w:bCs/>
        <w:sz w:val="18"/>
        <w:szCs w:val="28"/>
      </w:rPr>
      <w:t xml:space="preserve"> </w:t>
    </w:r>
    <w:r w:rsidR="00A26D70" w:rsidRPr="00A26D70">
      <w:rPr>
        <w:b/>
        <w:bCs/>
        <w:sz w:val="18"/>
        <w:szCs w:val="28"/>
      </w:rPr>
      <w:t>October 2025</w:t>
    </w:r>
    <w:r w:rsidR="00241746" w:rsidRPr="009335F0">
      <w:rPr>
        <w:b/>
        <w:bCs/>
        <w:sz w:val="18"/>
        <w:szCs w:val="28"/>
      </w:rPr>
      <w:t xml:space="preserve"> | Page </w:t>
    </w:r>
    <w:r w:rsidR="00241746" w:rsidRPr="009335F0">
      <w:rPr>
        <w:b/>
        <w:bCs/>
        <w:sz w:val="18"/>
        <w:szCs w:val="28"/>
      </w:rPr>
      <w:fldChar w:fldCharType="begin"/>
    </w:r>
    <w:r w:rsidR="00241746" w:rsidRPr="009335F0">
      <w:rPr>
        <w:b/>
        <w:bCs/>
        <w:sz w:val="18"/>
        <w:szCs w:val="28"/>
      </w:rPr>
      <w:instrText xml:space="preserve"> PAGE  \* Arabic  \* MERGEFORMAT </w:instrText>
    </w:r>
    <w:r w:rsidR="00241746" w:rsidRPr="009335F0">
      <w:rPr>
        <w:b/>
        <w:bCs/>
        <w:sz w:val="18"/>
        <w:szCs w:val="28"/>
      </w:rPr>
      <w:fldChar w:fldCharType="separate"/>
    </w:r>
    <w:r w:rsidR="00241746">
      <w:rPr>
        <w:b/>
        <w:bCs/>
        <w:sz w:val="18"/>
        <w:szCs w:val="28"/>
      </w:rPr>
      <w:t>5</w:t>
    </w:r>
    <w:r w:rsidR="00241746" w:rsidRPr="009335F0">
      <w:rPr>
        <w:b/>
        <w:bCs/>
        <w:sz w:val="18"/>
        <w:szCs w:val="28"/>
      </w:rPr>
      <w:fldChar w:fldCharType="end"/>
    </w:r>
    <w:r w:rsidR="00241746" w:rsidRPr="009335F0">
      <w:rPr>
        <w:b/>
        <w:bCs/>
        <w:sz w:val="18"/>
        <w:szCs w:val="28"/>
      </w:rPr>
      <w:t xml:space="preserve"> of </w:t>
    </w:r>
    <w:r w:rsidR="00241746" w:rsidRPr="009335F0">
      <w:rPr>
        <w:b/>
        <w:bCs/>
        <w:sz w:val="18"/>
        <w:szCs w:val="28"/>
      </w:rPr>
      <w:fldChar w:fldCharType="begin"/>
    </w:r>
    <w:r w:rsidR="00241746" w:rsidRPr="009335F0">
      <w:rPr>
        <w:b/>
        <w:bCs/>
        <w:sz w:val="18"/>
        <w:szCs w:val="28"/>
      </w:rPr>
      <w:instrText xml:space="preserve"> NUMPAGES  \* Arabic  \* MERGEFORMAT </w:instrText>
    </w:r>
    <w:r w:rsidR="00241746" w:rsidRPr="009335F0">
      <w:rPr>
        <w:b/>
        <w:bCs/>
        <w:sz w:val="18"/>
        <w:szCs w:val="28"/>
      </w:rPr>
      <w:fldChar w:fldCharType="separate"/>
    </w:r>
    <w:r w:rsidR="00241746">
      <w:rPr>
        <w:b/>
        <w:bCs/>
        <w:sz w:val="18"/>
        <w:szCs w:val="28"/>
      </w:rPr>
      <w:t>5</w:t>
    </w:r>
    <w:r w:rsidR="00241746" w:rsidRPr="009335F0">
      <w:rPr>
        <w:b/>
        <w:bCs/>
        <w:noProof/>
        <w:sz w:val="1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88F4" w14:textId="77777777" w:rsidR="003D26E4" w:rsidRDefault="003D26E4" w:rsidP="00FB5F0A">
      <w:pPr>
        <w:spacing w:after="0"/>
      </w:pPr>
      <w:r>
        <w:separator/>
      </w:r>
    </w:p>
    <w:p w14:paraId="5285BD20" w14:textId="77777777" w:rsidR="003D26E4" w:rsidRDefault="003D26E4"/>
  </w:footnote>
  <w:footnote w:type="continuationSeparator" w:id="0">
    <w:p w14:paraId="19ACBB9D" w14:textId="77777777" w:rsidR="003D26E4" w:rsidRDefault="003D26E4" w:rsidP="00FB5F0A">
      <w:pPr>
        <w:spacing w:after="0"/>
      </w:pPr>
      <w:r>
        <w:continuationSeparator/>
      </w:r>
    </w:p>
    <w:p w14:paraId="12A62638" w14:textId="77777777" w:rsidR="003D26E4" w:rsidRDefault="003D26E4"/>
  </w:footnote>
  <w:footnote w:id="1">
    <w:p w14:paraId="2CCD9FA4" w14:textId="77777777" w:rsidR="003C3D57" w:rsidRPr="00556BD7" w:rsidRDefault="003C3D57" w:rsidP="003C3D57">
      <w:pPr>
        <w:pStyle w:val="FootnoteText"/>
        <w:rPr>
          <w:rFonts w:cs="Arial"/>
          <w:sz w:val="18"/>
          <w:szCs w:val="18"/>
        </w:rPr>
      </w:pPr>
      <w:r w:rsidRPr="00556BD7">
        <w:rPr>
          <w:rStyle w:val="FootnoteReference"/>
          <w:sz w:val="18"/>
          <w:szCs w:val="18"/>
        </w:rPr>
        <w:footnoteRef/>
      </w:r>
      <w:r w:rsidRPr="00556BD7">
        <w:rPr>
          <w:rFonts w:cs="Arial"/>
          <w:sz w:val="18"/>
          <w:szCs w:val="18"/>
        </w:rPr>
        <w:t xml:space="preserve"> N </w:t>
      </w:r>
      <w:r w:rsidRPr="00556BD7">
        <w:rPr>
          <w:rFonts w:eastAsia="Calibri" w:cs="Arial"/>
          <w:sz w:val="18"/>
          <w:szCs w:val="18"/>
        </w:rPr>
        <w:t>Zhou, ‘</w:t>
      </w:r>
      <w:hyperlink r:id="rId1" w:history="1">
        <w:r w:rsidRPr="00556BD7">
          <w:rPr>
            <w:rFonts w:eastAsia="Calibri" w:cs="Arial"/>
            <w:color w:val="0000FF"/>
            <w:sz w:val="18"/>
            <w:szCs w:val="18"/>
            <w:u w:val="single"/>
          </w:rPr>
          <w:t>Call for federal regulator for Australia’s gig economy after sixth delivery rider death revealed</w:t>
        </w:r>
        <w:r w:rsidRPr="00556BD7">
          <w:rPr>
            <w:rFonts w:eastAsia="Calibri" w:cs="Arial"/>
            <w:sz w:val="18"/>
            <w:szCs w:val="18"/>
          </w:rPr>
          <w:t xml:space="preserve">’, </w:t>
        </w:r>
      </w:hyperlink>
      <w:r w:rsidRPr="00556BD7">
        <w:rPr>
          <w:rFonts w:eastAsia="Calibri" w:cs="Arial"/>
          <w:i/>
          <w:iCs/>
          <w:sz w:val="18"/>
          <w:szCs w:val="18"/>
        </w:rPr>
        <w:t>The Guardian</w:t>
      </w:r>
      <w:r w:rsidRPr="00556BD7">
        <w:rPr>
          <w:rFonts w:eastAsia="Calibri" w:cs="Arial"/>
          <w:sz w:val="18"/>
          <w:szCs w:val="18"/>
        </w:rPr>
        <w:t>, 27 June 2021, accessed 1 March 2024.</w:t>
      </w:r>
    </w:p>
  </w:footnote>
  <w:footnote w:id="2">
    <w:p w14:paraId="677230F1" w14:textId="77777777" w:rsidR="003C3D57" w:rsidRPr="00556BD7" w:rsidRDefault="003C3D57" w:rsidP="003C3D57">
      <w:pPr>
        <w:pStyle w:val="FootnoteText"/>
        <w:rPr>
          <w:rFonts w:cs="Arial"/>
          <w:sz w:val="18"/>
          <w:szCs w:val="18"/>
        </w:rPr>
      </w:pPr>
      <w:r w:rsidRPr="00556BD7">
        <w:rPr>
          <w:rStyle w:val="FootnoteReference"/>
          <w:sz w:val="18"/>
          <w:szCs w:val="18"/>
        </w:rPr>
        <w:footnoteRef/>
      </w:r>
      <w:r w:rsidRPr="00556BD7">
        <w:rPr>
          <w:rFonts w:cs="Arial"/>
          <w:sz w:val="18"/>
          <w:szCs w:val="18"/>
        </w:rPr>
        <w:t xml:space="preserve"> </w:t>
      </w:r>
      <w:r w:rsidRPr="00556BD7">
        <w:rPr>
          <w:rFonts w:cs="Arial"/>
          <w:i/>
          <w:iCs/>
          <w:sz w:val="18"/>
          <w:szCs w:val="18"/>
        </w:rPr>
        <w:t>Closing Loopholes Act 2023</w:t>
      </w:r>
      <w:r w:rsidRPr="00556BD7">
        <w:rPr>
          <w:rFonts w:cs="Arial"/>
          <w:sz w:val="18"/>
          <w:szCs w:val="18"/>
        </w:rPr>
        <w:t xml:space="preserve"> and </w:t>
      </w:r>
      <w:r w:rsidRPr="00556BD7">
        <w:rPr>
          <w:rFonts w:cs="Arial"/>
          <w:i/>
          <w:iCs/>
          <w:sz w:val="18"/>
          <w:szCs w:val="18"/>
        </w:rPr>
        <w:t>Closing Loopholes No.2 Act 2024</w:t>
      </w:r>
      <w:r w:rsidRPr="00556BD7">
        <w:rPr>
          <w:rFonts w:cs="Arial"/>
          <w:sz w:val="18"/>
          <w:szCs w:val="18"/>
        </w:rPr>
        <w:t xml:space="preserve">. </w:t>
      </w:r>
    </w:p>
  </w:footnote>
  <w:footnote w:id="3">
    <w:p w14:paraId="1184E3DD" w14:textId="77777777" w:rsidR="003B5951" w:rsidRPr="00556BD7" w:rsidRDefault="003B5951" w:rsidP="003B5951">
      <w:pPr>
        <w:pStyle w:val="FootnoteText"/>
        <w:rPr>
          <w:rFonts w:cs="Arial"/>
          <w:sz w:val="18"/>
          <w:szCs w:val="18"/>
        </w:rPr>
      </w:pPr>
      <w:r w:rsidRPr="00556BD7">
        <w:rPr>
          <w:rStyle w:val="FootnoteReference"/>
          <w:sz w:val="18"/>
          <w:szCs w:val="18"/>
        </w:rPr>
        <w:footnoteRef/>
      </w:r>
      <w:r w:rsidRPr="00556BD7">
        <w:rPr>
          <w:rFonts w:cs="Arial"/>
          <w:sz w:val="18"/>
          <w:szCs w:val="18"/>
        </w:rPr>
        <w:t xml:space="preserve"> </w:t>
      </w:r>
      <w:r w:rsidRPr="00556BD7">
        <w:rPr>
          <w:rFonts w:cs="Arial"/>
          <w:iCs/>
          <w:sz w:val="18"/>
          <w:szCs w:val="18"/>
        </w:rPr>
        <w:t>Australian Government Productivity Commission, ‘</w:t>
      </w:r>
      <w:hyperlink r:id="rId2" w:history="1">
        <w:r w:rsidRPr="00556BD7">
          <w:rPr>
            <w:rStyle w:val="Hyperlink"/>
            <w:rFonts w:cs="Arial"/>
            <w:iCs/>
            <w:sz w:val="18"/>
            <w:szCs w:val="18"/>
          </w:rPr>
          <w:t>5 year Productivity Inquiry: A more productive labour market</w:t>
        </w:r>
      </w:hyperlink>
      <w:r w:rsidRPr="00556BD7">
        <w:rPr>
          <w:rStyle w:val="Hyperlink"/>
          <w:rFonts w:cs="Arial"/>
          <w:iCs/>
          <w:sz w:val="18"/>
          <w:szCs w:val="18"/>
        </w:rPr>
        <w:t>’</w:t>
      </w:r>
      <w:r w:rsidRPr="00556BD7">
        <w:rPr>
          <w:rFonts w:cs="Arial"/>
          <w:iCs/>
          <w:sz w:val="18"/>
          <w:szCs w:val="18"/>
        </w:rPr>
        <w:t xml:space="preserve"> 7 February 2023, p. 134.</w:t>
      </w:r>
    </w:p>
  </w:footnote>
  <w:footnote w:id="4">
    <w:p w14:paraId="32263D00" w14:textId="77777777" w:rsidR="003B5951" w:rsidRPr="00556BD7" w:rsidRDefault="003B5951" w:rsidP="003B5951">
      <w:pPr>
        <w:pStyle w:val="FootnoteText"/>
        <w:rPr>
          <w:rFonts w:cs="Arial"/>
          <w:i/>
          <w:iCs/>
          <w:sz w:val="18"/>
          <w:szCs w:val="18"/>
        </w:rPr>
      </w:pPr>
      <w:r w:rsidRPr="00556BD7">
        <w:rPr>
          <w:rStyle w:val="FootnoteReference"/>
          <w:sz w:val="18"/>
          <w:szCs w:val="18"/>
        </w:rPr>
        <w:footnoteRef/>
      </w:r>
      <w:r w:rsidRPr="00556BD7">
        <w:rPr>
          <w:rFonts w:cs="Arial"/>
          <w:iCs/>
          <w:sz w:val="18"/>
          <w:szCs w:val="18"/>
        </w:rPr>
        <w:t xml:space="preserve"> Actuaries Institute, ‘</w:t>
      </w:r>
      <w:hyperlink r:id="rId3" w:history="1">
        <w:r w:rsidRPr="00556BD7">
          <w:rPr>
            <w:rStyle w:val="Hyperlink"/>
            <w:rFonts w:cs="Arial"/>
            <w:sz w:val="18"/>
            <w:szCs w:val="18"/>
          </w:rPr>
          <w:t>The Rise of the Gig Economy and its Impact on the Australian Workforce</w:t>
        </w:r>
      </w:hyperlink>
      <w:r w:rsidRPr="00556BD7">
        <w:rPr>
          <w:rFonts w:cs="Arial"/>
          <w:sz w:val="18"/>
          <w:szCs w:val="18"/>
        </w:rPr>
        <w:t xml:space="preserve">’, December 2020, p. 5. </w:t>
      </w:r>
    </w:p>
  </w:footnote>
  <w:footnote w:id="5">
    <w:p w14:paraId="7FFEE6D0" w14:textId="77777777" w:rsidR="003B5951" w:rsidRPr="000E67F9" w:rsidRDefault="003B5951" w:rsidP="003B5951">
      <w:pPr>
        <w:pStyle w:val="FootnoteText"/>
        <w:rPr>
          <w:sz w:val="18"/>
          <w:szCs w:val="18"/>
        </w:rPr>
      </w:pPr>
      <w:r w:rsidRPr="000E67F9">
        <w:rPr>
          <w:rStyle w:val="FootnoteReference"/>
          <w:sz w:val="18"/>
          <w:szCs w:val="18"/>
        </w:rPr>
        <w:footnoteRef/>
      </w:r>
      <w:r w:rsidRPr="000E67F9">
        <w:rPr>
          <w:sz w:val="18"/>
          <w:szCs w:val="18"/>
        </w:rPr>
        <w:t xml:space="preserve"> Based on the 2023-24 employed people statistic of 13.7 million found at </w:t>
      </w:r>
      <w:hyperlink r:id="rId4" w:history="1">
        <w:r w:rsidRPr="000E67F9">
          <w:rPr>
            <w:rStyle w:val="Hyperlink"/>
            <w:sz w:val="18"/>
            <w:szCs w:val="18"/>
          </w:rPr>
          <w:t>Barriers and Incentives to Labour Force Participation, Australia, 2023-24 financial year</w:t>
        </w:r>
        <w:r>
          <w:rPr>
            <w:rStyle w:val="Hyperlink"/>
            <w:sz w:val="18"/>
            <w:szCs w:val="18"/>
          </w:rPr>
          <w:t>.</w:t>
        </w:r>
      </w:hyperlink>
    </w:p>
  </w:footnote>
  <w:footnote w:id="6">
    <w:p w14:paraId="70E9B424" w14:textId="77777777" w:rsidR="003B5951" w:rsidRPr="00DA4EBE" w:rsidRDefault="003B5951" w:rsidP="003B5951">
      <w:pPr>
        <w:pStyle w:val="FootnoteText"/>
        <w:rPr>
          <w:sz w:val="18"/>
          <w:szCs w:val="18"/>
        </w:rPr>
      </w:pPr>
      <w:r w:rsidRPr="00DA4EBE">
        <w:rPr>
          <w:rStyle w:val="FootnoteReference"/>
          <w:sz w:val="18"/>
          <w:szCs w:val="18"/>
        </w:rPr>
        <w:footnoteRef/>
      </w:r>
      <w:r w:rsidRPr="00DA4EBE">
        <w:rPr>
          <w:sz w:val="18"/>
          <w:szCs w:val="18"/>
        </w:rPr>
        <w:t xml:space="preserve"> Australian Bureau of Statistics, ‘</w:t>
      </w:r>
      <w:hyperlink r:id="rId5" w:anchor="digital-platform-workers" w:history="1">
        <w:r w:rsidRPr="00DA4EBE">
          <w:rPr>
            <w:rStyle w:val="Hyperlink"/>
            <w:sz w:val="18"/>
            <w:szCs w:val="18"/>
          </w:rPr>
          <w:t>Digital platform workers</w:t>
        </w:r>
      </w:hyperlink>
      <w:r w:rsidRPr="00DA4EBE">
        <w:rPr>
          <w:sz w:val="18"/>
          <w:szCs w:val="18"/>
        </w:rPr>
        <w:t xml:space="preserve">’, 9 December 2024, accessed 23 December 2024. </w:t>
      </w:r>
    </w:p>
  </w:footnote>
  <w:footnote w:id="7">
    <w:p w14:paraId="50B0CF93" w14:textId="77777777" w:rsidR="003B5951" w:rsidRPr="00556BD7" w:rsidRDefault="003B5951" w:rsidP="003B5951">
      <w:pPr>
        <w:pStyle w:val="FootnoteText"/>
        <w:rPr>
          <w:rFonts w:cs="Arial"/>
          <w:sz w:val="18"/>
          <w:szCs w:val="18"/>
        </w:rPr>
      </w:pPr>
      <w:r w:rsidRPr="00556BD7">
        <w:rPr>
          <w:rStyle w:val="FootnoteReference"/>
          <w:sz w:val="18"/>
          <w:szCs w:val="18"/>
        </w:rPr>
        <w:footnoteRef/>
      </w:r>
      <w:r w:rsidRPr="00556BD7">
        <w:rPr>
          <w:rFonts w:cs="Arial"/>
          <w:sz w:val="18"/>
          <w:szCs w:val="18"/>
        </w:rPr>
        <w:t xml:space="preserve"> Australian Government Productivity Commission, </w:t>
      </w:r>
      <w:hyperlink r:id="rId6" w:history="1">
        <w:r w:rsidRPr="00556BD7">
          <w:rPr>
            <w:rStyle w:val="Hyperlink"/>
            <w:rFonts w:cs="Arial"/>
            <w:sz w:val="18"/>
            <w:szCs w:val="18"/>
          </w:rPr>
          <w:t>5 year Productivity Inquiry: A more productive labour market</w:t>
        </w:r>
      </w:hyperlink>
      <w:r w:rsidRPr="00556BD7">
        <w:rPr>
          <w:rFonts w:cs="Arial"/>
          <w:sz w:val="18"/>
          <w:szCs w:val="18"/>
        </w:rPr>
        <w:t xml:space="preserve">– Inquiry report volume 7, 7 February 2023, p. 134. </w:t>
      </w:r>
    </w:p>
  </w:footnote>
  <w:footnote w:id="8">
    <w:p w14:paraId="2A18160B" w14:textId="77777777" w:rsidR="003B5951" w:rsidRPr="00556BD7" w:rsidRDefault="003B5951" w:rsidP="003B5951">
      <w:pPr>
        <w:pStyle w:val="FootnoteText"/>
        <w:rPr>
          <w:rFonts w:cs="Arial"/>
          <w:sz w:val="18"/>
          <w:szCs w:val="18"/>
        </w:rPr>
      </w:pPr>
      <w:r w:rsidRPr="00556BD7">
        <w:rPr>
          <w:rStyle w:val="FootnoteReference"/>
          <w:sz w:val="18"/>
          <w:szCs w:val="18"/>
        </w:rPr>
        <w:footnoteRef/>
      </w:r>
      <w:r w:rsidRPr="00556BD7">
        <w:rPr>
          <w:rFonts w:cs="Arial"/>
          <w:sz w:val="18"/>
          <w:szCs w:val="18"/>
        </w:rPr>
        <w:t xml:space="preserve"> </w:t>
      </w:r>
      <w:r w:rsidRPr="00556BD7">
        <w:rPr>
          <w:rFonts w:cs="Arial"/>
          <w:i/>
          <w:iCs/>
          <w:sz w:val="18"/>
          <w:szCs w:val="18"/>
        </w:rPr>
        <w:t>Closing Loopholes Act 2023</w:t>
      </w:r>
      <w:r w:rsidRPr="00556BD7">
        <w:rPr>
          <w:rFonts w:cs="Arial"/>
          <w:sz w:val="18"/>
          <w:szCs w:val="18"/>
        </w:rPr>
        <w:t xml:space="preserve"> and </w:t>
      </w:r>
      <w:r w:rsidRPr="00556BD7">
        <w:rPr>
          <w:rFonts w:cs="Arial"/>
          <w:i/>
          <w:iCs/>
          <w:sz w:val="18"/>
          <w:szCs w:val="18"/>
        </w:rPr>
        <w:t>Closing Loopholes No.2 Act 2024</w:t>
      </w:r>
      <w:r w:rsidRPr="00556BD7">
        <w:rPr>
          <w:rFonts w:cs="Arial"/>
          <w:sz w:val="18"/>
          <w:szCs w:val="18"/>
        </w:rPr>
        <w:t xml:space="preserve">. </w:t>
      </w:r>
    </w:p>
  </w:footnote>
  <w:footnote w:id="9">
    <w:p w14:paraId="79125D17" w14:textId="77777777" w:rsidR="003B5951" w:rsidRPr="00556BD7" w:rsidRDefault="003B5951" w:rsidP="003B5951">
      <w:pPr>
        <w:pStyle w:val="FootnoteText"/>
        <w:rPr>
          <w:rFonts w:cs="Arial"/>
          <w:sz w:val="18"/>
          <w:szCs w:val="18"/>
        </w:rPr>
      </w:pPr>
      <w:r w:rsidRPr="00556BD7">
        <w:rPr>
          <w:rStyle w:val="FootnoteReference"/>
          <w:sz w:val="18"/>
          <w:szCs w:val="18"/>
        </w:rPr>
        <w:footnoteRef/>
      </w:r>
      <w:r w:rsidRPr="00556BD7">
        <w:rPr>
          <w:rFonts w:cs="Arial"/>
          <w:sz w:val="18"/>
          <w:szCs w:val="18"/>
        </w:rPr>
        <w:t xml:space="preserve"> Queensland Office of Industrial Relations, </w:t>
      </w:r>
      <w:hyperlink r:id="rId7" w:history="1">
        <w:r w:rsidRPr="00556BD7">
          <w:rPr>
            <w:rStyle w:val="Hyperlink"/>
            <w:rFonts w:cs="Arial"/>
            <w:sz w:val="18"/>
            <w:szCs w:val="18"/>
          </w:rPr>
          <w:t>Decision Impact Analysis Statement – Gig workers and bailee taxi and limousine drivers</w:t>
        </w:r>
      </w:hyperlink>
      <w:r w:rsidRPr="00556BD7">
        <w:rPr>
          <w:rFonts w:cs="Arial"/>
          <w:sz w:val="18"/>
          <w:szCs w:val="18"/>
        </w:rPr>
        <w:t xml:space="preserve">, p. 20.  </w:t>
      </w:r>
    </w:p>
  </w:footnote>
  <w:footnote w:id="10">
    <w:p w14:paraId="508A24EE" w14:textId="77777777" w:rsidR="003B5951" w:rsidRPr="00556BD7" w:rsidRDefault="003B5951" w:rsidP="003B5951">
      <w:pPr>
        <w:pStyle w:val="FootnoteText"/>
        <w:rPr>
          <w:rFonts w:cs="Arial"/>
          <w:i/>
          <w:iCs/>
          <w:sz w:val="18"/>
          <w:szCs w:val="18"/>
        </w:rPr>
      </w:pPr>
      <w:r w:rsidRPr="00556BD7">
        <w:rPr>
          <w:rStyle w:val="FootnoteReference"/>
          <w:sz w:val="18"/>
          <w:szCs w:val="18"/>
        </w:rPr>
        <w:footnoteRef/>
      </w:r>
      <w:r w:rsidRPr="00556BD7">
        <w:rPr>
          <w:rFonts w:cs="Arial"/>
          <w:iCs/>
          <w:sz w:val="18"/>
          <w:szCs w:val="18"/>
        </w:rPr>
        <w:t xml:space="preserve"> A Stewart, J Stanford, ‘</w:t>
      </w:r>
      <w:hyperlink r:id="rId8" w:history="1">
        <w:r w:rsidRPr="00556BD7">
          <w:rPr>
            <w:rStyle w:val="Hyperlink"/>
            <w:rFonts w:cs="Arial"/>
            <w:iCs/>
            <w:sz w:val="18"/>
            <w:szCs w:val="18"/>
          </w:rPr>
          <w:t>Regulating work in the gig economy: what are the options?</w:t>
        </w:r>
      </w:hyperlink>
      <w:r w:rsidRPr="00556BD7">
        <w:rPr>
          <w:rFonts w:cs="Arial"/>
          <w:iCs/>
          <w:sz w:val="18"/>
          <w:szCs w:val="18"/>
        </w:rPr>
        <w:t xml:space="preserve">’, The Australia Institute’s Centre for Future Work, 2017, p. 8.  </w:t>
      </w:r>
    </w:p>
  </w:footnote>
  <w:footnote w:id="11">
    <w:p w14:paraId="5EB795C0" w14:textId="77777777" w:rsidR="003B5951" w:rsidRPr="00556BD7" w:rsidRDefault="003B5951" w:rsidP="003B5951">
      <w:pPr>
        <w:pStyle w:val="FootnoteText"/>
        <w:rPr>
          <w:rFonts w:cs="Arial"/>
          <w:i/>
          <w:iCs/>
          <w:sz w:val="18"/>
          <w:szCs w:val="18"/>
        </w:rPr>
      </w:pPr>
      <w:r w:rsidRPr="00556BD7">
        <w:rPr>
          <w:rStyle w:val="FootnoteReference"/>
          <w:sz w:val="18"/>
          <w:szCs w:val="18"/>
        </w:rPr>
        <w:footnoteRef/>
      </w:r>
      <w:r w:rsidRPr="00556BD7">
        <w:rPr>
          <w:rFonts w:cs="Arial"/>
          <w:iCs/>
          <w:sz w:val="18"/>
          <w:szCs w:val="18"/>
        </w:rPr>
        <w:t xml:space="preserve"> P McDonald, P Williams, A Stewart, D Oliver, R Mayes, ‘</w:t>
      </w:r>
      <w:hyperlink r:id="rId9" w:history="1">
        <w:r w:rsidRPr="00556BD7">
          <w:rPr>
            <w:rStyle w:val="Hyperlink"/>
            <w:rFonts w:cs="Arial"/>
            <w:iCs/>
            <w:sz w:val="18"/>
            <w:szCs w:val="18"/>
          </w:rPr>
          <w:t>Digital Platform Work in Australia: Preliminary findings from a national survey</w:t>
        </w:r>
      </w:hyperlink>
      <w:r w:rsidRPr="00556BD7">
        <w:rPr>
          <w:rFonts w:cs="Arial"/>
          <w:iCs/>
          <w:sz w:val="18"/>
          <w:szCs w:val="18"/>
        </w:rPr>
        <w:t>’, June 2019, p. 13.</w:t>
      </w:r>
    </w:p>
  </w:footnote>
  <w:footnote w:id="12">
    <w:p w14:paraId="43F8D80B" w14:textId="77777777" w:rsidR="003B5951" w:rsidRPr="00556BD7" w:rsidRDefault="003B5951" w:rsidP="003B5951">
      <w:pPr>
        <w:pStyle w:val="FootnoteText"/>
        <w:rPr>
          <w:rFonts w:cs="Arial"/>
          <w:i/>
          <w:iCs/>
          <w:sz w:val="18"/>
          <w:szCs w:val="18"/>
        </w:rPr>
      </w:pPr>
      <w:r w:rsidRPr="00556BD7">
        <w:rPr>
          <w:rStyle w:val="FootnoteReference"/>
          <w:sz w:val="18"/>
          <w:szCs w:val="18"/>
        </w:rPr>
        <w:footnoteRef/>
      </w:r>
      <w:r w:rsidRPr="00556BD7">
        <w:rPr>
          <w:rFonts w:cs="Arial"/>
          <w:iCs/>
          <w:sz w:val="18"/>
          <w:szCs w:val="18"/>
        </w:rPr>
        <w:t xml:space="preserve"> NSW Senate Select Committee on Job Security, ‘</w:t>
      </w:r>
      <w:hyperlink r:id="rId10" w:history="1">
        <w:r w:rsidRPr="00556BD7">
          <w:rPr>
            <w:rStyle w:val="Hyperlink"/>
            <w:rFonts w:cs="Arial"/>
            <w:iCs/>
            <w:sz w:val="18"/>
            <w:szCs w:val="18"/>
          </w:rPr>
          <w:t>First interim report: on</w:t>
        </w:r>
        <w:r w:rsidRPr="00556BD7">
          <w:rPr>
            <w:rStyle w:val="Hyperlink"/>
            <w:rFonts w:cs="Arial"/>
            <w:iCs/>
            <w:sz w:val="18"/>
            <w:szCs w:val="18"/>
          </w:rPr>
          <w:noBreakHyphen/>
          <w:t>demand platform work in Australia</w:t>
        </w:r>
      </w:hyperlink>
      <w:r w:rsidRPr="00556BD7">
        <w:rPr>
          <w:rFonts w:cs="Arial"/>
          <w:sz w:val="18"/>
          <w:szCs w:val="18"/>
        </w:rPr>
        <w:t>’,</w:t>
      </w:r>
      <w:r w:rsidRPr="00556BD7">
        <w:rPr>
          <w:rFonts w:cs="Arial"/>
          <w:iCs/>
          <w:sz w:val="18"/>
          <w:szCs w:val="18"/>
        </w:rPr>
        <w:t xml:space="preserve"> June 2021, p. 90.  </w:t>
      </w:r>
    </w:p>
  </w:footnote>
  <w:footnote w:id="13">
    <w:p w14:paraId="42915CA3" w14:textId="77777777" w:rsidR="00F35A12" w:rsidRPr="00556BD7" w:rsidRDefault="00F35A12" w:rsidP="00F35A12">
      <w:pPr>
        <w:pStyle w:val="FootnoteText"/>
        <w:rPr>
          <w:rFonts w:cs="Arial"/>
          <w:sz w:val="18"/>
          <w:szCs w:val="18"/>
        </w:rPr>
      </w:pPr>
      <w:r w:rsidRPr="00556BD7">
        <w:rPr>
          <w:rStyle w:val="FootnoteReference"/>
          <w:sz w:val="18"/>
          <w:szCs w:val="18"/>
        </w:rPr>
        <w:footnoteRef/>
      </w:r>
      <w:r w:rsidRPr="00556BD7">
        <w:rPr>
          <w:rFonts w:cs="Arial"/>
          <w:sz w:val="18"/>
          <w:szCs w:val="18"/>
        </w:rPr>
        <w:t xml:space="preserve"> </w:t>
      </w:r>
      <w:r w:rsidRPr="00556BD7">
        <w:rPr>
          <w:rFonts w:cs="Arial"/>
          <w:iCs/>
          <w:sz w:val="18"/>
          <w:szCs w:val="18"/>
        </w:rPr>
        <w:t>Victorian Government, ‘</w:t>
      </w:r>
      <w:hyperlink r:id="rId11" w:history="1">
        <w:r w:rsidRPr="00556BD7">
          <w:rPr>
            <w:rStyle w:val="Hyperlink"/>
            <w:rFonts w:cs="Arial"/>
            <w:iCs/>
            <w:sz w:val="18"/>
            <w:szCs w:val="18"/>
          </w:rPr>
          <w:t>Report of the Inquiry into the Victorian On-Demand Workforce report</w:t>
        </w:r>
      </w:hyperlink>
      <w:r w:rsidRPr="00556BD7">
        <w:rPr>
          <w:rFonts w:cs="Arial"/>
          <w:iCs/>
          <w:sz w:val="18"/>
          <w:szCs w:val="18"/>
        </w:rPr>
        <w:t>’, 15 July 2020, p. 66-68.</w:t>
      </w:r>
    </w:p>
  </w:footnote>
  <w:footnote w:id="14">
    <w:p w14:paraId="5D9BB261" w14:textId="77777777" w:rsidR="00F35A12" w:rsidRPr="00556BD7" w:rsidRDefault="00F35A12" w:rsidP="00F35A12">
      <w:pPr>
        <w:pStyle w:val="FootnoteText"/>
        <w:rPr>
          <w:rFonts w:cs="Arial"/>
          <w:sz w:val="18"/>
          <w:szCs w:val="18"/>
        </w:rPr>
      </w:pPr>
      <w:r w:rsidRPr="00556BD7">
        <w:rPr>
          <w:rStyle w:val="FootnoteReference"/>
          <w:sz w:val="18"/>
          <w:szCs w:val="18"/>
        </w:rPr>
        <w:footnoteRef/>
      </w:r>
      <w:r w:rsidRPr="00556BD7">
        <w:rPr>
          <w:rFonts w:cs="Arial"/>
          <w:sz w:val="18"/>
          <w:szCs w:val="18"/>
        </w:rPr>
        <w:t xml:space="preserve"> D Peetz, </w:t>
      </w:r>
      <w:hyperlink r:id="rId12" w:history="1">
        <w:r w:rsidRPr="00556BD7">
          <w:rPr>
            <w:rStyle w:val="Hyperlink"/>
            <w:rFonts w:cs="Arial"/>
            <w:sz w:val="18"/>
            <w:szCs w:val="18"/>
          </w:rPr>
          <w:t>The Operation of the Queensland Workers' Compensation Scheme</w:t>
        </w:r>
      </w:hyperlink>
      <w:r w:rsidRPr="00556BD7">
        <w:rPr>
          <w:rFonts w:cs="Arial"/>
          <w:sz w:val="18"/>
          <w:szCs w:val="18"/>
        </w:rPr>
        <w:t>, 27 May 2018, p. 106.</w:t>
      </w:r>
    </w:p>
  </w:footnote>
  <w:footnote w:id="15">
    <w:p w14:paraId="391712EC" w14:textId="77777777" w:rsidR="00F35A12" w:rsidRPr="006454B4" w:rsidRDefault="00F35A12" w:rsidP="00F35A12">
      <w:pPr>
        <w:pStyle w:val="FootnoteText"/>
        <w:rPr>
          <w:sz w:val="18"/>
          <w:szCs w:val="18"/>
        </w:rPr>
      </w:pPr>
      <w:r w:rsidRPr="006454B4">
        <w:rPr>
          <w:rStyle w:val="FootnoteReference"/>
          <w:sz w:val="18"/>
          <w:szCs w:val="18"/>
        </w:rPr>
        <w:footnoteRef/>
      </w:r>
      <w:r w:rsidRPr="006454B4">
        <w:rPr>
          <w:sz w:val="18"/>
          <w:szCs w:val="18"/>
        </w:rPr>
        <w:t xml:space="preserve"> F Macdonald, ‘</w:t>
      </w:r>
      <w:hyperlink r:id="rId13" w:history="1">
        <w:r w:rsidRPr="006454B4">
          <w:rPr>
            <w:rStyle w:val="Hyperlink"/>
            <w:sz w:val="18"/>
            <w:szCs w:val="18"/>
          </w:rPr>
          <w:t>Unacceptable Risks: The Dangers of Gig Models of Care and Support Work</w:t>
        </w:r>
      </w:hyperlink>
      <w:r w:rsidRPr="006454B4">
        <w:rPr>
          <w:sz w:val="18"/>
          <w:szCs w:val="18"/>
        </w:rPr>
        <w:t xml:space="preserve">’, The Centre for Future Work at the Australia Institute, May 2023, p. 15.  </w:t>
      </w:r>
    </w:p>
  </w:footnote>
  <w:footnote w:id="16">
    <w:p w14:paraId="453DBFDA" w14:textId="77777777" w:rsidR="00F35A12" w:rsidRPr="00556BD7" w:rsidRDefault="00F35A12" w:rsidP="00F35A12">
      <w:pPr>
        <w:pStyle w:val="FootnoteText"/>
        <w:rPr>
          <w:rFonts w:cs="Arial"/>
          <w:i/>
          <w:iCs/>
          <w:sz w:val="18"/>
          <w:szCs w:val="18"/>
        </w:rPr>
      </w:pPr>
      <w:r w:rsidRPr="00556BD7">
        <w:rPr>
          <w:rStyle w:val="FootnoteReference"/>
          <w:sz w:val="18"/>
          <w:szCs w:val="18"/>
        </w:rPr>
        <w:footnoteRef/>
      </w:r>
      <w:r w:rsidRPr="00556BD7">
        <w:rPr>
          <w:rFonts w:cs="Arial"/>
          <w:iCs/>
          <w:sz w:val="18"/>
          <w:szCs w:val="18"/>
        </w:rPr>
        <w:t xml:space="preserve"> </w:t>
      </w:r>
      <w:hyperlink r:id="rId14" w:history="1">
        <w:r w:rsidRPr="00556BD7">
          <w:rPr>
            <w:rStyle w:val="Hyperlink"/>
            <w:rFonts w:cs="Arial"/>
            <w:sz w:val="18"/>
            <w:szCs w:val="18"/>
          </w:rPr>
          <w:t>Fair Work Legislation Amendment (Closing Loopholes) Bill 2023 Explanatory Memorandum</w:t>
        </w:r>
      </w:hyperlink>
      <w:r w:rsidRPr="00556BD7">
        <w:rPr>
          <w:rFonts w:cs="Arial"/>
          <w:sz w:val="18"/>
          <w:szCs w:val="18"/>
        </w:rPr>
        <w:t xml:space="preserve">, p. 68. </w:t>
      </w:r>
      <w:r w:rsidRPr="00556BD7">
        <w:rPr>
          <w:rFonts w:cs="Arial"/>
          <w:iCs/>
          <w:sz w:val="18"/>
          <w:szCs w:val="18"/>
        </w:rPr>
        <w:t xml:space="preserve"> </w:t>
      </w:r>
    </w:p>
  </w:footnote>
  <w:footnote w:id="17">
    <w:p w14:paraId="3E22FAFE" w14:textId="77777777" w:rsidR="003F2CF8" w:rsidRPr="00556BD7" w:rsidRDefault="003F2CF8" w:rsidP="003F2CF8">
      <w:pPr>
        <w:pStyle w:val="FootnoteText"/>
        <w:rPr>
          <w:rFonts w:cs="Arial"/>
          <w:sz w:val="18"/>
          <w:szCs w:val="18"/>
        </w:rPr>
      </w:pPr>
      <w:r w:rsidRPr="00556BD7">
        <w:rPr>
          <w:rStyle w:val="FootnoteReference"/>
          <w:sz w:val="18"/>
          <w:szCs w:val="18"/>
        </w:rPr>
        <w:footnoteRef/>
      </w:r>
      <w:r w:rsidRPr="00556BD7">
        <w:rPr>
          <w:rFonts w:cs="Arial"/>
          <w:sz w:val="18"/>
          <w:szCs w:val="18"/>
        </w:rPr>
        <w:t xml:space="preserve"> </w:t>
      </w:r>
      <w:r w:rsidRPr="00556BD7">
        <w:rPr>
          <w:rFonts w:cs="Arial"/>
          <w:iCs/>
          <w:sz w:val="18"/>
          <w:szCs w:val="18"/>
        </w:rPr>
        <w:t>A Stewart, J Stanford, ‘</w:t>
      </w:r>
      <w:hyperlink r:id="rId15" w:history="1">
        <w:r w:rsidRPr="00556BD7">
          <w:rPr>
            <w:rStyle w:val="Hyperlink"/>
            <w:rFonts w:cs="Arial"/>
            <w:iCs/>
            <w:sz w:val="18"/>
            <w:szCs w:val="18"/>
          </w:rPr>
          <w:t>Regulating work in the gig economy: what are the options?</w:t>
        </w:r>
      </w:hyperlink>
      <w:r w:rsidRPr="00556BD7">
        <w:rPr>
          <w:rFonts w:cs="Arial"/>
          <w:iCs/>
          <w:sz w:val="18"/>
          <w:szCs w:val="18"/>
        </w:rPr>
        <w:t>’, the Australia Institute’s Centre for Future Work, 2017, p. 2.</w:t>
      </w:r>
    </w:p>
  </w:footnote>
  <w:footnote w:id="18">
    <w:p w14:paraId="5F03B538" w14:textId="77777777" w:rsidR="003F2CF8" w:rsidRPr="00556BD7" w:rsidRDefault="003F2CF8" w:rsidP="003F2CF8">
      <w:pPr>
        <w:pStyle w:val="FootnoteText"/>
        <w:rPr>
          <w:rFonts w:cs="Arial"/>
          <w:sz w:val="18"/>
          <w:szCs w:val="18"/>
        </w:rPr>
      </w:pPr>
      <w:r w:rsidRPr="00556BD7">
        <w:rPr>
          <w:rStyle w:val="FootnoteReference"/>
          <w:sz w:val="18"/>
          <w:szCs w:val="18"/>
        </w:rPr>
        <w:footnoteRef/>
      </w:r>
      <w:r w:rsidRPr="00556BD7">
        <w:rPr>
          <w:rFonts w:cs="Arial"/>
          <w:sz w:val="18"/>
          <w:szCs w:val="18"/>
        </w:rPr>
        <w:t xml:space="preserve"> Some of these features have been considered in Queensland’s Office of Industrial Relations’ </w:t>
      </w:r>
      <w:hyperlink r:id="rId16" w:history="1">
        <w:r w:rsidRPr="00556BD7">
          <w:rPr>
            <w:rStyle w:val="Hyperlink"/>
            <w:rFonts w:cs="Arial"/>
            <w:sz w:val="18"/>
            <w:szCs w:val="18"/>
          </w:rPr>
          <w:t>Decision Impact Analysis Statement – Gig workers and bailee taxi and limousine drivers</w:t>
        </w:r>
      </w:hyperlink>
      <w:r w:rsidRPr="00556BD7">
        <w:rPr>
          <w:rFonts w:cs="Arial"/>
          <w:sz w:val="18"/>
          <w:szCs w:val="18"/>
        </w:rPr>
        <w:t>.</w:t>
      </w:r>
    </w:p>
  </w:footnote>
  <w:footnote w:id="19">
    <w:p w14:paraId="7B78800D" w14:textId="77777777" w:rsidR="000E4198" w:rsidRDefault="000E4198" w:rsidP="000E4198">
      <w:pPr>
        <w:pStyle w:val="FootnoteText"/>
        <w:rPr>
          <w:rFonts w:cs="Arial"/>
          <w:sz w:val="18"/>
          <w:szCs w:val="18"/>
        </w:rPr>
      </w:pPr>
      <w:r w:rsidRPr="00556BD7">
        <w:rPr>
          <w:rStyle w:val="FootnoteReference"/>
          <w:sz w:val="18"/>
          <w:szCs w:val="18"/>
        </w:rPr>
        <w:footnoteRef/>
      </w:r>
      <w:r w:rsidRPr="00556BD7">
        <w:rPr>
          <w:rFonts w:cs="Arial"/>
          <w:sz w:val="18"/>
          <w:szCs w:val="18"/>
        </w:rPr>
        <w:t xml:space="preserve"> Recommendation 25, Senate Select Committee on Work and Care</w:t>
      </w:r>
      <w:r w:rsidRPr="00556BD7">
        <w:rPr>
          <w:rFonts w:cs="Arial"/>
          <w:sz w:val="18"/>
          <w:szCs w:val="18"/>
        </w:rPr>
        <w:br/>
        <w:t xml:space="preserve">    Recommendation 6, Senate Select Committee on Job Security </w:t>
      </w:r>
      <w:r w:rsidRPr="00556BD7">
        <w:rPr>
          <w:rFonts w:cs="Arial"/>
          <w:sz w:val="18"/>
          <w:szCs w:val="18"/>
        </w:rPr>
        <w:br/>
        <w:t xml:space="preserve">    Recommendation 1, Report of the Inquiry into the Victorian On-Demand Workforce 2020</w:t>
      </w:r>
    </w:p>
    <w:p w14:paraId="58D55AF2" w14:textId="77777777" w:rsidR="000E4198" w:rsidRPr="00556BD7" w:rsidRDefault="000E4198" w:rsidP="000E4198">
      <w:pPr>
        <w:pStyle w:val="FootnoteText"/>
        <w:ind w:left="195"/>
        <w:rPr>
          <w:rFonts w:cs="Arial"/>
          <w:sz w:val="18"/>
          <w:szCs w:val="18"/>
        </w:rPr>
      </w:pPr>
      <w:r>
        <w:rPr>
          <w:rFonts w:cs="Arial"/>
          <w:sz w:val="18"/>
          <w:szCs w:val="18"/>
        </w:rPr>
        <w:t xml:space="preserve">Recommendation 20, Select Committee on the impact of technological and other change on the future of work         and workers in New South Wales </w:t>
      </w:r>
    </w:p>
  </w:footnote>
  <w:footnote w:id="20">
    <w:p w14:paraId="0C0EE93B" w14:textId="77777777" w:rsidR="000E4198" w:rsidRPr="00556BD7" w:rsidRDefault="000E4198" w:rsidP="000E4198">
      <w:pPr>
        <w:pStyle w:val="FootnoteText"/>
        <w:rPr>
          <w:rFonts w:cs="Arial"/>
          <w:i/>
          <w:iCs/>
          <w:sz w:val="18"/>
          <w:szCs w:val="18"/>
        </w:rPr>
      </w:pPr>
      <w:r w:rsidRPr="00556BD7">
        <w:rPr>
          <w:rStyle w:val="FootnoteReference"/>
          <w:sz w:val="18"/>
          <w:szCs w:val="18"/>
        </w:rPr>
        <w:footnoteRef/>
      </w:r>
      <w:r w:rsidRPr="00556BD7">
        <w:rPr>
          <w:rFonts w:cs="Arial"/>
          <w:sz w:val="18"/>
          <w:szCs w:val="18"/>
        </w:rPr>
        <w:t xml:space="preserve"> s 13, </w:t>
      </w:r>
      <w:r w:rsidRPr="00556BD7">
        <w:rPr>
          <w:rFonts w:cs="Arial"/>
          <w:i/>
          <w:iCs/>
          <w:sz w:val="18"/>
          <w:szCs w:val="18"/>
        </w:rPr>
        <w:t>Workers Compensation and Injury Management Act 2023</w:t>
      </w:r>
    </w:p>
  </w:footnote>
  <w:footnote w:id="21">
    <w:p w14:paraId="331644D1" w14:textId="77777777" w:rsidR="000E4198" w:rsidRPr="00556BD7" w:rsidRDefault="000E4198" w:rsidP="000E4198">
      <w:pPr>
        <w:pStyle w:val="FootnoteText"/>
        <w:rPr>
          <w:sz w:val="18"/>
          <w:szCs w:val="18"/>
        </w:rPr>
      </w:pPr>
      <w:r w:rsidRPr="00556BD7">
        <w:rPr>
          <w:rStyle w:val="FootnoteReference"/>
          <w:sz w:val="18"/>
          <w:szCs w:val="18"/>
        </w:rPr>
        <w:footnoteRef/>
      </w:r>
      <w:r w:rsidRPr="00556BD7">
        <w:rPr>
          <w:sz w:val="18"/>
          <w:szCs w:val="18"/>
        </w:rPr>
        <w:t xml:space="preserve"> s 11, </w:t>
      </w:r>
      <w:r w:rsidRPr="00556BD7">
        <w:rPr>
          <w:i/>
          <w:iCs/>
          <w:sz w:val="18"/>
          <w:szCs w:val="18"/>
        </w:rPr>
        <w:t>Workers’ Compensation and Rehabilitation Act 2003</w:t>
      </w:r>
    </w:p>
  </w:footnote>
  <w:footnote w:id="22">
    <w:p w14:paraId="785ACB3B" w14:textId="77777777" w:rsidR="000E4198" w:rsidRPr="00556BD7" w:rsidRDefault="000E4198" w:rsidP="000E4198">
      <w:pPr>
        <w:pStyle w:val="FootnoteText"/>
        <w:rPr>
          <w:sz w:val="18"/>
          <w:szCs w:val="18"/>
        </w:rPr>
      </w:pPr>
      <w:r w:rsidRPr="00556BD7">
        <w:rPr>
          <w:rStyle w:val="FootnoteReference"/>
          <w:sz w:val="18"/>
          <w:szCs w:val="18"/>
        </w:rPr>
        <w:footnoteRef/>
      </w:r>
      <w:r w:rsidRPr="00556BD7">
        <w:rPr>
          <w:sz w:val="18"/>
          <w:szCs w:val="18"/>
        </w:rPr>
        <w:t xml:space="preserve"> </w:t>
      </w:r>
      <w:r>
        <w:rPr>
          <w:sz w:val="18"/>
          <w:szCs w:val="18"/>
        </w:rPr>
        <w:t xml:space="preserve">Parliament of New South Wales </w:t>
      </w:r>
      <w:hyperlink r:id="rId17" w:history="1">
        <w:r w:rsidRPr="00B41B0F">
          <w:rPr>
            <w:rStyle w:val="Hyperlink"/>
            <w:sz w:val="18"/>
            <w:szCs w:val="18"/>
          </w:rPr>
          <w:t>C918 - Costing Request - Modernise Laws to Respond to the Gig Economy.pdf</w:t>
        </w:r>
      </w:hyperlink>
      <w:r>
        <w:rPr>
          <w:sz w:val="18"/>
          <w:szCs w:val="18"/>
        </w:rPr>
        <w:t xml:space="preserve"> </w:t>
      </w:r>
      <w:hyperlink r:id="rId18" w:history="1">
        <w:r w:rsidRPr="0018291A">
          <w:rPr>
            <w:rStyle w:val="Hyperlink"/>
            <w:sz w:val="18"/>
            <w:szCs w:val="18"/>
          </w:rPr>
          <w:t>2023 NSW Labour Platform</w:t>
        </w:r>
      </w:hyperlink>
      <w:r>
        <w:rPr>
          <w:sz w:val="18"/>
          <w:szCs w:val="18"/>
        </w:rPr>
        <w:t xml:space="preserve"> </w:t>
      </w:r>
      <w:r w:rsidRPr="00556BD7">
        <w:rPr>
          <w:rFonts w:cs="Arial"/>
          <w:iCs/>
          <w:sz w:val="18"/>
          <w:szCs w:val="18"/>
        </w:rPr>
        <w:t xml:space="preserve">p. </w:t>
      </w:r>
      <w:r>
        <w:rPr>
          <w:rFonts w:cs="Arial"/>
          <w:iCs/>
          <w:sz w:val="18"/>
          <w:szCs w:val="18"/>
        </w:rPr>
        <w:t>78</w:t>
      </w:r>
      <w:r w:rsidRPr="00556BD7">
        <w:rPr>
          <w:rFonts w:cs="Arial"/>
          <w:iCs/>
          <w:sz w:val="18"/>
          <w:szCs w:val="18"/>
        </w:rPr>
        <w:t xml:space="preserve">.  </w:t>
      </w:r>
    </w:p>
  </w:footnote>
  <w:footnote w:id="23">
    <w:p w14:paraId="4E33974F" w14:textId="77777777" w:rsidR="000E4198" w:rsidRPr="00556BD7" w:rsidRDefault="000E4198" w:rsidP="000E4198">
      <w:pPr>
        <w:pStyle w:val="FootnoteText"/>
        <w:rPr>
          <w:rFonts w:cs="Arial"/>
          <w:iCs/>
          <w:sz w:val="18"/>
          <w:szCs w:val="18"/>
        </w:rPr>
      </w:pPr>
      <w:r w:rsidRPr="00556BD7">
        <w:rPr>
          <w:rStyle w:val="FootnoteReference"/>
          <w:sz w:val="18"/>
          <w:szCs w:val="18"/>
        </w:rPr>
        <w:footnoteRef/>
      </w:r>
      <w:r w:rsidRPr="00556BD7">
        <w:rPr>
          <w:rFonts w:cs="Arial"/>
          <w:sz w:val="18"/>
          <w:szCs w:val="18"/>
        </w:rPr>
        <w:t xml:space="preserve"> Parliament of South Australia, </w:t>
      </w:r>
      <w:hyperlink r:id="rId19" w:history="1">
        <w:r w:rsidRPr="00556BD7">
          <w:rPr>
            <w:rStyle w:val="Hyperlink"/>
            <w:rFonts w:cs="Arial"/>
            <w:sz w:val="18"/>
            <w:szCs w:val="18"/>
          </w:rPr>
          <w:t>Report of the Select Committee on the Gig Economy</w:t>
        </w:r>
      </w:hyperlink>
      <w:r w:rsidRPr="00556BD7">
        <w:rPr>
          <w:rFonts w:cs="Arial"/>
          <w:sz w:val="18"/>
          <w:szCs w:val="18"/>
        </w:rPr>
        <w:t>, 4 June 2024, p. 27.</w:t>
      </w:r>
    </w:p>
  </w:footnote>
  <w:footnote w:id="24">
    <w:p w14:paraId="2C409BB9" w14:textId="77777777" w:rsidR="000E4198" w:rsidRPr="00556BD7" w:rsidRDefault="000E4198" w:rsidP="000E4198">
      <w:pPr>
        <w:pStyle w:val="FootnoteText"/>
        <w:rPr>
          <w:rFonts w:cs="Arial"/>
          <w:sz w:val="18"/>
          <w:szCs w:val="18"/>
        </w:rPr>
      </w:pPr>
      <w:r w:rsidRPr="00556BD7">
        <w:rPr>
          <w:rStyle w:val="FootnoteReference"/>
          <w:sz w:val="18"/>
          <w:szCs w:val="18"/>
        </w:rPr>
        <w:footnoteRef/>
      </w:r>
      <w:r w:rsidRPr="00556BD7">
        <w:rPr>
          <w:rFonts w:cs="Arial"/>
          <w:sz w:val="18"/>
          <w:szCs w:val="18"/>
        </w:rPr>
        <w:t xml:space="preserve"> Ibid. </w:t>
      </w:r>
    </w:p>
  </w:footnote>
  <w:footnote w:id="25">
    <w:p w14:paraId="45A2E2DF" w14:textId="77777777" w:rsidR="000E4198" w:rsidRPr="00556BD7" w:rsidRDefault="000E4198" w:rsidP="000E4198">
      <w:pPr>
        <w:pStyle w:val="FootnoteText"/>
        <w:rPr>
          <w:rFonts w:cs="Arial"/>
          <w:sz w:val="18"/>
          <w:szCs w:val="18"/>
        </w:rPr>
      </w:pPr>
      <w:r w:rsidRPr="00556BD7">
        <w:rPr>
          <w:rStyle w:val="FootnoteReference"/>
          <w:sz w:val="18"/>
          <w:szCs w:val="18"/>
        </w:rPr>
        <w:footnoteRef/>
      </w:r>
      <w:r w:rsidRPr="00556BD7">
        <w:rPr>
          <w:rFonts w:cs="Arial"/>
          <w:sz w:val="18"/>
          <w:szCs w:val="18"/>
        </w:rPr>
        <w:t xml:space="preserve"> NSW </w:t>
      </w:r>
      <w:r w:rsidRPr="00556BD7">
        <w:rPr>
          <w:rFonts w:cs="Arial"/>
          <w:iCs/>
          <w:sz w:val="18"/>
          <w:szCs w:val="18"/>
        </w:rPr>
        <w:t xml:space="preserve">Select Committee on the Impact of Technological and other change on the Future of Work and Workers in New South Wales, </w:t>
      </w:r>
      <w:hyperlink r:id="rId20" w:history="1">
        <w:r w:rsidRPr="00556BD7">
          <w:rPr>
            <w:rStyle w:val="Hyperlink"/>
            <w:rFonts w:cs="Arial"/>
            <w:iCs/>
            <w:sz w:val="18"/>
            <w:szCs w:val="18"/>
          </w:rPr>
          <w:t>Impact of technological and other change on the future of work and workers in New South Wales</w:t>
        </w:r>
      </w:hyperlink>
      <w:r w:rsidRPr="00556BD7">
        <w:rPr>
          <w:rFonts w:cs="Arial"/>
          <w:iCs/>
          <w:sz w:val="18"/>
          <w:szCs w:val="18"/>
        </w:rPr>
        <w:t>, April 2022, p.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A6FA" w14:textId="77777777" w:rsidR="000746F6" w:rsidRDefault="000746F6">
    <w:pPr>
      <w:pStyle w:val="Header"/>
    </w:pPr>
  </w:p>
  <w:p w14:paraId="2B40A6D4" w14:textId="77777777" w:rsidR="000746F6" w:rsidRDefault="000746F6">
    <w:pPr>
      <w:pStyle w:val="Header"/>
    </w:pPr>
  </w:p>
  <w:p w14:paraId="6A4CDCF8" w14:textId="77777777" w:rsidR="000746F6" w:rsidRDefault="008F3F28">
    <w:pPr>
      <w:pStyle w:val="Header"/>
    </w:pPr>
    <w:r>
      <w:rPr>
        <w:noProof/>
      </w:rPr>
      <mc:AlternateContent>
        <mc:Choice Requires="wps">
          <w:drawing>
            <wp:anchor distT="0" distB="0" distL="114300" distR="114300" simplePos="0" relativeHeight="251658239" behindDoc="0" locked="0" layoutInCell="1" allowOverlap="1" wp14:anchorId="25FF7F30" wp14:editId="00729CC8">
              <wp:simplePos x="0" y="0"/>
              <wp:positionH relativeFrom="column">
                <wp:posOffset>4443055</wp:posOffset>
              </wp:positionH>
              <wp:positionV relativeFrom="paragraph">
                <wp:posOffset>1672920</wp:posOffset>
              </wp:positionV>
              <wp:extent cx="5210997" cy="5591175"/>
              <wp:effectExtent l="38100" t="38100" r="46990" b="47625"/>
              <wp:wrapNone/>
              <wp:docPr id="980881331" name="Flowchart: Manual Input 1"/>
              <wp:cNvGraphicFramePr/>
              <a:graphic xmlns:a="http://schemas.openxmlformats.org/drawingml/2006/main">
                <a:graphicData uri="http://schemas.microsoft.com/office/word/2010/wordprocessingShape">
                  <wps:wsp>
                    <wps:cNvSpPr/>
                    <wps:spPr>
                      <a:xfrm flipV="1">
                        <a:off x="0" y="0"/>
                        <a:ext cx="5210997"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3559 w 2670559"/>
                          <a:gd name="connsiteY0" fmla="*/ 92092 h 3076575"/>
                          <a:gd name="connsiteX1" fmla="*/ 95651 w 2670559"/>
                          <a:gd name="connsiteY1" fmla="*/ 0 h 3076575"/>
                          <a:gd name="connsiteX2" fmla="*/ 2578467 w 2670559"/>
                          <a:gd name="connsiteY2" fmla="*/ 0 h 3076575"/>
                          <a:gd name="connsiteX3" fmla="*/ 2670559 w 2670559"/>
                          <a:gd name="connsiteY3" fmla="*/ 92092 h 3076575"/>
                          <a:gd name="connsiteX4" fmla="*/ 2670559 w 2670559"/>
                          <a:gd name="connsiteY4" fmla="*/ 2974958 h 3076575"/>
                          <a:gd name="connsiteX5" fmla="*/ 2578467 w 2670559"/>
                          <a:gd name="connsiteY5" fmla="*/ 3067050 h 3076575"/>
                          <a:gd name="connsiteX6" fmla="*/ 918634 w 2670559"/>
                          <a:gd name="connsiteY6" fmla="*/ 3076575 h 3076575"/>
                          <a:gd name="connsiteX7" fmla="*/ 788733 w 2670559"/>
                          <a:gd name="connsiteY7" fmla="*/ 2967033 h 3076575"/>
                          <a:gd name="connsiteX8" fmla="*/ 3559 w 2670559"/>
                          <a:gd name="connsiteY8" fmla="*/ 92092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2867" h="3076575">
                            <a:moveTo>
                              <a:pt x="3970" y="121176"/>
                            </a:moveTo>
                            <a:cubicBezTo>
                              <a:pt x="-14935" y="49956"/>
                              <a:pt x="37098" y="0"/>
                              <a:pt x="87959" y="0"/>
                            </a:cubicBezTo>
                            <a:lnTo>
                              <a:pt x="2570775" y="0"/>
                            </a:lnTo>
                            <a:cubicBezTo>
                              <a:pt x="2621636" y="0"/>
                              <a:pt x="2662867" y="41231"/>
                              <a:pt x="2662867" y="92092"/>
                            </a:cubicBezTo>
                            <a:lnTo>
                              <a:pt x="2662867" y="2974958"/>
                            </a:lnTo>
                            <a:cubicBezTo>
                              <a:pt x="2662867" y="3025819"/>
                              <a:pt x="2621636" y="3067050"/>
                              <a:pt x="2570775" y="3067050"/>
                            </a:cubicBezTo>
                            <a:lnTo>
                              <a:pt x="910942" y="3076575"/>
                            </a:lnTo>
                            <a:cubicBezTo>
                              <a:pt x="835775" y="3076575"/>
                              <a:pt x="794545" y="3017894"/>
                              <a:pt x="781041" y="2967033"/>
                            </a:cubicBezTo>
                            <a:lnTo>
                              <a:pt x="3970" y="121176"/>
                            </a:lnTo>
                            <a:close/>
                          </a:path>
                        </a:pathLst>
                      </a:custGeom>
                      <a:noFill/>
                      <a:ln w="76200" cap="rnd">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4675B" id="Flowchart: Manual Input 1" o:spid="_x0000_s1026" style="position:absolute;margin-left:349.85pt;margin-top:131.75pt;width:410.3pt;height:440.2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2867,307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" path="m3970,121176c-14935,49956,37098,,87959,l2570775,v50861,,92092,41231,92092,92092l2662867,2974958v,50861,-41231,92092,-92092,92092l910942,3076575v-75167,,-116397,-58681,-129901,-109542l3970,121176xe" filled="f" strokecolor="#987cf6 [1311]" strokeweight="6pt">
              <v:stroke endcap="round"/>
              <v:path arrowok="t" o:connecttype="custom" o:connectlocs="7769,220218;172128,0;5030781,0;5210997,167362;5210997,5406503;5030781,5573865;1782634,5591175;1528429,5392100;7769,220218" o:connectangles="0,0,0,0,0,0,0,0,0"/>
            </v:shape>
          </w:pict>
        </mc:Fallback>
      </mc:AlternateContent>
    </w:r>
    <w:r>
      <w:rPr>
        <w:noProof/>
      </w:rPr>
      <mc:AlternateContent>
        <mc:Choice Requires="wps">
          <w:drawing>
            <wp:anchor distT="0" distB="0" distL="114300" distR="114300" simplePos="0" relativeHeight="251657214" behindDoc="0" locked="0" layoutInCell="1" allowOverlap="1" wp14:anchorId="1D154861" wp14:editId="6859B730">
              <wp:simplePos x="0" y="0"/>
              <wp:positionH relativeFrom="column">
                <wp:posOffset>3824645</wp:posOffset>
              </wp:positionH>
              <wp:positionV relativeFrom="paragraph">
                <wp:posOffset>1672920</wp:posOffset>
              </wp:positionV>
              <wp:extent cx="5213552" cy="5591175"/>
              <wp:effectExtent l="0" t="0" r="6350" b="9525"/>
              <wp:wrapNone/>
              <wp:docPr id="908332965" name="Flowchart: Manual Input 1"/>
              <wp:cNvGraphicFramePr/>
              <a:graphic xmlns:a="http://schemas.openxmlformats.org/drawingml/2006/main">
                <a:graphicData uri="http://schemas.microsoft.com/office/word/2010/wordprocessingShape">
                  <wps:wsp>
                    <wps:cNvSpPr/>
                    <wps:spPr>
                      <a:xfrm>
                        <a:off x="0" y="0"/>
                        <a:ext cx="5213552"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56198"/>
                          <a:gd name="connsiteY0" fmla="*/ 135718 h 3076575"/>
                          <a:gd name="connsiteX1" fmla="*/ 81290 w 2656198"/>
                          <a:gd name="connsiteY1" fmla="*/ 0 h 3076575"/>
                          <a:gd name="connsiteX2" fmla="*/ 2564106 w 2656198"/>
                          <a:gd name="connsiteY2" fmla="*/ 0 h 3076575"/>
                          <a:gd name="connsiteX3" fmla="*/ 2656198 w 2656198"/>
                          <a:gd name="connsiteY3" fmla="*/ 92092 h 3076575"/>
                          <a:gd name="connsiteX4" fmla="*/ 2656198 w 2656198"/>
                          <a:gd name="connsiteY4" fmla="*/ 2974958 h 3076575"/>
                          <a:gd name="connsiteX5" fmla="*/ 2564106 w 2656198"/>
                          <a:gd name="connsiteY5" fmla="*/ 3067050 h 3076575"/>
                          <a:gd name="connsiteX6" fmla="*/ 904273 w 2656198"/>
                          <a:gd name="connsiteY6" fmla="*/ 3076575 h 3076575"/>
                          <a:gd name="connsiteX7" fmla="*/ 774372 w 2656198"/>
                          <a:gd name="connsiteY7" fmla="*/ 2967033 h 3076575"/>
                          <a:gd name="connsiteX8" fmla="*/ 0 w 2656198"/>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4089" h="3076575">
                            <a:moveTo>
                              <a:pt x="7891" y="135718"/>
                            </a:moveTo>
                            <a:cubicBezTo>
                              <a:pt x="-21819" y="20872"/>
                              <a:pt x="38320" y="0"/>
                              <a:pt x="89181" y="0"/>
                            </a:cubicBezTo>
                            <a:lnTo>
                              <a:pt x="2571997" y="0"/>
                            </a:lnTo>
                            <a:cubicBezTo>
                              <a:pt x="2622858" y="0"/>
                              <a:pt x="2664089" y="41231"/>
                              <a:pt x="2664089" y="92092"/>
                            </a:cubicBezTo>
                            <a:lnTo>
                              <a:pt x="2664089" y="2974958"/>
                            </a:lnTo>
                            <a:cubicBezTo>
                              <a:pt x="2664089" y="3025819"/>
                              <a:pt x="2622858" y="3067050"/>
                              <a:pt x="2571997" y="3067050"/>
                            </a:cubicBezTo>
                            <a:lnTo>
                              <a:pt x="912164" y="3076575"/>
                            </a:lnTo>
                            <a:cubicBezTo>
                              <a:pt x="836997" y="3076575"/>
                              <a:pt x="795767" y="3017894"/>
                              <a:pt x="782263" y="2967033"/>
                            </a:cubicBezTo>
                            <a:lnTo>
                              <a:pt x="7891" y="135718"/>
                            </a:lnTo>
                            <a:close/>
                          </a:path>
                        </a:pathLst>
                      </a:custGeom>
                      <a:solidFill>
                        <a:schemeClr val="tx2"/>
                      </a:solidFill>
                      <a:ln w="50800" cap="rnd">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F4B704" w14:textId="373584F9" w:rsidR="000474AB" w:rsidRDefault="000474AB" w:rsidP="00047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4861" id="Flowchart: Manual Input 1" o:spid="_x0000_s1026" style="position:absolute;margin-left:301.15pt;margin-top:131.75pt;width:410.5pt;height:440.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089,307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" adj="-11796480,,5400" path="m7891,135718c-21819,20872,38320,,89181,l2571997,v50861,,92092,41231,92092,92092l2664089,2974958v,50861,-41231,92092,-92092,92092l912164,3076575v-75167,,-116397,-58681,-129901,-109542l7891,135718xe" fillcolor="#2b0a99 [3215]" stroked="f" strokeweight="4pt">
              <v:stroke joinstyle="miter" endcap="round"/>
              <v:formulas/>
              <v:path arrowok="t" o:connecttype="custom" o:connectlocs="15442,246645;174525,0;5033330,0;5213552,167362;5213552,5406503;5033330,5573865;1785081,5591175;1530868,5392100;15442,246645" o:connectangles="0,0,0,0,0,0,0,0,0" textboxrect="0,0,2664089,3076575"/>
              <v:textbox>
                <w:txbxContent>
                  <w:p w14:paraId="34F4B704" w14:textId="373584F9" w:rsidR="000474AB" w:rsidRDefault="000474AB" w:rsidP="000474AB">
                    <w:pPr>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7043" w14:textId="77777777" w:rsidR="000746F6" w:rsidRDefault="000746F6">
    <w:pPr>
      <w:pStyle w:val="Header"/>
    </w:pPr>
  </w:p>
  <w:p w14:paraId="67AEA795" w14:textId="77777777" w:rsidR="000746F6" w:rsidRDefault="000746F6">
    <w:pPr>
      <w:pStyle w:val="Header"/>
    </w:pPr>
  </w:p>
  <w:p w14:paraId="325FF90A" w14:textId="77777777" w:rsidR="000746F6" w:rsidRDefault="00074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CE8E" w14:textId="77777777" w:rsidR="000746F6" w:rsidRDefault="000746F6">
    <w:pPr>
      <w:pStyle w:val="Header"/>
    </w:pPr>
  </w:p>
  <w:p w14:paraId="1701FA93" w14:textId="77777777" w:rsidR="000746F6" w:rsidRDefault="000746F6">
    <w:pPr>
      <w:pStyle w:val="Header"/>
    </w:pPr>
  </w:p>
  <w:p w14:paraId="41F69CD7" w14:textId="77777777" w:rsidR="000746F6" w:rsidRDefault="0007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1"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4458A5"/>
    <w:multiLevelType w:val="multilevel"/>
    <w:tmpl w:val="3C921C80"/>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color w:val="000000" w:themeColor="text1"/>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5"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6" w15:restartNumberingAfterBreak="0">
    <w:nsid w:val="651D65C0"/>
    <w:multiLevelType w:val="multilevel"/>
    <w:tmpl w:val="82DCA99C"/>
    <w:lvl w:ilvl="0">
      <w:start w:val="1"/>
      <w:numFmt w:val="decimal"/>
      <w:lvlText w:val="%1."/>
      <w:lvlJc w:val="left"/>
      <w:pPr>
        <w:ind w:left="1145" w:hanging="425"/>
      </w:pPr>
      <w:rPr>
        <w:rFonts w:hint="default"/>
        <w:i w:val="0"/>
        <w:iCs w:val="0"/>
        <w:color w:val="auto"/>
        <w:sz w:val="22"/>
        <w:szCs w:val="22"/>
      </w:rPr>
    </w:lvl>
    <w:lvl w:ilvl="1">
      <w:start w:val="1"/>
      <w:numFmt w:val="decimal"/>
      <w:lvlText w:val="%2."/>
      <w:lvlJc w:val="left"/>
      <w:pPr>
        <w:ind w:left="1422" w:hanging="425"/>
      </w:pPr>
      <w:rPr>
        <w:rFonts w:ascii="Arial" w:eastAsia="Calibri" w:hAnsi="Arial" w:cs="Arial"/>
        <w:color w:val="auto"/>
      </w:rPr>
    </w:lvl>
    <w:lvl w:ilvl="2">
      <w:start w:val="1"/>
      <w:numFmt w:val="bullet"/>
      <w:lvlText w:val="o"/>
      <w:lvlJc w:val="left"/>
      <w:pPr>
        <w:ind w:left="1825" w:hanging="396"/>
      </w:pPr>
      <w:rPr>
        <w:rFonts w:ascii="Courier New" w:hAnsi="Courier New" w:hint="default"/>
      </w:rPr>
    </w:lvl>
    <w:lvl w:ilvl="3">
      <w:start w:val="1"/>
      <w:numFmt w:val="decimal"/>
      <w:lvlText w:val="%4."/>
      <w:lvlJc w:val="left"/>
      <w:pPr>
        <w:ind w:left="2279" w:hanging="425"/>
      </w:pPr>
      <w:rPr>
        <w:rFonts w:hint="default"/>
      </w:rPr>
    </w:lvl>
    <w:lvl w:ilvl="4">
      <w:start w:val="1"/>
      <w:numFmt w:val="lowerLetter"/>
      <w:lvlText w:val="%5."/>
      <w:lvlJc w:val="left"/>
      <w:pPr>
        <w:ind w:left="1608" w:hanging="425"/>
      </w:pPr>
      <w:rPr>
        <w:rFonts w:hint="default"/>
      </w:rPr>
    </w:lvl>
    <w:lvl w:ilvl="5">
      <w:start w:val="1"/>
      <w:numFmt w:val="lowerRoman"/>
      <w:lvlText w:val="%6."/>
      <w:lvlJc w:val="right"/>
      <w:pPr>
        <w:ind w:left="1670" w:hanging="425"/>
      </w:pPr>
      <w:rPr>
        <w:rFonts w:hint="default"/>
      </w:rPr>
    </w:lvl>
    <w:lvl w:ilvl="6">
      <w:start w:val="1"/>
      <w:numFmt w:val="decimal"/>
      <w:lvlText w:val="%7."/>
      <w:lvlJc w:val="left"/>
      <w:pPr>
        <w:ind w:left="1732" w:hanging="425"/>
      </w:pPr>
      <w:rPr>
        <w:rFonts w:hint="default"/>
      </w:rPr>
    </w:lvl>
    <w:lvl w:ilvl="7">
      <w:start w:val="1"/>
      <w:numFmt w:val="lowerLetter"/>
      <w:lvlText w:val="%8."/>
      <w:lvlJc w:val="left"/>
      <w:pPr>
        <w:ind w:left="1794" w:hanging="425"/>
      </w:pPr>
      <w:rPr>
        <w:rFonts w:hint="default"/>
      </w:rPr>
    </w:lvl>
    <w:lvl w:ilvl="8">
      <w:start w:val="1"/>
      <w:numFmt w:val="lowerRoman"/>
      <w:lvlText w:val="%9."/>
      <w:lvlJc w:val="right"/>
      <w:pPr>
        <w:ind w:left="1856" w:hanging="425"/>
      </w:pPr>
      <w:rPr>
        <w:rFonts w:hint="default"/>
      </w:rPr>
    </w:lvl>
  </w:abstractNum>
  <w:abstractNum w:abstractNumId="7" w15:restartNumberingAfterBreak="0">
    <w:nsid w:val="655823BE"/>
    <w:multiLevelType w:val="hybridMultilevel"/>
    <w:tmpl w:val="D56ADF62"/>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8"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9" w15:restartNumberingAfterBreak="0">
    <w:nsid w:val="7D7428FA"/>
    <w:multiLevelType w:val="multilevel"/>
    <w:tmpl w:val="CA4C3EE4"/>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0"/>
      <w:pStyle w:val="SWAHeading1"/>
      <w:lvlText w:val="%3."/>
      <w:lvlJc w:val="left"/>
      <w:pPr>
        <w:ind w:left="567" w:hanging="567"/>
      </w:pPr>
      <w:rPr>
        <w:rFonts w:hint="default"/>
      </w:rPr>
    </w:lvl>
    <w:lvl w:ilvl="3">
      <w:start w:val="1"/>
      <w:numFmt w:val="decimal"/>
      <w:pStyle w:val="SWAHeading2"/>
      <w:isLgl/>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0" w15:restartNumberingAfterBreak="0">
    <w:nsid w:val="7ECD56B4"/>
    <w:multiLevelType w:val="hybridMultilevel"/>
    <w:tmpl w:val="3418F38C"/>
    <w:lvl w:ilvl="0" w:tplc="D22EB834">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915700">
    <w:abstractNumId w:val="10"/>
  </w:num>
  <w:num w:numId="2" w16cid:durableId="413086635">
    <w:abstractNumId w:val="0"/>
  </w:num>
  <w:num w:numId="3" w16cid:durableId="1062144588">
    <w:abstractNumId w:val="8"/>
  </w:num>
  <w:num w:numId="4" w16cid:durableId="1248659126">
    <w:abstractNumId w:val="5"/>
  </w:num>
  <w:num w:numId="5" w16cid:durableId="199436826">
    <w:abstractNumId w:val="3"/>
  </w:num>
  <w:num w:numId="6" w16cid:durableId="1748771899">
    <w:abstractNumId w:val="1"/>
  </w:num>
  <w:num w:numId="7" w16cid:durableId="1020936201">
    <w:abstractNumId w:val="2"/>
  </w:num>
  <w:num w:numId="8" w16cid:durableId="872621870">
    <w:abstractNumId w:val="4"/>
  </w:num>
  <w:num w:numId="9" w16cid:durableId="1191795628">
    <w:abstractNumId w:val="9"/>
  </w:num>
  <w:num w:numId="10" w16cid:durableId="667486411">
    <w:abstractNumId w:val="6"/>
  </w:num>
  <w:num w:numId="11" w16cid:durableId="74707568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4C"/>
    <w:rsid w:val="000108F5"/>
    <w:rsid w:val="00013FCA"/>
    <w:rsid w:val="00025F3F"/>
    <w:rsid w:val="000474AB"/>
    <w:rsid w:val="000746F6"/>
    <w:rsid w:val="000A15C0"/>
    <w:rsid w:val="000E276E"/>
    <w:rsid w:val="000E4198"/>
    <w:rsid w:val="000F6A2F"/>
    <w:rsid w:val="001106DC"/>
    <w:rsid w:val="00154930"/>
    <w:rsid w:val="001649F7"/>
    <w:rsid w:val="00180638"/>
    <w:rsid w:val="001B1EDF"/>
    <w:rsid w:val="001B29B2"/>
    <w:rsid w:val="001B3E20"/>
    <w:rsid w:val="001C1FB2"/>
    <w:rsid w:val="00241746"/>
    <w:rsid w:val="00267FCA"/>
    <w:rsid w:val="0027612F"/>
    <w:rsid w:val="002B1F8E"/>
    <w:rsid w:val="002C1D5D"/>
    <w:rsid w:val="003338AE"/>
    <w:rsid w:val="00371196"/>
    <w:rsid w:val="003B5951"/>
    <w:rsid w:val="003C3D57"/>
    <w:rsid w:val="003D26E4"/>
    <w:rsid w:val="003F2CF8"/>
    <w:rsid w:val="003F6870"/>
    <w:rsid w:val="00405F54"/>
    <w:rsid w:val="00407288"/>
    <w:rsid w:val="0041217F"/>
    <w:rsid w:val="004576DE"/>
    <w:rsid w:val="004745AD"/>
    <w:rsid w:val="00477F6B"/>
    <w:rsid w:val="004A34C6"/>
    <w:rsid w:val="004B78C7"/>
    <w:rsid w:val="004F1D66"/>
    <w:rsid w:val="004F4EC2"/>
    <w:rsid w:val="005037CC"/>
    <w:rsid w:val="00553720"/>
    <w:rsid w:val="005B6251"/>
    <w:rsid w:val="005E4F4F"/>
    <w:rsid w:val="0060233C"/>
    <w:rsid w:val="00616694"/>
    <w:rsid w:val="006258B4"/>
    <w:rsid w:val="006777D3"/>
    <w:rsid w:val="006C0E26"/>
    <w:rsid w:val="006C6524"/>
    <w:rsid w:val="006D7763"/>
    <w:rsid w:val="006E14BA"/>
    <w:rsid w:val="006E1BEC"/>
    <w:rsid w:val="00711F77"/>
    <w:rsid w:val="00755D55"/>
    <w:rsid w:val="00784B04"/>
    <w:rsid w:val="00793BA2"/>
    <w:rsid w:val="00794742"/>
    <w:rsid w:val="007C438D"/>
    <w:rsid w:val="007F4E6D"/>
    <w:rsid w:val="00811723"/>
    <w:rsid w:val="00820C40"/>
    <w:rsid w:val="0082535E"/>
    <w:rsid w:val="0085012B"/>
    <w:rsid w:val="008A6F27"/>
    <w:rsid w:val="008D5CFE"/>
    <w:rsid w:val="008D6C3B"/>
    <w:rsid w:val="008E2747"/>
    <w:rsid w:val="008F3F28"/>
    <w:rsid w:val="009215CE"/>
    <w:rsid w:val="00944B63"/>
    <w:rsid w:val="00982FB6"/>
    <w:rsid w:val="009838A8"/>
    <w:rsid w:val="009B087B"/>
    <w:rsid w:val="00A02542"/>
    <w:rsid w:val="00A02C40"/>
    <w:rsid w:val="00A076D8"/>
    <w:rsid w:val="00A10276"/>
    <w:rsid w:val="00A2349A"/>
    <w:rsid w:val="00A26D70"/>
    <w:rsid w:val="00A35272"/>
    <w:rsid w:val="00A35F86"/>
    <w:rsid w:val="00A5559D"/>
    <w:rsid w:val="00A93A52"/>
    <w:rsid w:val="00AB03F1"/>
    <w:rsid w:val="00AC56CB"/>
    <w:rsid w:val="00AD1831"/>
    <w:rsid w:val="00AD361A"/>
    <w:rsid w:val="00AE21DB"/>
    <w:rsid w:val="00AE220B"/>
    <w:rsid w:val="00AE3CE2"/>
    <w:rsid w:val="00B112FF"/>
    <w:rsid w:val="00B34CA8"/>
    <w:rsid w:val="00B37C41"/>
    <w:rsid w:val="00B868FA"/>
    <w:rsid w:val="00BE7F18"/>
    <w:rsid w:val="00BF0B3C"/>
    <w:rsid w:val="00C0432F"/>
    <w:rsid w:val="00C31F44"/>
    <w:rsid w:val="00C47C1B"/>
    <w:rsid w:val="00C55110"/>
    <w:rsid w:val="00C6085C"/>
    <w:rsid w:val="00C641DB"/>
    <w:rsid w:val="00C95005"/>
    <w:rsid w:val="00D30D94"/>
    <w:rsid w:val="00D4529D"/>
    <w:rsid w:val="00D55141"/>
    <w:rsid w:val="00D72354"/>
    <w:rsid w:val="00D96F47"/>
    <w:rsid w:val="00DB7B01"/>
    <w:rsid w:val="00DC522B"/>
    <w:rsid w:val="00DE4739"/>
    <w:rsid w:val="00E1134C"/>
    <w:rsid w:val="00E12028"/>
    <w:rsid w:val="00E14BDF"/>
    <w:rsid w:val="00E36081"/>
    <w:rsid w:val="00E6439B"/>
    <w:rsid w:val="00E96B4B"/>
    <w:rsid w:val="00EC267D"/>
    <w:rsid w:val="00EC6B4E"/>
    <w:rsid w:val="00ED5104"/>
    <w:rsid w:val="00F35A12"/>
    <w:rsid w:val="00F820E9"/>
    <w:rsid w:val="00FB5F0A"/>
    <w:rsid w:val="00FE61B2"/>
    <w:rsid w:val="00FF6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B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110"/>
    <w:pPr>
      <w:spacing w:after="120" w:line="264" w:lineRule="auto"/>
      <w:contextualSpacing/>
    </w:pPr>
    <w:rPr>
      <w:rFonts w:ascii="Arial" w:hAnsi="Arial"/>
      <w:szCs w:val="24"/>
    </w:rPr>
  </w:style>
  <w:style w:type="paragraph" w:styleId="Heading1">
    <w:name w:val="heading 1"/>
    <w:aliases w:val="Numbered Heading 1"/>
    <w:basedOn w:val="Title"/>
    <w:next w:val="Normal"/>
    <w:link w:val="Heading1Char"/>
    <w:rsid w:val="00F820E9"/>
    <w:pPr>
      <w:numPr>
        <w:numId w:val="7"/>
      </w:numPr>
      <w:spacing w:after="240"/>
      <w:ind w:right="2977"/>
      <w:outlineLvl w:val="0"/>
    </w:pPr>
    <w:rPr>
      <w:rFonts w:cs="Arial"/>
      <w:sz w:val="36"/>
      <w:szCs w:val="36"/>
    </w:rPr>
  </w:style>
  <w:style w:type="paragraph" w:styleId="Heading2">
    <w:name w:val="heading 2"/>
    <w:aliases w:val="Numbered Heading 2"/>
    <w:basedOn w:val="Normal"/>
    <w:next w:val="Normal"/>
    <w:link w:val="Heading2Char"/>
    <w:semiHidden/>
    <w:unhideWhenUsed/>
    <w:rsid w:val="006777D3"/>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semiHidden/>
    <w:unhideWhenUsed/>
    <w:qFormat/>
    <w:rsid w:val="007C438D"/>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E6439B"/>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8D5CFE"/>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semiHidden/>
    <w:unhideWhenUsed/>
    <w:qFormat/>
    <w:rsid w:val="00FB5F0A"/>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FB5F0A"/>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FB5F0A"/>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B5F0A"/>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shaded">
    <w:name w:val="Boxed/shaded"/>
    <w:basedOn w:val="Normal"/>
    <w:qFormat/>
    <w:rsid w:val="00E6439B"/>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Disclaimer">
    <w:name w:val="Disclaimer"/>
    <w:basedOn w:val="Normal"/>
    <w:qFormat/>
    <w:rsid w:val="00FB5F0A"/>
    <w:pPr>
      <w:spacing w:after="60"/>
    </w:pPr>
    <w:rPr>
      <w:sz w:val="16"/>
    </w:rPr>
  </w:style>
  <w:style w:type="paragraph" w:customStyle="1" w:styleId="SWABullets">
    <w:name w:val="SWA Bullets"/>
    <w:basedOn w:val="Normal"/>
    <w:link w:val="SWABulletsChar"/>
    <w:semiHidden/>
    <w:qFormat/>
    <w:locked/>
    <w:rsid w:val="00FB5F0A"/>
    <w:pPr>
      <w:numPr>
        <w:numId w:val="5"/>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FB5F0A"/>
    <w:rPr>
      <w:rFonts w:ascii="Arial" w:eastAsia="Times New Roman" w:hAnsi="Arial" w:cs="Times New Roman"/>
      <w:szCs w:val="24"/>
      <w:lang w:eastAsia="en-AU"/>
    </w:rPr>
  </w:style>
  <w:style w:type="paragraph" w:customStyle="1" w:styleId="TOC">
    <w:name w:val="TOC"/>
    <w:basedOn w:val="TOC1"/>
    <w:link w:val="TOCChar"/>
    <w:qFormat/>
    <w:rsid w:val="00FB5F0A"/>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FB5F0A"/>
    <w:rPr>
      <w:rFonts w:ascii="Arial" w:eastAsia="Times New Roman" w:hAnsi="Arial" w:cs="Arial"/>
      <w:b/>
      <w:bCs/>
      <w:caps/>
      <w:sz w:val="32"/>
      <w:szCs w:val="32"/>
    </w:rPr>
  </w:style>
  <w:style w:type="paragraph" w:styleId="TOC1">
    <w:name w:val="toc 1"/>
    <w:basedOn w:val="Normal"/>
    <w:next w:val="Normal"/>
    <w:autoRedefine/>
    <w:uiPriority w:val="39"/>
    <w:unhideWhenUsed/>
    <w:rsid w:val="00E14BDF"/>
    <w:pPr>
      <w:tabs>
        <w:tab w:val="left" w:pos="440"/>
        <w:tab w:val="right" w:leader="dot" w:pos="9016"/>
      </w:tabs>
      <w:spacing w:after="100"/>
      <w:contextualSpacing w:val="0"/>
    </w:pPr>
    <w:rPr>
      <w:b/>
      <w:bCs/>
      <w:noProof/>
    </w:rPr>
  </w:style>
  <w:style w:type="paragraph" w:customStyle="1" w:styleId="Link">
    <w:name w:val="Link"/>
    <w:basedOn w:val="Normal"/>
    <w:link w:val="LinkChar"/>
    <w:qFormat/>
    <w:rsid w:val="00FB5F0A"/>
    <w:pPr>
      <w:spacing w:after="0"/>
    </w:pPr>
    <w:rPr>
      <w:rFonts w:eastAsia="Times New Roman" w:cs="Times New Roman"/>
      <w:lang w:eastAsia="en-AU"/>
    </w:rPr>
  </w:style>
  <w:style w:type="character" w:customStyle="1" w:styleId="LinkChar">
    <w:name w:val="Link Char"/>
    <w:basedOn w:val="DefaultParagraphFont"/>
    <w:link w:val="Link"/>
    <w:rsid w:val="00FB5F0A"/>
    <w:rPr>
      <w:rFonts w:ascii="Arial" w:eastAsia="Times New Roman" w:hAnsi="Arial" w:cs="Times New Roman"/>
      <w:sz w:val="20"/>
      <w:szCs w:val="24"/>
      <w:lang w:eastAsia="en-AU"/>
    </w:rPr>
  </w:style>
  <w:style w:type="character" w:customStyle="1" w:styleId="Emphasised">
    <w:name w:val="Emphasised"/>
    <w:uiPriority w:val="1"/>
    <w:qFormat/>
    <w:rsid w:val="00FB5F0A"/>
    <w:rPr>
      <w:sz w:val="32"/>
      <w:szCs w:val="32"/>
    </w:rPr>
  </w:style>
  <w:style w:type="paragraph" w:customStyle="1" w:styleId="SWA-NORMAL">
    <w:name w:val="SWA - NORMAL"/>
    <w:basedOn w:val="Normal"/>
    <w:qFormat/>
    <w:locked/>
    <w:rsid w:val="00FB5F0A"/>
    <w:pPr>
      <w:tabs>
        <w:tab w:val="left" w:pos="425"/>
      </w:tabs>
    </w:pPr>
  </w:style>
  <w:style w:type="paragraph" w:customStyle="1" w:styleId="TableContent">
    <w:name w:val="Table Content"/>
    <w:basedOn w:val="Normal"/>
    <w:link w:val="TableContentChar"/>
    <w:qFormat/>
    <w:rsid w:val="00DC522B"/>
    <w:pPr>
      <w:spacing w:before="120"/>
    </w:pPr>
    <w:rPr>
      <w:b/>
    </w:rPr>
  </w:style>
  <w:style w:type="character" w:customStyle="1" w:styleId="TableContentChar">
    <w:name w:val="Table Content Char"/>
    <w:basedOn w:val="DefaultParagraphFont"/>
    <w:link w:val="TableContent"/>
    <w:rsid w:val="00DC522B"/>
    <w:rPr>
      <w:rFonts w:ascii="Arial" w:hAnsi="Arial"/>
      <w:b/>
      <w:szCs w:val="24"/>
    </w:rPr>
  </w:style>
  <w:style w:type="paragraph" w:customStyle="1" w:styleId="Reporttitle">
    <w:name w:val="Report title"/>
    <w:basedOn w:val="Normal"/>
    <w:uiPriority w:val="19"/>
    <w:qFormat/>
    <w:rsid w:val="00FB5F0A"/>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FB5F0A"/>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FB5F0A"/>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FB5F0A"/>
    <w:pPr>
      <w:spacing w:after="80"/>
    </w:pPr>
  </w:style>
  <w:style w:type="paragraph" w:customStyle="1" w:styleId="Bulletlevel1">
    <w:name w:val="Bullet level 1"/>
    <w:basedOn w:val="ListBullet"/>
    <w:uiPriority w:val="5"/>
    <w:qFormat/>
    <w:rsid w:val="00FB5F0A"/>
    <w:pPr>
      <w:numPr>
        <w:numId w:val="0"/>
      </w:numPr>
      <w:spacing w:line="240" w:lineRule="atLeast"/>
      <w:ind w:left="295" w:hanging="360"/>
    </w:pPr>
    <w:rPr>
      <w:lang w:eastAsia="en-AU"/>
    </w:rPr>
  </w:style>
  <w:style w:type="paragraph" w:styleId="ListBullet">
    <w:name w:val="List Bullet"/>
    <w:basedOn w:val="Normal"/>
    <w:qFormat/>
    <w:rsid w:val="001649F7"/>
    <w:pPr>
      <w:numPr>
        <w:numId w:val="1"/>
      </w:numPr>
      <w:spacing w:after="80"/>
      <w:ind w:left="641" w:hanging="357"/>
      <w:contextualSpacing w:val="0"/>
    </w:pPr>
    <w:rPr>
      <w:rFonts w:eastAsia="Arial"/>
    </w:rPr>
  </w:style>
  <w:style w:type="paragraph" w:customStyle="1" w:styleId="Paragraph">
    <w:name w:val="Paragraph"/>
    <w:basedOn w:val="Normal"/>
    <w:qFormat/>
    <w:rsid w:val="001649F7"/>
    <w:pPr>
      <w:keepNext/>
      <w:spacing w:after="200" w:line="240" w:lineRule="atLeast"/>
      <w:contextualSpacing w:val="0"/>
    </w:pPr>
    <w:rPr>
      <w:rFonts w:eastAsia="Times New Roman"/>
      <w:lang w:eastAsia="en-AU"/>
    </w:rPr>
  </w:style>
  <w:style w:type="paragraph" w:customStyle="1" w:styleId="Bulletlevel2">
    <w:name w:val="Bullet level 2"/>
    <w:basedOn w:val="ListBullet2"/>
    <w:uiPriority w:val="7"/>
    <w:qFormat/>
    <w:rsid w:val="00FB5F0A"/>
    <w:pPr>
      <w:numPr>
        <w:numId w:val="6"/>
      </w:numPr>
      <w:spacing w:line="240" w:lineRule="atLeast"/>
    </w:pPr>
    <w:rPr>
      <w:rFonts w:eastAsia="Times New Roman"/>
      <w:lang w:eastAsia="en-AU"/>
    </w:rPr>
  </w:style>
  <w:style w:type="paragraph" w:styleId="ListBullet2">
    <w:name w:val="List Bullet 2"/>
    <w:basedOn w:val="Normal"/>
    <w:qFormat/>
    <w:rsid w:val="001649F7"/>
    <w:pPr>
      <w:numPr>
        <w:numId w:val="3"/>
      </w:numPr>
      <w:spacing w:after="80"/>
      <w:ind w:left="641" w:hanging="357"/>
      <w:contextualSpacing w:val="0"/>
    </w:pPr>
  </w:style>
  <w:style w:type="paragraph" w:customStyle="1" w:styleId="Bulletlevel2last">
    <w:name w:val="Bullet level 2 last"/>
    <w:basedOn w:val="Bulletlevel2"/>
    <w:uiPriority w:val="8"/>
    <w:qFormat/>
    <w:rsid w:val="00FB5F0A"/>
    <w:pPr>
      <w:spacing w:after="240"/>
    </w:pPr>
  </w:style>
  <w:style w:type="paragraph" w:customStyle="1" w:styleId="SWAHeading2">
    <w:name w:val="SWA Heading 2"/>
    <w:next w:val="Paragraph"/>
    <w:link w:val="SWAHeading2Char"/>
    <w:qFormat/>
    <w:rsid w:val="008F3F28"/>
    <w:pPr>
      <w:numPr>
        <w:ilvl w:val="3"/>
        <w:numId w:val="9"/>
      </w:numPr>
      <w:spacing w:before="200" w:after="120"/>
      <w:outlineLvl w:val="1"/>
    </w:pPr>
    <w:rPr>
      <w:rFonts w:ascii="Arial" w:eastAsiaTheme="majorEastAsia" w:hAnsi="Arial" w:cstheme="majorBidi"/>
      <w:b/>
      <w:bCs/>
      <w:iCs/>
      <w:color w:val="2B0A99" w:themeColor="text2"/>
      <w:sz w:val="32"/>
      <w:szCs w:val="40"/>
    </w:rPr>
  </w:style>
  <w:style w:type="character" w:customStyle="1" w:styleId="SWAHeading2Char">
    <w:name w:val="SWA Heading 2 Char"/>
    <w:basedOn w:val="Heading2Char"/>
    <w:link w:val="SWAHeading2"/>
    <w:rsid w:val="008F3F28"/>
    <w:rPr>
      <w:rFonts w:ascii="Arial" w:eastAsiaTheme="majorEastAsia" w:hAnsi="Arial" w:cstheme="majorBidi"/>
      <w:b/>
      <w:bCs/>
      <w:iCs/>
      <w:color w:val="2B0A99" w:themeColor="text2"/>
      <w:sz w:val="32"/>
      <w:szCs w:val="40"/>
    </w:rPr>
  </w:style>
  <w:style w:type="character" w:customStyle="1" w:styleId="Heading2Char">
    <w:name w:val="Heading 2 Char"/>
    <w:aliases w:val="Numbered Heading 2 Char"/>
    <w:basedOn w:val="DefaultParagraphFont"/>
    <w:link w:val="Heading2"/>
    <w:semiHidden/>
    <w:rsid w:val="00FB5F0A"/>
    <w:rPr>
      <w:rFonts w:ascii="Arial" w:eastAsiaTheme="majorEastAsia" w:hAnsi="Arial" w:cstheme="majorBidi"/>
      <w:iCs/>
      <w:sz w:val="28"/>
      <w:szCs w:val="28"/>
    </w:rPr>
  </w:style>
  <w:style w:type="character" w:customStyle="1" w:styleId="Heading1Char">
    <w:name w:val="Heading 1 Char"/>
    <w:aliases w:val="Numbered Heading 1 Char"/>
    <w:basedOn w:val="DefaultParagraphFont"/>
    <w:link w:val="Heading1"/>
    <w:rsid w:val="00F820E9"/>
    <w:rPr>
      <w:rFonts w:ascii="Arial" w:hAnsi="Arial" w:cs="Arial"/>
      <w:b/>
      <w:bCs/>
      <w:sz w:val="36"/>
      <w:szCs w:val="36"/>
    </w:rPr>
  </w:style>
  <w:style w:type="paragraph" w:styleId="Title">
    <w:name w:val="Title"/>
    <w:basedOn w:val="Normal"/>
    <w:next w:val="Heading1"/>
    <w:link w:val="TitleChar"/>
    <w:uiPriority w:val="1"/>
    <w:qFormat/>
    <w:rsid w:val="00FB5F0A"/>
    <w:pPr>
      <w:tabs>
        <w:tab w:val="left" w:pos="425"/>
      </w:tabs>
      <w:spacing w:before="480" w:after="360"/>
    </w:pPr>
    <w:rPr>
      <w:b/>
      <w:bCs/>
      <w:sz w:val="56"/>
      <w:szCs w:val="56"/>
    </w:rPr>
  </w:style>
  <w:style w:type="character" w:customStyle="1" w:styleId="TitleChar">
    <w:name w:val="Title Char"/>
    <w:basedOn w:val="DefaultParagraphFont"/>
    <w:link w:val="Title"/>
    <w:uiPriority w:val="1"/>
    <w:rsid w:val="00FB5F0A"/>
    <w:rPr>
      <w:rFonts w:ascii="Arial" w:hAnsi="Arial" w:cs="Arial"/>
      <w:b/>
      <w:bCs/>
      <w:sz w:val="56"/>
      <w:szCs w:val="56"/>
    </w:rPr>
  </w:style>
  <w:style w:type="character" w:customStyle="1" w:styleId="Heading3Char">
    <w:name w:val="Heading 3 Char"/>
    <w:basedOn w:val="DefaultParagraphFont"/>
    <w:link w:val="Heading3"/>
    <w:semiHidden/>
    <w:rsid w:val="007C438D"/>
    <w:rPr>
      <w:rFonts w:ascii="Arial Bold" w:hAnsi="Arial Bold"/>
      <w:b/>
      <w:bCs/>
      <w:color w:val="4877E0" w:themeColor="accent1"/>
      <w:sz w:val="24"/>
      <w:szCs w:val="24"/>
    </w:rPr>
  </w:style>
  <w:style w:type="character" w:customStyle="1" w:styleId="Heading4Char">
    <w:name w:val="Heading 4 Char"/>
    <w:basedOn w:val="DefaultParagraphFont"/>
    <w:link w:val="Heading4"/>
    <w:uiPriority w:val="9"/>
    <w:rsid w:val="00E6439B"/>
    <w:rPr>
      <w:rFonts w:ascii="Arial" w:eastAsiaTheme="majorEastAsia" w:hAnsi="Arial" w:cs="Arial"/>
      <w:b/>
      <w:bCs/>
      <w:i/>
      <w:iCs/>
      <w:sz w:val="20"/>
    </w:rPr>
  </w:style>
  <w:style w:type="character" w:customStyle="1" w:styleId="Heading5Char">
    <w:name w:val="Heading 5 Char"/>
    <w:basedOn w:val="DefaultParagraphFont"/>
    <w:link w:val="Heading5"/>
    <w:uiPriority w:val="9"/>
    <w:rsid w:val="008D5CFE"/>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semiHidden/>
    <w:rsid w:val="00FB5F0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5F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5F0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5F0A"/>
    <w:rPr>
      <w:rFonts w:asciiTheme="majorHAnsi" w:eastAsiaTheme="majorEastAsia" w:hAnsiTheme="majorHAnsi" w:cstheme="majorBidi"/>
      <w:i/>
      <w:iCs/>
      <w:spacing w:val="5"/>
      <w:sz w:val="20"/>
      <w:szCs w:val="20"/>
    </w:rPr>
  </w:style>
  <w:style w:type="paragraph" w:styleId="Caption">
    <w:name w:val="caption"/>
    <w:aliases w:val="Table heading"/>
    <w:basedOn w:val="Normal"/>
    <w:next w:val="Normal"/>
    <w:qFormat/>
    <w:rsid w:val="00FB5F0A"/>
    <w:pPr>
      <w:keepNext/>
      <w:overflowPunct w:val="0"/>
      <w:autoSpaceDE w:val="0"/>
      <w:autoSpaceDN w:val="0"/>
      <w:adjustRightInd w:val="0"/>
      <w:spacing w:before="240" w:after="0"/>
      <w:textAlignment w:val="baseline"/>
    </w:pPr>
    <w:rPr>
      <w:b/>
      <w:bCs/>
    </w:rPr>
  </w:style>
  <w:style w:type="paragraph" w:styleId="ListNumber">
    <w:name w:val="List Number"/>
    <w:basedOn w:val="Normal"/>
    <w:qFormat/>
    <w:rsid w:val="001649F7"/>
    <w:pPr>
      <w:numPr>
        <w:numId w:val="2"/>
      </w:numPr>
      <w:spacing w:after="80"/>
      <w:ind w:left="641" w:hanging="357"/>
      <w:contextualSpacing w:val="0"/>
    </w:pPr>
    <w:rPr>
      <w:rFonts w:eastAsia="Times New Roman" w:cs="Times New Roman"/>
    </w:rPr>
  </w:style>
  <w:style w:type="paragraph" w:styleId="ListNumber2">
    <w:name w:val="List Number 2"/>
    <w:aliases w:val="alpha"/>
    <w:basedOn w:val="Normal"/>
    <w:qFormat/>
    <w:rsid w:val="001649F7"/>
    <w:pPr>
      <w:numPr>
        <w:numId w:val="4"/>
      </w:numPr>
      <w:spacing w:after="80"/>
      <w:ind w:left="998" w:hanging="357"/>
      <w:contextualSpacing w:val="0"/>
    </w:pPr>
    <w:rPr>
      <w:rFonts w:eastAsia="Times New Roman" w:cs="Times New Roman"/>
    </w:rPr>
  </w:style>
  <w:style w:type="paragraph" w:styleId="Subtitle">
    <w:name w:val="Subtitle"/>
    <w:basedOn w:val="Normal"/>
    <w:next w:val="Normal"/>
    <w:link w:val="SubtitleChar"/>
    <w:uiPriority w:val="2"/>
    <w:qFormat/>
    <w:rsid w:val="008F3F28"/>
    <w:pPr>
      <w:spacing w:after="60"/>
    </w:pPr>
    <w:rPr>
      <w:rFonts w:eastAsiaTheme="majorEastAsia" w:cstheme="majorBidi"/>
      <w:color w:val="2B0A99" w:themeColor="text2"/>
      <w:sz w:val="36"/>
      <w:szCs w:val="40"/>
    </w:rPr>
  </w:style>
  <w:style w:type="character" w:customStyle="1" w:styleId="SubtitleChar">
    <w:name w:val="Subtitle Char"/>
    <w:basedOn w:val="DefaultParagraphFont"/>
    <w:link w:val="Subtitle"/>
    <w:uiPriority w:val="2"/>
    <w:rsid w:val="008F3F28"/>
    <w:rPr>
      <w:rFonts w:ascii="Arial" w:eastAsiaTheme="majorEastAsia" w:hAnsi="Arial" w:cstheme="majorBidi"/>
      <w:color w:val="2B0A99" w:themeColor="text2"/>
      <w:sz w:val="36"/>
      <w:szCs w:val="40"/>
    </w:rPr>
  </w:style>
  <w:style w:type="character" w:styleId="Strong">
    <w:name w:val="Strong"/>
    <w:uiPriority w:val="22"/>
    <w:qFormat/>
    <w:rsid w:val="00FB5F0A"/>
    <w:rPr>
      <w:b/>
      <w:bCs/>
    </w:rPr>
  </w:style>
  <w:style w:type="character" w:styleId="Emphasis">
    <w:name w:val="Emphasis"/>
    <w:qFormat/>
    <w:rsid w:val="00FB5F0A"/>
    <w:rPr>
      <w:bCs/>
      <w:i/>
    </w:rPr>
  </w:style>
  <w:style w:type="paragraph" w:styleId="ListParagraph">
    <w:name w:val="List Paragraph"/>
    <w:basedOn w:val="Normal"/>
    <w:link w:val="ListParagraphChar"/>
    <w:uiPriority w:val="34"/>
    <w:qFormat/>
    <w:rsid w:val="00FB5F0A"/>
    <w:pPr>
      <w:tabs>
        <w:tab w:val="num" w:pos="720"/>
      </w:tabs>
      <w:ind w:left="1440" w:hanging="360"/>
    </w:pPr>
  </w:style>
  <w:style w:type="character" w:customStyle="1" w:styleId="ListParagraphChar">
    <w:name w:val="List Paragraph Char"/>
    <w:basedOn w:val="DefaultParagraphFont"/>
    <w:link w:val="ListParagraph"/>
    <w:uiPriority w:val="34"/>
    <w:rsid w:val="00FB5F0A"/>
    <w:rPr>
      <w:rFonts w:ascii="Arial" w:hAnsi="Arial" w:cs="Arial"/>
      <w:sz w:val="20"/>
      <w:szCs w:val="20"/>
    </w:rPr>
  </w:style>
  <w:style w:type="paragraph" w:styleId="Quote">
    <w:name w:val="Quote"/>
    <w:aliases w:val="Summary"/>
    <w:basedOn w:val="Normal"/>
    <w:next w:val="Normal"/>
    <w:link w:val="QuoteChar"/>
    <w:uiPriority w:val="29"/>
    <w:qFormat/>
    <w:rsid w:val="008D5CFE"/>
    <w:pPr>
      <w:spacing w:before="120"/>
      <w:ind w:left="425" w:right="425"/>
    </w:pPr>
    <w:rPr>
      <w:i/>
      <w:szCs w:val="22"/>
    </w:rPr>
  </w:style>
  <w:style w:type="character" w:customStyle="1" w:styleId="QuoteChar">
    <w:name w:val="Quote Char"/>
    <w:aliases w:val="Summary Char"/>
    <w:basedOn w:val="DefaultParagraphFont"/>
    <w:link w:val="Quote"/>
    <w:uiPriority w:val="29"/>
    <w:rsid w:val="008D5CFE"/>
    <w:rPr>
      <w:rFonts w:ascii="Arial" w:hAnsi="Arial"/>
      <w:i/>
      <w:sz w:val="20"/>
    </w:rPr>
  </w:style>
  <w:style w:type="paragraph" w:styleId="IntenseQuote">
    <w:name w:val="Intense Quote"/>
    <w:basedOn w:val="Normal"/>
    <w:next w:val="Normal"/>
    <w:link w:val="IntenseQuoteChar"/>
    <w:uiPriority w:val="30"/>
    <w:qFormat/>
    <w:rsid w:val="00FB5F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FB5F0A"/>
    <w:rPr>
      <w:rFonts w:ascii="Arial" w:hAnsi="Arial" w:cs="Arial"/>
      <w:i/>
      <w:iCs/>
      <w:color w:val="4877E0" w:themeColor="accent1"/>
      <w:sz w:val="20"/>
      <w:szCs w:val="20"/>
    </w:rPr>
  </w:style>
  <w:style w:type="paragraph" w:styleId="TOCHeading">
    <w:name w:val="TOC Heading"/>
    <w:basedOn w:val="Heading1"/>
    <w:next w:val="Normal"/>
    <w:uiPriority w:val="39"/>
    <w:unhideWhenUsed/>
    <w:qFormat/>
    <w:rsid w:val="00FB5F0A"/>
    <w:pPr>
      <w:outlineLvl w:val="9"/>
    </w:pPr>
    <w:rPr>
      <w:b w:val="0"/>
      <w:bCs w:val="0"/>
      <w:sz w:val="56"/>
      <w:szCs w:val="20"/>
      <w:lang w:bidi="en-US"/>
    </w:rPr>
  </w:style>
  <w:style w:type="paragraph" w:styleId="TOC2">
    <w:name w:val="toc 2"/>
    <w:basedOn w:val="Normal"/>
    <w:next w:val="Normal"/>
    <w:autoRedefine/>
    <w:uiPriority w:val="39"/>
    <w:unhideWhenUsed/>
    <w:rsid w:val="00E14BDF"/>
    <w:pPr>
      <w:tabs>
        <w:tab w:val="left" w:pos="993"/>
        <w:tab w:val="right" w:leader="dot" w:pos="9016"/>
      </w:tabs>
      <w:spacing w:after="100"/>
      <w:ind w:left="426"/>
      <w:contextualSpacing w:val="0"/>
    </w:pPr>
  </w:style>
  <w:style w:type="paragraph" w:customStyle="1" w:styleId="Boxed">
    <w:name w:val="Boxed"/>
    <w:basedOn w:val="Normal"/>
    <w:rsid w:val="00FB5F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styleId="Footer">
    <w:name w:val="footer"/>
    <w:basedOn w:val="Normal"/>
    <w:link w:val="FooterChar"/>
    <w:uiPriority w:val="99"/>
    <w:rsid w:val="00FB5F0A"/>
    <w:pPr>
      <w:tabs>
        <w:tab w:val="center" w:pos="4513"/>
        <w:tab w:val="right" w:pos="9026"/>
      </w:tabs>
      <w:spacing w:after="0"/>
    </w:pPr>
    <w:rPr>
      <w:sz w:val="16"/>
    </w:rPr>
  </w:style>
  <w:style w:type="character" w:customStyle="1" w:styleId="FooterChar">
    <w:name w:val="Footer Char"/>
    <w:basedOn w:val="DefaultParagraphFont"/>
    <w:link w:val="Footer"/>
    <w:uiPriority w:val="99"/>
    <w:rsid w:val="00FB5F0A"/>
    <w:rPr>
      <w:rFonts w:ascii="Arial" w:hAnsi="Arial"/>
      <w:sz w:val="16"/>
      <w:szCs w:val="24"/>
    </w:rPr>
  </w:style>
  <w:style w:type="paragraph" w:styleId="Header">
    <w:name w:val="header"/>
    <w:basedOn w:val="Normal"/>
    <w:link w:val="HeaderChar"/>
    <w:uiPriority w:val="99"/>
    <w:rsid w:val="00FB5F0A"/>
    <w:pPr>
      <w:tabs>
        <w:tab w:val="center" w:pos="4513"/>
        <w:tab w:val="right" w:pos="9026"/>
      </w:tabs>
      <w:spacing w:after="0"/>
    </w:pPr>
  </w:style>
  <w:style w:type="character" w:customStyle="1" w:styleId="HeaderChar">
    <w:name w:val="Header Char"/>
    <w:basedOn w:val="DefaultParagraphFont"/>
    <w:link w:val="Header"/>
    <w:uiPriority w:val="99"/>
    <w:rsid w:val="00FB5F0A"/>
    <w:rPr>
      <w:rFonts w:ascii="Arial" w:hAnsi="Arial"/>
      <w:szCs w:val="24"/>
    </w:rPr>
  </w:style>
  <w:style w:type="character" w:styleId="Hyperlink">
    <w:name w:val="Hyperlink"/>
    <w:basedOn w:val="DefaultParagraphFont"/>
    <w:uiPriority w:val="99"/>
    <w:rsid w:val="00FB5F0A"/>
    <w:rPr>
      <w:color w:val="145B85"/>
      <w:u w:val="single"/>
    </w:rPr>
  </w:style>
  <w:style w:type="paragraph" w:customStyle="1" w:styleId="Titledate">
    <w:name w:val="Title date"/>
    <w:basedOn w:val="TOC1"/>
    <w:qFormat/>
    <w:rsid w:val="00FB5F0A"/>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FB5F0A"/>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FB5F0A"/>
    <w:pPr>
      <w:spacing w:before="120" w:line="276" w:lineRule="auto"/>
    </w:pPr>
    <w:rPr>
      <w:rFonts w:eastAsiaTheme="majorEastAsia" w:cstheme="majorBidi"/>
      <w:b/>
      <w:color w:val="145B85"/>
      <w:spacing w:val="-3"/>
      <w:sz w:val="14"/>
      <w:szCs w:val="14"/>
    </w:rPr>
  </w:style>
  <w:style w:type="paragraph" w:styleId="TOC3">
    <w:name w:val="toc 3"/>
    <w:basedOn w:val="Normal"/>
    <w:next w:val="Normal"/>
    <w:autoRedefine/>
    <w:uiPriority w:val="39"/>
    <w:unhideWhenUsed/>
    <w:rsid w:val="00E14BDF"/>
    <w:pPr>
      <w:tabs>
        <w:tab w:val="right" w:leader="dot" w:pos="9016"/>
      </w:tabs>
      <w:spacing w:after="100"/>
      <w:ind w:left="993"/>
      <w:contextualSpacing w:val="0"/>
    </w:pPr>
    <w:rPr>
      <w:i/>
      <w:iCs/>
      <w:noProof/>
    </w:rPr>
  </w:style>
  <w:style w:type="table" w:styleId="LightShading-Accent2">
    <w:name w:val="Light Shading Accent 2"/>
    <w:aliases w:val="SWA Table Style"/>
    <w:basedOn w:val="TableNormal"/>
    <w:uiPriority w:val="60"/>
    <w:rsid w:val="00711F77"/>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2B0A99" w:themeFill="text2"/>
      </w:tcPr>
    </w:tblStylePr>
    <w:tblStylePr w:type="lastRow">
      <w:pPr>
        <w:wordWrap/>
        <w:spacing w:beforeLines="0" w:before="80" w:beforeAutospacing="0" w:afterLines="0" w:after="80" w:afterAutospacing="0" w:line="240" w:lineRule="auto"/>
      </w:pPr>
      <w:rPr>
        <w:rFonts w:ascii="Arial Bold" w:hAnsi="Arial Bold"/>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SWAHeading1">
    <w:name w:val="SWA Heading 1"/>
    <w:next w:val="Paragraph"/>
    <w:qFormat/>
    <w:rsid w:val="00B112FF"/>
    <w:pPr>
      <w:pageBreakBefore/>
      <w:numPr>
        <w:ilvl w:val="2"/>
        <w:numId w:val="9"/>
      </w:numPr>
      <w:spacing w:before="240" w:after="120"/>
      <w:outlineLvl w:val="0"/>
    </w:pPr>
    <w:rPr>
      <w:rFonts w:ascii="Arial" w:hAnsi="Arial" w:cs="Arial"/>
      <w:b/>
      <w:bCs/>
      <w:sz w:val="40"/>
      <w:szCs w:val="40"/>
    </w:rPr>
  </w:style>
  <w:style w:type="paragraph" w:customStyle="1" w:styleId="Emphasisquote">
    <w:name w:val="Emphasis quote"/>
    <w:next w:val="Paragraph"/>
    <w:link w:val="EmphasisquoteChar"/>
    <w:qFormat/>
    <w:rsid w:val="008F3F28"/>
    <w:pPr>
      <w:pBdr>
        <w:left w:val="single" w:sz="12" w:space="14" w:color="2B0A99" w:themeColor="text2"/>
      </w:pBdr>
      <w:spacing w:before="240" w:after="240" w:line="240" w:lineRule="auto"/>
      <w:ind w:left="720" w:right="2552"/>
    </w:pPr>
    <w:rPr>
      <w:rFonts w:ascii="Arial" w:hAnsi="Arial"/>
      <w:szCs w:val="24"/>
    </w:rPr>
  </w:style>
  <w:style w:type="character" w:styleId="BookTitle">
    <w:name w:val="Book Title"/>
    <w:basedOn w:val="DefaultParagraphFont"/>
    <w:uiPriority w:val="33"/>
    <w:qFormat/>
    <w:rsid w:val="00DB7B01"/>
    <w:rPr>
      <w:b/>
      <w:bCs/>
      <w:i/>
      <w:iCs/>
      <w:spacing w:val="5"/>
    </w:rPr>
  </w:style>
  <w:style w:type="character" w:customStyle="1" w:styleId="EmphasisquoteChar">
    <w:name w:val="Emphasis quote Char"/>
    <w:basedOn w:val="QuoteChar"/>
    <w:link w:val="Emphasisquote"/>
    <w:rsid w:val="008F3F28"/>
    <w:rPr>
      <w:rFonts w:ascii="Arial" w:hAnsi="Arial"/>
      <w:i w:val="0"/>
      <w:sz w:val="20"/>
      <w:szCs w:val="24"/>
    </w:rPr>
  </w:style>
  <w:style w:type="table" w:styleId="TableGrid">
    <w:name w:val="Table Grid"/>
    <w:basedOn w:val="TableNormal"/>
    <w:uiPriority w:val="39"/>
    <w:rsid w:val="00AD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241746"/>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241746"/>
  </w:style>
  <w:style w:type="character" w:customStyle="1" w:styleId="eop">
    <w:name w:val="eop"/>
    <w:basedOn w:val="DefaultParagraphFont"/>
    <w:rsid w:val="00241746"/>
  </w:style>
  <w:style w:type="paragraph" w:customStyle="1" w:styleId="SWA1stHeading">
    <w:name w:val="SWA 1st Heading"/>
    <w:basedOn w:val="Normal"/>
    <w:link w:val="SWA1stHeadingChar"/>
    <w:rsid w:val="00EC267D"/>
  </w:style>
  <w:style w:type="paragraph" w:customStyle="1" w:styleId="ListParagraphh1">
    <w:name w:val="List Paragraph h1"/>
    <w:aliases w:val="SWA heading 1"/>
    <w:basedOn w:val="SWAHeading1"/>
    <w:next w:val="ListParagraphbodycopy"/>
    <w:link w:val="ListParagraphh1Char"/>
    <w:qFormat/>
    <w:rsid w:val="00B112FF"/>
    <w:pPr>
      <w:pageBreakBefore w:val="0"/>
      <w:numPr>
        <w:ilvl w:val="0"/>
        <w:numId w:val="8"/>
      </w:numPr>
      <w:ind w:left="709" w:hanging="709"/>
    </w:pPr>
  </w:style>
  <w:style w:type="paragraph" w:customStyle="1" w:styleId="ListParagraphbodycopy">
    <w:name w:val="List Paragraph body copy"/>
    <w:basedOn w:val="SWA1stHeading"/>
    <w:link w:val="ListParagraphbodycopyChar"/>
    <w:qFormat/>
    <w:rsid w:val="001649F7"/>
    <w:pPr>
      <w:numPr>
        <w:ilvl w:val="1"/>
        <w:numId w:val="8"/>
      </w:numPr>
      <w:contextualSpacing w:val="0"/>
    </w:pPr>
  </w:style>
  <w:style w:type="character" w:customStyle="1" w:styleId="SWA1stHeadingChar">
    <w:name w:val="SWA 1st Heading Char"/>
    <w:basedOn w:val="DefaultParagraphFont"/>
    <w:link w:val="SWA1stHeading"/>
    <w:rsid w:val="00EC267D"/>
    <w:rPr>
      <w:rFonts w:ascii="Arial" w:hAnsi="Arial"/>
      <w:sz w:val="20"/>
      <w:szCs w:val="24"/>
    </w:rPr>
  </w:style>
  <w:style w:type="character" w:customStyle="1" w:styleId="ListParagraphh1Char">
    <w:name w:val="List Paragraph h1 Char"/>
    <w:aliases w:val="SWA heading 1 Char"/>
    <w:basedOn w:val="SWA1stHeadingChar"/>
    <w:link w:val="ListParagraphh1"/>
    <w:rsid w:val="00B112FF"/>
    <w:rPr>
      <w:rFonts w:ascii="Arial" w:hAnsi="Arial" w:cs="Arial"/>
      <w:b/>
      <w:bCs/>
      <w:sz w:val="40"/>
      <w:szCs w:val="40"/>
    </w:rPr>
  </w:style>
  <w:style w:type="character" w:customStyle="1" w:styleId="ListParagraphbodycopyChar">
    <w:name w:val="List Paragraph body copy Char"/>
    <w:basedOn w:val="ListParagraphh1Char"/>
    <w:link w:val="ListParagraphbodycopy"/>
    <w:rsid w:val="001649F7"/>
    <w:rPr>
      <w:rFonts w:ascii="Arial" w:hAnsi="Arial" w:cs="Arial"/>
      <w:b w:val="0"/>
      <w:bCs w:val="0"/>
      <w:sz w:val="40"/>
      <w:szCs w:val="24"/>
    </w:rPr>
  </w:style>
  <w:style w:type="paragraph" w:customStyle="1" w:styleId="SWAHeading3">
    <w:name w:val="SWA Heading 3"/>
    <w:next w:val="Paragraph"/>
    <w:qFormat/>
    <w:rsid w:val="008F3F28"/>
    <w:pPr>
      <w:spacing w:before="240" w:after="120"/>
    </w:pPr>
    <w:rPr>
      <w:rFonts w:ascii="Arial" w:hAnsi="Arial" w:cs="Arial"/>
      <w:color w:val="2B0A99" w:themeColor="text2"/>
      <w:sz w:val="28"/>
      <w:szCs w:val="32"/>
    </w:rPr>
  </w:style>
  <w:style w:type="paragraph" w:customStyle="1" w:styleId="SWAHeading4">
    <w:name w:val="SWA Heading 4"/>
    <w:qFormat/>
    <w:rsid w:val="000F6A2F"/>
    <w:rPr>
      <w:rFonts w:ascii="Arial" w:eastAsiaTheme="majorEastAsia" w:hAnsi="Arial" w:cs="Arial"/>
      <w:b/>
      <w:bCs/>
      <w:i/>
      <w:iCs/>
      <w:sz w:val="24"/>
      <w:szCs w:val="28"/>
    </w:rPr>
  </w:style>
  <w:style w:type="paragraph" w:customStyle="1" w:styleId="SWAHeading5">
    <w:name w:val="SWA Heading 5"/>
    <w:qFormat/>
    <w:rsid w:val="00DC522B"/>
    <w:pPr>
      <w:spacing w:before="240" w:line="264" w:lineRule="auto"/>
    </w:pPr>
    <w:rPr>
      <w:rFonts w:ascii="Arial" w:eastAsiaTheme="majorEastAsia" w:hAnsi="Arial" w:cs="Arial"/>
      <w:b/>
      <w:bCs/>
      <w:color w:val="7F7F7F" w:themeColor="text1" w:themeTint="80"/>
      <w:sz w:val="24"/>
    </w:rPr>
  </w:style>
  <w:style w:type="character" w:styleId="PlaceholderText">
    <w:name w:val="Placeholder Text"/>
    <w:basedOn w:val="DefaultParagraphFont"/>
    <w:uiPriority w:val="99"/>
    <w:semiHidden/>
    <w:rsid w:val="00E36081"/>
    <w:rPr>
      <w:color w:val="666666"/>
    </w:rPr>
  </w:style>
  <w:style w:type="table" w:customStyle="1" w:styleId="Style1">
    <w:name w:val="Style1"/>
    <w:basedOn w:val="TableNormal"/>
    <w:uiPriority w:val="99"/>
    <w:rsid w:val="00711F77"/>
    <w:pPr>
      <w:spacing w:after="0" w:line="240" w:lineRule="auto"/>
    </w:pPr>
    <w:rPr>
      <w:rFonts w:ascii="Times New Roman" w:eastAsia="Times New Roman" w:hAnsi="Times New Roman" w:cs="Times New Roman"/>
      <w:sz w:val="20"/>
      <w:szCs w:val="20"/>
      <w:lang w:val="en-GB" w:eastAsia="ja-JP"/>
    </w:rPr>
    <w:tblPr>
      <w:tblBorders>
        <w:left w:val="single" w:sz="24" w:space="0" w:color="EB9C3A" w:themeColor="accent2"/>
      </w:tblBorders>
    </w:tblPr>
    <w:tcPr>
      <w:shd w:val="clear" w:color="auto" w:fill="FBEBD7" w:themeFill="accent2" w:themeFillTint="33"/>
    </w:tcPr>
  </w:style>
  <w:style w:type="table" w:customStyle="1" w:styleId="Style2">
    <w:name w:val="Style2"/>
    <w:basedOn w:val="TableNormal"/>
    <w:uiPriority w:val="99"/>
    <w:rsid w:val="00711F77"/>
    <w:pPr>
      <w:spacing w:after="0" w:line="240" w:lineRule="auto"/>
    </w:pPr>
    <w:tblPr>
      <w:tblBorders>
        <w:left w:val="single" w:sz="24" w:space="0" w:color="EB9C3A" w:themeColor="accent2"/>
      </w:tblBorders>
      <w:tblCellMar>
        <w:left w:w="198" w:type="dxa"/>
      </w:tblCellMar>
    </w:tblPr>
    <w:tcPr>
      <w:shd w:val="clear" w:color="auto" w:fill="FBEBD7" w:themeFill="accent2" w:themeFillTint="33"/>
    </w:tcPr>
  </w:style>
  <w:style w:type="paragraph" w:styleId="FootnoteText">
    <w:name w:val="footnote text"/>
    <w:aliases w:val="Footnote text"/>
    <w:basedOn w:val="Normal"/>
    <w:link w:val="FootnoteTextChar"/>
    <w:uiPriority w:val="99"/>
    <w:unhideWhenUsed/>
    <w:rsid w:val="003C3D57"/>
    <w:pPr>
      <w:spacing w:after="0" w:line="240" w:lineRule="auto"/>
      <w:contextualSpacing w:val="0"/>
    </w:pPr>
    <w:rPr>
      <w:color w:val="404040" w:themeColor="text1" w:themeTint="BF"/>
      <w:sz w:val="20"/>
      <w:szCs w:val="20"/>
    </w:rPr>
  </w:style>
  <w:style w:type="character" w:customStyle="1" w:styleId="FootnoteTextChar">
    <w:name w:val="Footnote Text Char"/>
    <w:aliases w:val="Footnote text Char"/>
    <w:basedOn w:val="DefaultParagraphFont"/>
    <w:link w:val="FootnoteText"/>
    <w:uiPriority w:val="99"/>
    <w:rsid w:val="003C3D57"/>
    <w:rPr>
      <w:rFonts w:ascii="Arial" w:hAnsi="Arial"/>
      <w:color w:val="404040" w:themeColor="text1" w:themeTint="BF"/>
      <w:sz w:val="20"/>
      <w:szCs w:val="20"/>
    </w:rPr>
  </w:style>
  <w:style w:type="character" w:styleId="FootnoteReference">
    <w:name w:val="footnote reference"/>
    <w:basedOn w:val="DefaultParagraphFont"/>
    <w:uiPriority w:val="99"/>
    <w:unhideWhenUsed/>
    <w:rsid w:val="003C3D57"/>
    <w:rPr>
      <w:vertAlign w:val="superscript"/>
    </w:rPr>
  </w:style>
  <w:style w:type="character" w:styleId="CommentReference">
    <w:name w:val="annotation reference"/>
    <w:basedOn w:val="DefaultParagraphFont"/>
    <w:uiPriority w:val="99"/>
    <w:semiHidden/>
    <w:unhideWhenUsed/>
    <w:rsid w:val="00013FCA"/>
    <w:rPr>
      <w:sz w:val="16"/>
      <w:szCs w:val="16"/>
    </w:rPr>
  </w:style>
  <w:style w:type="paragraph" w:styleId="CommentText">
    <w:name w:val="annotation text"/>
    <w:basedOn w:val="Normal"/>
    <w:link w:val="CommentTextChar"/>
    <w:uiPriority w:val="99"/>
    <w:unhideWhenUsed/>
    <w:rsid w:val="00013FCA"/>
    <w:pPr>
      <w:spacing w:line="240" w:lineRule="auto"/>
    </w:pPr>
    <w:rPr>
      <w:sz w:val="20"/>
      <w:szCs w:val="20"/>
    </w:rPr>
  </w:style>
  <w:style w:type="character" w:customStyle="1" w:styleId="CommentTextChar">
    <w:name w:val="Comment Text Char"/>
    <w:basedOn w:val="DefaultParagraphFont"/>
    <w:link w:val="CommentText"/>
    <w:uiPriority w:val="99"/>
    <w:rsid w:val="00013F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3FCA"/>
    <w:rPr>
      <w:b/>
      <w:bCs/>
    </w:rPr>
  </w:style>
  <w:style w:type="character" w:customStyle="1" w:styleId="CommentSubjectChar">
    <w:name w:val="Comment Subject Char"/>
    <w:basedOn w:val="CommentTextChar"/>
    <w:link w:val="CommentSubject"/>
    <w:uiPriority w:val="99"/>
    <w:semiHidden/>
    <w:rsid w:val="00013FC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44621">
      <w:bodyDiv w:val="1"/>
      <w:marLeft w:val="0"/>
      <w:marRight w:val="0"/>
      <w:marTop w:val="0"/>
      <w:marBottom w:val="0"/>
      <w:divBdr>
        <w:top w:val="none" w:sz="0" w:space="0" w:color="auto"/>
        <w:left w:val="none" w:sz="0" w:space="0" w:color="auto"/>
        <w:bottom w:val="none" w:sz="0" w:space="0" w:color="auto"/>
        <w:right w:val="none" w:sz="0" w:space="0" w:color="auto"/>
      </w:divBdr>
      <w:divsChild>
        <w:div w:id="187987174">
          <w:marLeft w:val="0"/>
          <w:marRight w:val="0"/>
          <w:marTop w:val="0"/>
          <w:marBottom w:val="0"/>
          <w:divBdr>
            <w:top w:val="none" w:sz="0" w:space="0" w:color="auto"/>
            <w:left w:val="none" w:sz="0" w:space="0" w:color="auto"/>
            <w:bottom w:val="none" w:sz="0" w:space="0" w:color="auto"/>
            <w:right w:val="none" w:sz="0" w:space="0" w:color="auto"/>
          </w:divBdr>
          <w:divsChild>
            <w:div w:id="217056483">
              <w:marLeft w:val="0"/>
              <w:marRight w:val="0"/>
              <w:marTop w:val="0"/>
              <w:marBottom w:val="0"/>
              <w:divBdr>
                <w:top w:val="none" w:sz="0" w:space="0" w:color="auto"/>
                <w:left w:val="none" w:sz="0" w:space="0" w:color="auto"/>
                <w:bottom w:val="none" w:sz="0" w:space="0" w:color="auto"/>
                <w:right w:val="none" w:sz="0" w:space="0" w:color="auto"/>
              </w:divBdr>
            </w:div>
          </w:divsChild>
        </w:div>
        <w:div w:id="1368531116">
          <w:marLeft w:val="0"/>
          <w:marRight w:val="0"/>
          <w:marTop w:val="0"/>
          <w:marBottom w:val="0"/>
          <w:divBdr>
            <w:top w:val="none" w:sz="0" w:space="0" w:color="auto"/>
            <w:left w:val="none" w:sz="0" w:space="0" w:color="auto"/>
            <w:bottom w:val="none" w:sz="0" w:space="0" w:color="auto"/>
            <w:right w:val="none" w:sz="0" w:space="0" w:color="auto"/>
          </w:divBdr>
          <w:divsChild>
            <w:div w:id="1037048249">
              <w:marLeft w:val="0"/>
              <w:marRight w:val="0"/>
              <w:marTop w:val="0"/>
              <w:marBottom w:val="0"/>
              <w:divBdr>
                <w:top w:val="none" w:sz="0" w:space="0" w:color="auto"/>
                <w:left w:val="none" w:sz="0" w:space="0" w:color="auto"/>
                <w:bottom w:val="none" w:sz="0" w:space="0" w:color="auto"/>
                <w:right w:val="none" w:sz="0" w:space="0" w:color="auto"/>
              </w:divBdr>
            </w:div>
          </w:divsChild>
        </w:div>
        <w:div w:id="590939772">
          <w:marLeft w:val="0"/>
          <w:marRight w:val="0"/>
          <w:marTop w:val="0"/>
          <w:marBottom w:val="0"/>
          <w:divBdr>
            <w:top w:val="none" w:sz="0" w:space="0" w:color="auto"/>
            <w:left w:val="none" w:sz="0" w:space="0" w:color="auto"/>
            <w:bottom w:val="none" w:sz="0" w:space="0" w:color="auto"/>
            <w:right w:val="none" w:sz="0" w:space="0" w:color="auto"/>
          </w:divBdr>
          <w:divsChild>
            <w:div w:id="136923546">
              <w:marLeft w:val="0"/>
              <w:marRight w:val="0"/>
              <w:marTop w:val="0"/>
              <w:marBottom w:val="0"/>
              <w:divBdr>
                <w:top w:val="none" w:sz="0" w:space="0" w:color="auto"/>
                <w:left w:val="none" w:sz="0" w:space="0" w:color="auto"/>
                <w:bottom w:val="none" w:sz="0" w:space="0" w:color="auto"/>
                <w:right w:val="none" w:sz="0" w:space="0" w:color="auto"/>
              </w:divBdr>
            </w:div>
            <w:div w:id="991787584">
              <w:marLeft w:val="0"/>
              <w:marRight w:val="0"/>
              <w:marTop w:val="0"/>
              <w:marBottom w:val="0"/>
              <w:divBdr>
                <w:top w:val="none" w:sz="0" w:space="0" w:color="auto"/>
                <w:left w:val="none" w:sz="0" w:space="0" w:color="auto"/>
                <w:bottom w:val="none" w:sz="0" w:space="0" w:color="auto"/>
                <w:right w:val="none" w:sz="0" w:space="0" w:color="auto"/>
              </w:divBdr>
            </w:div>
            <w:div w:id="657542246">
              <w:marLeft w:val="0"/>
              <w:marRight w:val="0"/>
              <w:marTop w:val="0"/>
              <w:marBottom w:val="0"/>
              <w:divBdr>
                <w:top w:val="none" w:sz="0" w:space="0" w:color="auto"/>
                <w:left w:val="none" w:sz="0" w:space="0" w:color="auto"/>
                <w:bottom w:val="none" w:sz="0" w:space="0" w:color="auto"/>
                <w:right w:val="none" w:sz="0" w:space="0" w:color="auto"/>
              </w:divBdr>
            </w:div>
            <w:div w:id="2022773702">
              <w:marLeft w:val="0"/>
              <w:marRight w:val="0"/>
              <w:marTop w:val="0"/>
              <w:marBottom w:val="0"/>
              <w:divBdr>
                <w:top w:val="none" w:sz="0" w:space="0" w:color="auto"/>
                <w:left w:val="none" w:sz="0" w:space="0" w:color="auto"/>
                <w:bottom w:val="none" w:sz="0" w:space="0" w:color="auto"/>
                <w:right w:val="none" w:sz="0" w:space="0" w:color="auto"/>
              </w:divBdr>
            </w:div>
            <w:div w:id="576477440">
              <w:marLeft w:val="0"/>
              <w:marRight w:val="0"/>
              <w:marTop w:val="0"/>
              <w:marBottom w:val="0"/>
              <w:divBdr>
                <w:top w:val="none" w:sz="0" w:space="0" w:color="auto"/>
                <w:left w:val="none" w:sz="0" w:space="0" w:color="auto"/>
                <w:bottom w:val="none" w:sz="0" w:space="0" w:color="auto"/>
                <w:right w:val="none" w:sz="0" w:space="0" w:color="auto"/>
              </w:divBdr>
            </w:div>
            <w:div w:id="57674079">
              <w:marLeft w:val="0"/>
              <w:marRight w:val="0"/>
              <w:marTop w:val="0"/>
              <w:marBottom w:val="0"/>
              <w:divBdr>
                <w:top w:val="none" w:sz="0" w:space="0" w:color="auto"/>
                <w:left w:val="none" w:sz="0" w:space="0" w:color="auto"/>
                <w:bottom w:val="none" w:sz="0" w:space="0" w:color="auto"/>
                <w:right w:val="none" w:sz="0" w:space="0" w:color="auto"/>
              </w:divBdr>
            </w:div>
            <w:div w:id="376053623">
              <w:marLeft w:val="0"/>
              <w:marRight w:val="0"/>
              <w:marTop w:val="0"/>
              <w:marBottom w:val="0"/>
              <w:divBdr>
                <w:top w:val="none" w:sz="0" w:space="0" w:color="auto"/>
                <w:left w:val="none" w:sz="0" w:space="0" w:color="auto"/>
                <w:bottom w:val="none" w:sz="0" w:space="0" w:color="auto"/>
                <w:right w:val="none" w:sz="0" w:space="0" w:color="auto"/>
              </w:divBdr>
            </w:div>
            <w:div w:id="515461091">
              <w:marLeft w:val="0"/>
              <w:marRight w:val="0"/>
              <w:marTop w:val="0"/>
              <w:marBottom w:val="0"/>
              <w:divBdr>
                <w:top w:val="none" w:sz="0" w:space="0" w:color="auto"/>
                <w:left w:val="none" w:sz="0" w:space="0" w:color="auto"/>
                <w:bottom w:val="none" w:sz="0" w:space="0" w:color="auto"/>
                <w:right w:val="none" w:sz="0" w:space="0" w:color="auto"/>
              </w:divBdr>
            </w:div>
            <w:div w:id="1418551130">
              <w:marLeft w:val="0"/>
              <w:marRight w:val="0"/>
              <w:marTop w:val="0"/>
              <w:marBottom w:val="0"/>
              <w:divBdr>
                <w:top w:val="none" w:sz="0" w:space="0" w:color="auto"/>
                <w:left w:val="none" w:sz="0" w:space="0" w:color="auto"/>
                <w:bottom w:val="none" w:sz="0" w:space="0" w:color="auto"/>
                <w:right w:val="none" w:sz="0" w:space="0" w:color="auto"/>
              </w:divBdr>
            </w:div>
          </w:divsChild>
        </w:div>
        <w:div w:id="460459748">
          <w:marLeft w:val="0"/>
          <w:marRight w:val="0"/>
          <w:marTop w:val="0"/>
          <w:marBottom w:val="0"/>
          <w:divBdr>
            <w:top w:val="none" w:sz="0" w:space="0" w:color="auto"/>
            <w:left w:val="none" w:sz="0" w:space="0" w:color="auto"/>
            <w:bottom w:val="none" w:sz="0" w:space="0" w:color="auto"/>
            <w:right w:val="none" w:sz="0" w:space="0" w:color="auto"/>
          </w:divBdr>
          <w:divsChild>
            <w:div w:id="1144740122">
              <w:marLeft w:val="0"/>
              <w:marRight w:val="0"/>
              <w:marTop w:val="0"/>
              <w:marBottom w:val="0"/>
              <w:divBdr>
                <w:top w:val="none" w:sz="0" w:space="0" w:color="auto"/>
                <w:left w:val="none" w:sz="0" w:space="0" w:color="auto"/>
                <w:bottom w:val="none" w:sz="0" w:space="0" w:color="auto"/>
                <w:right w:val="none" w:sz="0" w:space="0" w:color="auto"/>
              </w:divBdr>
            </w:div>
            <w:div w:id="1837498551">
              <w:marLeft w:val="0"/>
              <w:marRight w:val="0"/>
              <w:marTop w:val="0"/>
              <w:marBottom w:val="0"/>
              <w:divBdr>
                <w:top w:val="none" w:sz="0" w:space="0" w:color="auto"/>
                <w:left w:val="none" w:sz="0" w:space="0" w:color="auto"/>
                <w:bottom w:val="none" w:sz="0" w:space="0" w:color="auto"/>
                <w:right w:val="none" w:sz="0" w:space="0" w:color="auto"/>
              </w:divBdr>
            </w:div>
            <w:div w:id="124321812">
              <w:marLeft w:val="0"/>
              <w:marRight w:val="0"/>
              <w:marTop w:val="0"/>
              <w:marBottom w:val="0"/>
              <w:divBdr>
                <w:top w:val="none" w:sz="0" w:space="0" w:color="auto"/>
                <w:left w:val="none" w:sz="0" w:space="0" w:color="auto"/>
                <w:bottom w:val="none" w:sz="0" w:space="0" w:color="auto"/>
                <w:right w:val="none" w:sz="0" w:space="0" w:color="auto"/>
              </w:divBdr>
            </w:div>
            <w:div w:id="296227862">
              <w:marLeft w:val="0"/>
              <w:marRight w:val="0"/>
              <w:marTop w:val="0"/>
              <w:marBottom w:val="0"/>
              <w:divBdr>
                <w:top w:val="none" w:sz="0" w:space="0" w:color="auto"/>
                <w:left w:val="none" w:sz="0" w:space="0" w:color="auto"/>
                <w:bottom w:val="none" w:sz="0" w:space="0" w:color="auto"/>
                <w:right w:val="none" w:sz="0" w:space="0" w:color="auto"/>
              </w:divBdr>
            </w:div>
            <w:div w:id="601189270">
              <w:marLeft w:val="0"/>
              <w:marRight w:val="0"/>
              <w:marTop w:val="0"/>
              <w:marBottom w:val="0"/>
              <w:divBdr>
                <w:top w:val="none" w:sz="0" w:space="0" w:color="auto"/>
                <w:left w:val="none" w:sz="0" w:space="0" w:color="auto"/>
                <w:bottom w:val="none" w:sz="0" w:space="0" w:color="auto"/>
                <w:right w:val="none" w:sz="0" w:space="0" w:color="auto"/>
              </w:divBdr>
            </w:div>
            <w:div w:id="1958364659">
              <w:marLeft w:val="0"/>
              <w:marRight w:val="0"/>
              <w:marTop w:val="0"/>
              <w:marBottom w:val="0"/>
              <w:divBdr>
                <w:top w:val="none" w:sz="0" w:space="0" w:color="auto"/>
                <w:left w:val="none" w:sz="0" w:space="0" w:color="auto"/>
                <w:bottom w:val="none" w:sz="0" w:space="0" w:color="auto"/>
                <w:right w:val="none" w:sz="0" w:space="0" w:color="auto"/>
              </w:divBdr>
            </w:div>
            <w:div w:id="195698239">
              <w:marLeft w:val="0"/>
              <w:marRight w:val="0"/>
              <w:marTop w:val="0"/>
              <w:marBottom w:val="0"/>
              <w:divBdr>
                <w:top w:val="none" w:sz="0" w:space="0" w:color="auto"/>
                <w:left w:val="none" w:sz="0" w:space="0" w:color="auto"/>
                <w:bottom w:val="none" w:sz="0" w:space="0" w:color="auto"/>
                <w:right w:val="none" w:sz="0" w:space="0" w:color="auto"/>
              </w:divBdr>
            </w:div>
            <w:div w:id="19826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s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w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futurework.org.au/wp-content/uploads/sites/2/2017/08/Gig_Symposium_PrePub_Stewart_Stanford.pdf" TargetMode="External"/><Relationship Id="rId13" Type="http://schemas.openxmlformats.org/officeDocument/2006/relationships/hyperlink" Target="https://futurework.org.au/wp-content/uploads/sites/2/2023/05/Unacceptable-Risks-WEBr.pdf" TargetMode="External"/><Relationship Id="rId18" Type="http://schemas.openxmlformats.org/officeDocument/2006/relationships/hyperlink" Target="https://assets.nationbuilder.com/nswlabor/pages/820/attachments/original/1707353853/2023_NSW_Labor_Platform.pdf?1707353853" TargetMode="External"/><Relationship Id="rId3" Type="http://schemas.openxmlformats.org/officeDocument/2006/relationships/hyperlink" Target="https://actuaries.asn.au/Library/Miscellaneous/2020/GPGIGECONOMYWEB.pdf" TargetMode="External"/><Relationship Id="rId7" Type="http://schemas.openxmlformats.org/officeDocument/2006/relationships/hyperlink" Target="https://www.oir.qld.gov.au/system/files/2024-02/decision-impact-analysis-statement-gig-workers-bailee-taxi-limousine-drivers.pdf" TargetMode="External"/><Relationship Id="rId12" Type="http://schemas.openxmlformats.org/officeDocument/2006/relationships/hyperlink" Target="https://www.worksafe.qld.gov.au/__data/assets/pdf_file/0021/24087/workers-compensation-scheme-5-year-review-report.pdf" TargetMode="External"/><Relationship Id="rId17" Type="http://schemas.openxmlformats.org/officeDocument/2006/relationships/hyperlink" Target="https://www.parliament.nsw.gov.au/pbo/Documents/2023OppositionCostingsandRequests/C918%20-%20Costing%20Request%20-%20Modernise%20Laws%20to%20Respond%20to%20the%20Gig%20Economy.pdf" TargetMode="External"/><Relationship Id="rId2" Type="http://schemas.openxmlformats.org/officeDocument/2006/relationships/hyperlink" Target="https://www.pc.gov.au/inquiries/completed/productivity/report/productivity-volume7-labour-market.pdf" TargetMode="External"/><Relationship Id="rId16" Type="http://schemas.openxmlformats.org/officeDocument/2006/relationships/hyperlink" Target="https://www.oir.qld.gov.au/system/files/2024-02/decision-impact-analysis-statement-gig-workers-bailee-taxi-limousine-drivers.pdf" TargetMode="External"/><Relationship Id="rId20" Type="http://schemas.openxmlformats.org/officeDocument/2006/relationships/hyperlink" Target="https://www.parliament.nsw.gov.au/lcdocs/inquiries/2591/Report%20No%201%20-%20Select%20Committee%20-%20The%20gig%20economy%20-%20First%20report.pdf" TargetMode="External"/><Relationship Id="rId1" Type="http://schemas.openxmlformats.org/officeDocument/2006/relationships/hyperlink" Target="https://www.theguardian.com/australia-news/2021/jun/27/call-for-federal-regulator-for-australias-gig-economy-after-sixth-delivery-rider-death-revealed" TargetMode="External"/><Relationship Id="rId6" Type="http://schemas.openxmlformats.org/officeDocument/2006/relationships/hyperlink" Target="https://www.pc.gov.au/inquiries/completed/productivity/report/productivity-volume7-labour-market.pdf" TargetMode="External"/><Relationship Id="rId11" Type="http://schemas.openxmlformats.org/officeDocument/2006/relationships/hyperlink" Target="https://engage.vic.gov.au/inquiry-on-demand-workforce" TargetMode="External"/><Relationship Id="rId5" Type="http://schemas.openxmlformats.org/officeDocument/2006/relationships/hyperlink" Target="https://www.abs.gov.au/statistics/labour/earnings-and-working-conditions/working-arrangements/aug-2024" TargetMode="External"/><Relationship Id="rId15" Type="http://schemas.openxmlformats.org/officeDocument/2006/relationships/hyperlink" Target="https://futurework.org.au/wp-content/uploads/sites/2/2017/08/Gig_Symposium_PrePub_Stewart_Stanford.pdf" TargetMode="External"/><Relationship Id="rId10" Type="http://schemas.openxmlformats.org/officeDocument/2006/relationships/hyperlink" Target="https://parlinfo.aph.gov.au/parlInfo/download/committees/reportsen/024635/toc_pdf/Firstinterimreporton-demandplatformworkinAustralia.pdf;fileType=application%2Fpdf" TargetMode="External"/><Relationship Id="rId19" Type="http://schemas.openxmlformats.org/officeDocument/2006/relationships/hyperlink" Target="https://committees.parliament.sa.gov.au/committee/424/The%20Gig%20Economy/55/55th%20Parliament%205%2F3%2F2022%20-%20Current/55" TargetMode="External"/><Relationship Id="rId4" Type="http://schemas.openxmlformats.org/officeDocument/2006/relationships/hyperlink" Target="https://www.abs.gov.au/statistics/labour/employment-and-unemployment/barriers-and-incentives-labour-force-participation-australia/2023-24" TargetMode="External"/><Relationship Id="rId9" Type="http://schemas.openxmlformats.org/officeDocument/2006/relationships/hyperlink" Target="https://research.qut.edu.au/centre-for-decent-work-and-industry/wp-content/uploads/sites/35/2019/06/Report-of-Survey-Findings_18-June-2019_PUBLISHED.pdf" TargetMode="External"/><Relationship Id="rId14" Type="http://schemas.openxmlformats.org/officeDocument/2006/relationships/hyperlink" Target="https://parlinfo.aph.gov.au/parlInfo/download/legislation/ems/r7072_ems_01d7cd27-1ed6-45d7-a976-800c6da47c6a/upload_pdf/23105b01EM.pdf;fileType=application%2Fpdf" TargetMode="External"/></Relationships>
</file>

<file path=word/theme/theme1.xml><?xml version="1.0" encoding="utf-8"?>
<a:theme xmlns:a="http://schemas.openxmlformats.org/drawingml/2006/main" name="SWA22-theme">
  <a:themeElements>
    <a:clrScheme name="Custom 3">
      <a:dk1>
        <a:sysClr val="windowText" lastClr="000000"/>
      </a:dk1>
      <a:lt1>
        <a:sysClr val="window" lastClr="FFFFFF"/>
      </a:lt1>
      <a:dk2>
        <a:srgbClr val="2B0A99"/>
      </a:dk2>
      <a:lt2>
        <a:srgbClr val="E7E6E6"/>
      </a:lt2>
      <a:accent1>
        <a:srgbClr val="4877E0"/>
      </a:accent1>
      <a:accent2>
        <a:srgbClr val="EB9C3A"/>
      </a:accent2>
      <a:accent3>
        <a:srgbClr val="E80C30"/>
      </a:accent3>
      <a:accent4>
        <a:srgbClr val="5F5E5E"/>
      </a:accent4>
      <a:accent5>
        <a:srgbClr val="7F7F7F"/>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E7CE3-A06A-42EA-B924-D1B65610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3219</Words>
  <Characters>18481</Characters>
  <Application>Microsoft Office Word</Application>
  <DocSecurity>0</DocSecurity>
  <Lines>308</Lines>
  <Paragraphs>68</Paragraphs>
  <ScaleCrop>false</ScaleCrop>
  <HeadingPairs>
    <vt:vector size="2" baseType="variant">
      <vt:variant>
        <vt:lpstr>Title</vt:lpstr>
      </vt:variant>
      <vt:variant>
        <vt:i4>1</vt:i4>
      </vt:variant>
    </vt:vector>
  </HeadingPairs>
  <TitlesOfParts>
    <vt:vector size="1" baseType="lpstr">
      <vt:lpstr>National policy approach to workers’ compensation and the gig economy</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policy approach to workers’ compensation and the gig economy</dc:title>
  <dc:subject/>
  <dc:creator/>
  <cp:keywords/>
  <dc:description/>
  <cp:lastModifiedBy/>
  <cp:revision>1</cp:revision>
  <dcterms:created xsi:type="dcterms:W3CDTF">2025-10-16T06:21:00Z</dcterms:created>
  <dcterms:modified xsi:type="dcterms:W3CDTF">2025-10-20T22:06:00Z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2025-10-16T06:21:42Z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d5d41f35-f5ce-43fb-b7e3-8bd1ecb4a819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