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9A542" w14:textId="5E6B1E4D" w:rsidR="003942B0" w:rsidRPr="0056522C" w:rsidRDefault="00326BBB" w:rsidP="00326BBB">
      <w:pPr>
        <w:pStyle w:val="Title"/>
        <w:spacing w:before="240"/>
        <w:ind w:right="2930"/>
        <w:rPr>
          <w:sz w:val="44"/>
          <w:szCs w:val="44"/>
        </w:rPr>
      </w:pPr>
      <w:bookmarkStart w:id="0" w:name="_Toc201842779"/>
      <w:r>
        <w:rPr>
          <w:sz w:val="44"/>
          <w:szCs w:val="44"/>
        </w:rPr>
        <w:br/>
      </w:r>
      <w:r w:rsidR="003942B0" w:rsidRPr="0056522C">
        <w:rPr>
          <w:sz w:val="44"/>
          <w:szCs w:val="44"/>
        </w:rPr>
        <w:t>Engineered stone prohibition: exemptions</w:t>
      </w:r>
      <w:r>
        <w:rPr>
          <w:sz w:val="44"/>
          <w:szCs w:val="44"/>
        </w:rPr>
        <w:br/>
      </w:r>
    </w:p>
    <w:p w14:paraId="6965D481" w14:textId="77777777" w:rsidR="003942B0" w:rsidRDefault="003942B0" w:rsidP="00326BBB">
      <w:pPr>
        <w:pStyle w:val="SWAHeading1"/>
        <w:pageBreakBefore w:val="0"/>
        <w:ind w:left="-11"/>
      </w:pPr>
      <w:r>
        <w:t>The engineered stone prohibition</w:t>
      </w:r>
      <w:bookmarkEnd w:id="0"/>
    </w:p>
    <w:p w14:paraId="0296388D" w14:textId="175F2421" w:rsidR="003942B0" w:rsidRPr="003942B0" w:rsidRDefault="003942B0" w:rsidP="00E744BB">
      <w:pPr>
        <w:pStyle w:val="Boxedshaded"/>
        <w:rPr>
          <w:rFonts w:eastAsiaTheme="minorEastAsia" w:cs="Arial"/>
          <w:sz w:val="22"/>
        </w:rPr>
      </w:pPr>
      <w:r w:rsidRPr="003942B0">
        <w:rPr>
          <w:rFonts w:cs="Arial"/>
          <w:b/>
          <w:bCs/>
          <w:sz w:val="22"/>
        </w:rPr>
        <w:t xml:space="preserve">WHS Regulation 529D </w:t>
      </w:r>
      <w:r w:rsidR="00E744BB">
        <w:rPr>
          <w:rFonts w:cs="Arial"/>
          <w:sz w:val="22"/>
        </w:rPr>
        <w:br/>
      </w:r>
      <w:r w:rsidRPr="003942B0">
        <w:rPr>
          <w:rFonts w:cs="Arial"/>
          <w:sz w:val="22"/>
        </w:rPr>
        <w:t>Prohibition of work involving engineered stone benchtops, panels or slabs</w:t>
      </w:r>
    </w:p>
    <w:p w14:paraId="58042AF9" w14:textId="77777777" w:rsidR="003942B0" w:rsidRPr="00326BBB" w:rsidRDefault="003942B0" w:rsidP="00326BBB">
      <w:pPr>
        <w:pStyle w:val="Paragraph"/>
      </w:pPr>
      <w:r w:rsidRPr="00326BBB">
        <w:t>A prohibition on the manufacture, supply, processing and installation of engineered stone benchtops, panels and slabs came into effect on 1 July 2024. It is an offence for a person conducting a business or undertaking (PCBU) to carry out work involving the manufacture, supply, processing or installation of engineered stone benchtops, panels or slabs. It is also an offence for a PCBU to direct or allow a worker to carry out this type of work.</w:t>
      </w:r>
    </w:p>
    <w:p w14:paraId="76555FEE" w14:textId="5259477B" w:rsidR="003942B0" w:rsidRPr="005D16E8" w:rsidRDefault="003942B0" w:rsidP="00E744BB">
      <w:pPr>
        <w:pStyle w:val="Boxedshaded"/>
        <w:rPr>
          <w:rFonts w:cs="Arial"/>
          <w:sz w:val="22"/>
        </w:rPr>
      </w:pPr>
      <w:r w:rsidRPr="003942B0">
        <w:rPr>
          <w:rFonts w:cs="Arial"/>
          <w:b/>
          <w:bCs/>
          <w:sz w:val="22"/>
        </w:rPr>
        <w:t>WHS Regulation 529</w:t>
      </w:r>
      <w:r w:rsidRPr="00D865CD">
        <w:rPr>
          <w:rFonts w:cs="Arial"/>
          <w:b/>
          <w:bCs/>
          <w:sz w:val="22"/>
        </w:rPr>
        <w:t>A</w:t>
      </w:r>
      <w:r w:rsidRPr="003942B0">
        <w:rPr>
          <w:rFonts w:cs="Arial"/>
          <w:b/>
          <w:bCs/>
          <w:sz w:val="22"/>
        </w:rPr>
        <w:t>(4)</w:t>
      </w:r>
      <w:r w:rsidR="00E744BB">
        <w:rPr>
          <w:rFonts w:cs="Arial"/>
          <w:sz w:val="22"/>
        </w:rPr>
        <w:br/>
      </w:r>
      <w:r w:rsidRPr="005D16E8">
        <w:rPr>
          <w:rFonts w:cs="Arial"/>
          <w:sz w:val="22"/>
        </w:rPr>
        <w:t xml:space="preserve">Meaning of engineered stone  </w:t>
      </w:r>
    </w:p>
    <w:p w14:paraId="444E36BB" w14:textId="77777777" w:rsidR="003942B0" w:rsidRPr="003942B0" w:rsidRDefault="003942B0" w:rsidP="00326BBB">
      <w:pPr>
        <w:pStyle w:val="Paragraph"/>
      </w:pPr>
      <w:r w:rsidRPr="003942B0">
        <w:t xml:space="preserve">For </w:t>
      </w:r>
      <w:r w:rsidRPr="00326BBB">
        <w:t>the</w:t>
      </w:r>
      <w:r w:rsidRPr="003942B0">
        <w:t xml:space="preserve"> purposes of the WHS Regulations, engineered stone is defined as an artificial product that:</w:t>
      </w:r>
    </w:p>
    <w:p w14:paraId="079674C9" w14:textId="77777777" w:rsidR="003942B0" w:rsidRPr="003942B0" w:rsidRDefault="003942B0" w:rsidP="00326BBB">
      <w:pPr>
        <w:pStyle w:val="ListNumber"/>
      </w:pPr>
      <w:bookmarkStart w:id="1" w:name="_Toc201841739"/>
      <w:bookmarkStart w:id="2" w:name="_Toc201841985"/>
      <w:bookmarkStart w:id="3" w:name="_Toc201842780"/>
      <w:r w:rsidRPr="003942B0">
        <w:t>contains at least 1% crystalline silica as a weight/weight concentration, and</w:t>
      </w:r>
      <w:bookmarkEnd w:id="1"/>
      <w:bookmarkEnd w:id="2"/>
      <w:bookmarkEnd w:id="3"/>
    </w:p>
    <w:p w14:paraId="320AF61F" w14:textId="77777777" w:rsidR="003942B0" w:rsidRPr="003942B0" w:rsidRDefault="003942B0" w:rsidP="00326BBB">
      <w:pPr>
        <w:pStyle w:val="ListNumber"/>
      </w:pPr>
      <w:bookmarkStart w:id="4" w:name="_Toc201841740"/>
      <w:bookmarkStart w:id="5" w:name="_Toc201841986"/>
      <w:bookmarkStart w:id="6" w:name="_Toc201842781"/>
      <w:r w:rsidRPr="003942B0">
        <w:t>is created by combining natural stone materials with other chemical constituents (such as water, resins, or pigments), and</w:t>
      </w:r>
      <w:bookmarkEnd w:id="4"/>
      <w:bookmarkEnd w:id="5"/>
      <w:bookmarkEnd w:id="6"/>
    </w:p>
    <w:p w14:paraId="6990D874" w14:textId="77777777" w:rsidR="003942B0" w:rsidRPr="003942B0" w:rsidRDefault="003942B0" w:rsidP="00326BBB">
      <w:pPr>
        <w:pStyle w:val="ListNumber"/>
      </w:pPr>
      <w:bookmarkStart w:id="7" w:name="_Toc201841741"/>
      <w:bookmarkStart w:id="8" w:name="_Toc201841987"/>
      <w:bookmarkStart w:id="9" w:name="_Toc201842782"/>
      <w:r w:rsidRPr="003942B0">
        <w:t>becomes hardened.</w:t>
      </w:r>
      <w:bookmarkEnd w:id="7"/>
      <w:bookmarkEnd w:id="8"/>
      <w:bookmarkEnd w:id="9"/>
    </w:p>
    <w:tbl>
      <w:tblPr>
        <w:tblStyle w:val="Style2"/>
        <w:tblW w:w="5000" w:type="pct"/>
        <w:tblLook w:val="04A0" w:firstRow="1" w:lastRow="0" w:firstColumn="1" w:lastColumn="0" w:noHBand="0" w:noVBand="1"/>
      </w:tblPr>
      <w:tblGrid>
        <w:gridCol w:w="8996"/>
      </w:tblGrid>
      <w:tr w:rsidR="003942B0" w:rsidRPr="003942B0" w14:paraId="6F26B310" w14:textId="77777777" w:rsidTr="00540349">
        <w:trPr>
          <w:trHeight w:val="758"/>
        </w:trPr>
        <w:tc>
          <w:tcPr>
            <w:tcW w:w="5000" w:type="pct"/>
          </w:tcPr>
          <w:p w14:paraId="74CCC822" w14:textId="77777777" w:rsidR="003942B0" w:rsidRPr="003942B0" w:rsidRDefault="003942B0" w:rsidP="00540349">
            <w:pPr>
              <w:pStyle w:val="Paragraph"/>
              <w:spacing w:after="100" w:afterAutospacing="1" w:line="240" w:lineRule="auto"/>
              <w:rPr>
                <w:rFonts w:eastAsiaTheme="minorEastAsia" w:cs="Arial"/>
                <w:szCs w:val="28"/>
              </w:rPr>
            </w:pPr>
            <w:r w:rsidRPr="006A33F7">
              <w:rPr>
                <w:rFonts w:eastAsia="Calibri" w:cs="Arial"/>
                <w:b/>
                <w:szCs w:val="28"/>
              </w:rPr>
              <w:t>Note</w:t>
            </w:r>
            <w:r w:rsidRPr="003942B0">
              <w:rPr>
                <w:rFonts w:eastAsia="Calibri" w:cs="Arial"/>
                <w:b/>
                <w:szCs w:val="28"/>
              </w:rPr>
              <w:t>:</w:t>
            </w:r>
            <w:r w:rsidRPr="003942B0">
              <w:rPr>
                <w:rFonts w:eastAsia="Calibri" w:cs="Arial"/>
                <w:szCs w:val="28"/>
              </w:rPr>
              <w:t xml:space="preserve"> </w:t>
            </w:r>
            <w:r w:rsidRPr="003942B0">
              <w:rPr>
                <w:rFonts w:eastAsiaTheme="minorEastAsia" w:cs="Arial"/>
                <w:szCs w:val="28"/>
              </w:rPr>
              <w:t>Only products that satisfy all three of the above conditions fall under the definition of engineered stone.</w:t>
            </w:r>
          </w:p>
        </w:tc>
      </w:tr>
    </w:tbl>
    <w:p w14:paraId="3AB0709D" w14:textId="77777777" w:rsidR="003942B0" w:rsidRPr="00326BBB" w:rsidRDefault="003942B0" w:rsidP="00326BBB">
      <w:pPr>
        <w:pStyle w:val="Paragraph"/>
      </w:pPr>
      <w:r w:rsidRPr="00326BBB">
        <w:t>Engineered stone does not include:</w:t>
      </w:r>
    </w:p>
    <w:p w14:paraId="1DDCFDFF" w14:textId="77777777" w:rsidR="003942B0" w:rsidRPr="003942B0" w:rsidRDefault="003942B0" w:rsidP="00326BBB">
      <w:pPr>
        <w:pStyle w:val="ListNumber"/>
        <w:numPr>
          <w:ilvl w:val="0"/>
          <w:numId w:val="49"/>
        </w:numPr>
      </w:pPr>
      <w:bookmarkStart w:id="10" w:name="_Toc201841742"/>
      <w:bookmarkStart w:id="11" w:name="_Toc201841988"/>
      <w:bookmarkStart w:id="12" w:name="_Toc201842783"/>
      <w:r w:rsidRPr="003942B0">
        <w:t>concrete and cement products</w:t>
      </w:r>
      <w:bookmarkEnd w:id="10"/>
      <w:bookmarkEnd w:id="11"/>
      <w:bookmarkEnd w:id="12"/>
    </w:p>
    <w:p w14:paraId="4208D3A3" w14:textId="77777777" w:rsidR="003942B0" w:rsidRPr="003942B0" w:rsidRDefault="003942B0" w:rsidP="00326BBB">
      <w:pPr>
        <w:pStyle w:val="ListNumber"/>
      </w:pPr>
      <w:bookmarkStart w:id="13" w:name="_Toc201841743"/>
      <w:bookmarkStart w:id="14" w:name="_Toc201841989"/>
      <w:bookmarkStart w:id="15" w:name="_Toc201842784"/>
      <w:r w:rsidRPr="003942B0">
        <w:t>bricks, pavers, and other similar blocks</w:t>
      </w:r>
      <w:bookmarkEnd w:id="13"/>
      <w:bookmarkEnd w:id="14"/>
      <w:bookmarkEnd w:id="15"/>
    </w:p>
    <w:p w14:paraId="67ABF04D" w14:textId="77777777" w:rsidR="003942B0" w:rsidRPr="003942B0" w:rsidRDefault="003942B0" w:rsidP="00326BBB">
      <w:pPr>
        <w:pStyle w:val="ListNumber"/>
      </w:pPr>
      <w:bookmarkStart w:id="16" w:name="_Toc201841744"/>
      <w:bookmarkStart w:id="17" w:name="_Toc201841990"/>
      <w:bookmarkStart w:id="18" w:name="_Toc201842785"/>
      <w:r w:rsidRPr="003942B0">
        <w:t>ceramic wall and floor tiles</w:t>
      </w:r>
      <w:bookmarkEnd w:id="16"/>
      <w:bookmarkEnd w:id="17"/>
      <w:bookmarkEnd w:id="18"/>
    </w:p>
    <w:p w14:paraId="4A2E9CE1" w14:textId="77777777" w:rsidR="003942B0" w:rsidRPr="003942B0" w:rsidRDefault="003942B0" w:rsidP="00326BBB">
      <w:pPr>
        <w:pStyle w:val="ListNumber"/>
      </w:pPr>
      <w:bookmarkStart w:id="19" w:name="_Toc201841745"/>
      <w:bookmarkStart w:id="20" w:name="_Toc201841991"/>
      <w:bookmarkStart w:id="21" w:name="_Toc201842786"/>
      <w:r w:rsidRPr="003942B0">
        <w:t>sintered stone</w:t>
      </w:r>
      <w:bookmarkEnd w:id="19"/>
      <w:bookmarkEnd w:id="20"/>
      <w:bookmarkEnd w:id="21"/>
    </w:p>
    <w:p w14:paraId="79453495" w14:textId="77777777" w:rsidR="003942B0" w:rsidRPr="003942B0" w:rsidRDefault="003942B0" w:rsidP="00326BBB">
      <w:pPr>
        <w:pStyle w:val="ListNumber"/>
      </w:pPr>
      <w:bookmarkStart w:id="22" w:name="_Toc201841746"/>
      <w:bookmarkStart w:id="23" w:name="_Toc201841992"/>
      <w:bookmarkStart w:id="24" w:name="_Toc201842787"/>
      <w:r w:rsidRPr="003942B0">
        <w:t>porcelain products</w:t>
      </w:r>
      <w:bookmarkEnd w:id="22"/>
      <w:bookmarkEnd w:id="23"/>
      <w:bookmarkEnd w:id="24"/>
    </w:p>
    <w:p w14:paraId="6EFF37F4" w14:textId="77777777" w:rsidR="003942B0" w:rsidRPr="003942B0" w:rsidRDefault="003942B0" w:rsidP="00326BBB">
      <w:pPr>
        <w:pStyle w:val="ListNumber"/>
      </w:pPr>
      <w:bookmarkStart w:id="25" w:name="_Toc201841747"/>
      <w:bookmarkStart w:id="26" w:name="_Toc201841993"/>
      <w:bookmarkStart w:id="27" w:name="_Toc201842788"/>
      <w:r w:rsidRPr="003942B0">
        <w:t>roof tiles</w:t>
      </w:r>
      <w:bookmarkEnd w:id="25"/>
      <w:bookmarkEnd w:id="26"/>
      <w:bookmarkEnd w:id="27"/>
    </w:p>
    <w:p w14:paraId="50128759" w14:textId="77777777" w:rsidR="003942B0" w:rsidRPr="003942B0" w:rsidRDefault="003942B0" w:rsidP="00326BBB">
      <w:pPr>
        <w:pStyle w:val="ListNumber"/>
      </w:pPr>
      <w:bookmarkStart w:id="28" w:name="_Toc201841748"/>
      <w:bookmarkStart w:id="29" w:name="_Toc201841994"/>
      <w:bookmarkStart w:id="30" w:name="_Toc201842789"/>
      <w:r w:rsidRPr="003942B0">
        <w:t>grout, mortar, and render, and</w:t>
      </w:r>
      <w:bookmarkEnd w:id="28"/>
      <w:bookmarkEnd w:id="29"/>
      <w:bookmarkEnd w:id="30"/>
    </w:p>
    <w:p w14:paraId="71DF36F9" w14:textId="77777777" w:rsidR="003942B0" w:rsidRPr="003942B0" w:rsidRDefault="003942B0" w:rsidP="00326BBB">
      <w:pPr>
        <w:pStyle w:val="ListNumber"/>
      </w:pPr>
      <w:bookmarkStart w:id="31" w:name="_Toc201841749"/>
      <w:bookmarkStart w:id="32" w:name="_Toc201841995"/>
      <w:bookmarkStart w:id="33" w:name="_Toc201842790"/>
      <w:r w:rsidRPr="003942B0">
        <w:t>plasterboard</w:t>
      </w:r>
      <w:bookmarkEnd w:id="31"/>
      <w:bookmarkEnd w:id="32"/>
      <w:bookmarkEnd w:id="33"/>
      <w:r w:rsidRPr="003942B0">
        <w:t xml:space="preserve"> </w:t>
      </w:r>
    </w:p>
    <w:p w14:paraId="227E8634" w14:textId="77777777" w:rsidR="00326BBB" w:rsidRDefault="00326BBB">
      <w:pPr>
        <w:spacing w:before="0" w:after="200" w:line="276" w:lineRule="auto"/>
        <w:rPr>
          <w:rFonts w:eastAsia="Times New Roman" w:cstheme="minorBidi"/>
          <w:sz w:val="22"/>
          <w:szCs w:val="24"/>
          <w:lang w:eastAsia="en-AU"/>
        </w:rPr>
      </w:pPr>
      <w:r>
        <w:br w:type="page"/>
      </w:r>
    </w:p>
    <w:p w14:paraId="7F8A01A7" w14:textId="7E4B6223" w:rsidR="00326BBB" w:rsidRDefault="003942B0" w:rsidP="00326BBB">
      <w:pPr>
        <w:pStyle w:val="Paragraph"/>
      </w:pPr>
      <w:r w:rsidRPr="00326BBB">
        <w:lastRenderedPageBreak/>
        <w:t xml:space="preserve">There are limited </w:t>
      </w:r>
      <w:hyperlink r:id="rId8" w:history="1">
        <w:r w:rsidRPr="0036040B">
          <w:rPr>
            <w:rStyle w:val="Hyperlink"/>
          </w:rPr>
          <w:t>exceptions to the prohibition for which work with engineered stone benchtops, panels or slabs is permitted</w:t>
        </w:r>
      </w:hyperlink>
      <w:r w:rsidRPr="00326BBB">
        <w:t>. For further information, see Part 5.2 of the model Code of Practice: Managing risks of respirable crystalline silica in the workplace.</w:t>
      </w:r>
    </w:p>
    <w:p w14:paraId="6D4008E2" w14:textId="30BA73CA" w:rsidR="003942B0" w:rsidRPr="00326BBB" w:rsidRDefault="003942B0" w:rsidP="00326BBB">
      <w:pPr>
        <w:pStyle w:val="Paragraph"/>
      </w:pPr>
      <w:r w:rsidRPr="00326BBB">
        <w:t>Under the WHS Regulations, a person may apply for an exemption from the engineered stone prohibition for a type of engineered stone product. A WHS regulator may grant an exemption if certain criteria are met. An exemption granted by a WHS regulator is recognised by all WHS regulators with a corresponding WHS law in relation to granting engineered stone prohibition exemptions.</w:t>
      </w:r>
    </w:p>
    <w:p w14:paraId="29CE989F" w14:textId="77777777" w:rsidR="00AF013F" w:rsidRDefault="003942B0" w:rsidP="00326BBB">
      <w:pPr>
        <w:pStyle w:val="SWAHeading1"/>
        <w:pageBreakBefore w:val="0"/>
        <w:ind w:left="-11"/>
      </w:pPr>
      <w:bookmarkStart w:id="34" w:name="_Toc201842791"/>
      <w:r>
        <w:t>Exemption from the engineered stone prohibition</w:t>
      </w:r>
      <w:bookmarkEnd w:id="34"/>
    </w:p>
    <w:p w14:paraId="4CA1CA20" w14:textId="38CE261C" w:rsidR="003942B0" w:rsidRPr="00EC06FD" w:rsidRDefault="00AF013F" w:rsidP="00EC06FD">
      <w:pPr>
        <w:pStyle w:val="Boxedshaded"/>
        <w:rPr>
          <w:sz w:val="22"/>
        </w:rPr>
      </w:pPr>
      <w:r w:rsidRPr="003942B0">
        <w:rPr>
          <w:rFonts w:cs="Arial"/>
          <w:b/>
          <w:bCs/>
          <w:sz w:val="22"/>
        </w:rPr>
        <w:t xml:space="preserve">WHS Regulation </w:t>
      </w:r>
      <w:r>
        <w:rPr>
          <w:rFonts w:cs="Arial"/>
          <w:b/>
          <w:bCs/>
          <w:sz w:val="22"/>
        </w:rPr>
        <w:t>689A</w:t>
      </w:r>
      <w:r>
        <w:rPr>
          <w:rFonts w:cs="Arial"/>
          <w:sz w:val="22"/>
        </w:rPr>
        <w:br/>
        <w:t>Exemption from the engineered stone prohibition</w:t>
      </w:r>
    </w:p>
    <w:p w14:paraId="574DD965" w14:textId="77777777" w:rsidR="003942B0" w:rsidRPr="003942B0" w:rsidRDefault="003942B0" w:rsidP="00D4556A">
      <w:pPr>
        <w:rPr>
          <w:sz w:val="22"/>
          <w:szCs w:val="22"/>
        </w:rPr>
      </w:pPr>
      <w:r w:rsidRPr="003942B0">
        <w:rPr>
          <w:rFonts w:eastAsia="Arial"/>
          <w:sz w:val="22"/>
          <w:szCs w:val="24"/>
        </w:rPr>
        <w:t xml:space="preserve">The WHS Regulations allow a WHS regulator to exempt a type of engineered stone from the prohibition. If an exemption is granted, the engineered stone prohibition will not apply if a PCBU carries out work involving the type of engineered stone that has been exempted. </w:t>
      </w:r>
    </w:p>
    <w:p w14:paraId="6099DE57" w14:textId="77777777" w:rsidR="003942B0" w:rsidRPr="003942B0" w:rsidRDefault="003942B0" w:rsidP="00D4556A">
      <w:pPr>
        <w:rPr>
          <w:sz w:val="22"/>
          <w:szCs w:val="22"/>
        </w:rPr>
      </w:pPr>
      <w:r w:rsidRPr="003942B0">
        <w:rPr>
          <w:rFonts w:eastAsia="Arial"/>
          <w:sz w:val="22"/>
          <w:szCs w:val="24"/>
        </w:rPr>
        <w:t xml:space="preserve">An exemption from the engineered stone prohibition may only be granted if the WHS regulator is satisfied that granting the exemption will result in a standard of health and safety that is at least equivalent to the standard that would have been achieved without that exemption. </w:t>
      </w:r>
    </w:p>
    <w:p w14:paraId="09F3A9F8" w14:textId="77777777" w:rsidR="003942B0" w:rsidRPr="003942B0" w:rsidRDefault="003942B0" w:rsidP="00D4556A">
      <w:pPr>
        <w:rPr>
          <w:sz w:val="22"/>
          <w:szCs w:val="22"/>
        </w:rPr>
      </w:pPr>
      <w:r w:rsidRPr="003942B0">
        <w:rPr>
          <w:rFonts w:eastAsia="Arial"/>
          <w:sz w:val="22"/>
          <w:szCs w:val="24"/>
        </w:rPr>
        <w:t>An exemption granted by the WHS regulator of one jurisdiction will also apply in all jurisdictions except Victoria.</w:t>
      </w:r>
      <w:r w:rsidRPr="003942B0">
        <w:rPr>
          <w:rStyle w:val="FootnoteReference"/>
          <w:rFonts w:eastAsia="Arial"/>
          <w:sz w:val="22"/>
          <w:szCs w:val="24"/>
        </w:rPr>
        <w:footnoteReference w:id="1"/>
      </w:r>
      <w:r w:rsidRPr="003942B0">
        <w:rPr>
          <w:rFonts w:eastAsia="Arial"/>
          <w:sz w:val="22"/>
          <w:szCs w:val="24"/>
        </w:rPr>
        <w:t xml:space="preserve"> </w:t>
      </w:r>
    </w:p>
    <w:tbl>
      <w:tblPr>
        <w:tblStyle w:val="TableGrid"/>
        <w:tblW w:w="0" w:type="auto"/>
        <w:tblLayout w:type="fixed"/>
        <w:tblLook w:val="04A0" w:firstRow="1" w:lastRow="0" w:firstColumn="1" w:lastColumn="0" w:noHBand="0" w:noVBand="1"/>
      </w:tblPr>
      <w:tblGrid>
        <w:gridCol w:w="9015"/>
      </w:tblGrid>
      <w:tr w:rsidR="003942B0" w:rsidRPr="003942B0" w14:paraId="2BF225EE" w14:textId="77777777" w:rsidTr="00AC0E29">
        <w:trPr>
          <w:cnfStyle w:val="100000000000" w:firstRow="1" w:lastRow="0" w:firstColumn="0" w:lastColumn="0" w:oddVBand="0" w:evenVBand="0" w:oddHBand="0" w:evenHBand="0" w:firstRowFirstColumn="0" w:firstRowLastColumn="0" w:lastRowFirstColumn="0" w:lastRowLastColumn="0"/>
          <w:trHeight w:val="300"/>
        </w:trPr>
        <w:tc>
          <w:tcPr>
            <w:tcW w:w="9015" w:type="dxa"/>
            <w:tcBorders>
              <w:top w:val="nil"/>
              <w:left w:val="single" w:sz="24" w:space="0" w:color="EB9C3A"/>
              <w:bottom w:val="nil"/>
              <w:right w:val="nil"/>
            </w:tcBorders>
            <w:shd w:val="clear" w:color="auto" w:fill="FBEBD7"/>
            <w:tcMar>
              <w:left w:w="108" w:type="dxa"/>
              <w:right w:w="108" w:type="dxa"/>
            </w:tcMar>
          </w:tcPr>
          <w:p w14:paraId="63CC33F5" w14:textId="77777777" w:rsidR="003942B0" w:rsidRPr="003942B0" w:rsidRDefault="003942B0" w:rsidP="00AC0E29">
            <w:pPr>
              <w:tabs>
                <w:tab w:val="center" w:pos="4513"/>
                <w:tab w:val="left" w:pos="7019"/>
                <w:tab w:val="right" w:pos="9026"/>
              </w:tabs>
              <w:rPr>
                <w:sz w:val="22"/>
                <w:szCs w:val="22"/>
              </w:rPr>
            </w:pPr>
            <w:r w:rsidRPr="003942B0">
              <w:rPr>
                <w:rFonts w:eastAsia="Arial"/>
                <w:bCs/>
                <w:color w:val="000000" w:themeColor="text1"/>
                <w:sz w:val="22"/>
                <w:szCs w:val="24"/>
              </w:rPr>
              <w:t>Note:</w:t>
            </w:r>
            <w:r w:rsidRPr="003942B0">
              <w:rPr>
                <w:rFonts w:eastAsia="Arial"/>
                <w:color w:val="000000" w:themeColor="text1"/>
                <w:sz w:val="22"/>
                <w:szCs w:val="24"/>
              </w:rPr>
              <w:t xml:space="preserve"> </w:t>
            </w:r>
            <w:r w:rsidRPr="003942B0">
              <w:rPr>
                <w:rFonts w:eastAsia="Arial"/>
                <w:b w:val="0"/>
                <w:bCs/>
                <w:color w:val="000000" w:themeColor="text1"/>
                <w:sz w:val="22"/>
                <w:szCs w:val="24"/>
              </w:rPr>
              <w:t xml:space="preserve">The exemption applies to a type of engineered stone. Once a type of engineered stone is exempted, any PCBU will be able to work with that type of engineered stone so long as they can satisfy any conditions imposed on the exemption. </w:t>
            </w:r>
          </w:p>
        </w:tc>
      </w:tr>
    </w:tbl>
    <w:p w14:paraId="03A5F2D5" w14:textId="77777777" w:rsidR="003942B0" w:rsidRDefault="003942B0" w:rsidP="00326BBB">
      <w:pPr>
        <w:pStyle w:val="SWAHeading1"/>
        <w:pageBreakBefore w:val="0"/>
        <w:ind w:left="-11"/>
      </w:pPr>
      <w:bookmarkStart w:id="35" w:name="_Toc201842792"/>
      <w:r>
        <w:t>Application for an exemption</w:t>
      </w:r>
      <w:bookmarkEnd w:id="35"/>
    </w:p>
    <w:p w14:paraId="0CCCAB30" w14:textId="56F0C662" w:rsidR="00637A12" w:rsidRPr="003942B0" w:rsidRDefault="00637A12" w:rsidP="00637A12">
      <w:pPr>
        <w:pStyle w:val="Boxedshaded"/>
        <w:rPr>
          <w:rFonts w:eastAsiaTheme="minorEastAsia" w:cs="Arial"/>
          <w:sz w:val="22"/>
        </w:rPr>
      </w:pPr>
      <w:r w:rsidRPr="003942B0">
        <w:rPr>
          <w:rFonts w:cs="Arial"/>
          <w:b/>
          <w:bCs/>
          <w:sz w:val="22"/>
        </w:rPr>
        <w:t>WHS Regulation</w:t>
      </w:r>
      <w:r>
        <w:rPr>
          <w:rFonts w:cs="Arial"/>
          <w:b/>
          <w:bCs/>
          <w:sz w:val="22"/>
        </w:rPr>
        <w:t>s</w:t>
      </w:r>
      <w:r w:rsidRPr="003942B0">
        <w:rPr>
          <w:rFonts w:cs="Arial"/>
          <w:b/>
          <w:bCs/>
          <w:sz w:val="22"/>
        </w:rPr>
        <w:t xml:space="preserve"> </w:t>
      </w:r>
      <w:r>
        <w:rPr>
          <w:rFonts w:cs="Arial"/>
          <w:b/>
          <w:bCs/>
          <w:sz w:val="22"/>
        </w:rPr>
        <w:t>689B and 690</w:t>
      </w:r>
      <w:r w:rsidRPr="003942B0">
        <w:rPr>
          <w:rFonts w:cs="Arial"/>
          <w:b/>
          <w:bCs/>
          <w:sz w:val="22"/>
        </w:rPr>
        <w:t xml:space="preserve"> </w:t>
      </w:r>
      <w:r>
        <w:rPr>
          <w:rFonts w:cs="Arial"/>
          <w:sz w:val="22"/>
        </w:rPr>
        <w:br/>
      </w:r>
      <w:r>
        <w:rPr>
          <w:rFonts w:eastAsiaTheme="minorEastAsia" w:cs="Arial"/>
          <w:sz w:val="22"/>
        </w:rPr>
        <w:t>Application for exemption</w:t>
      </w:r>
    </w:p>
    <w:p w14:paraId="6DAFD769" w14:textId="77777777" w:rsidR="003942B0" w:rsidRPr="003942B0" w:rsidRDefault="003942B0" w:rsidP="00326BBB">
      <w:pPr>
        <w:pStyle w:val="Paragraph"/>
        <w:rPr>
          <w:szCs w:val="22"/>
        </w:rPr>
      </w:pPr>
      <w:r w:rsidRPr="003942B0">
        <w:rPr>
          <w:rFonts w:eastAsia="Arial"/>
        </w:rPr>
        <w:t xml:space="preserve">A person may apply to a WHS regulator to exempt a type of engineered stone from the prohibition. </w:t>
      </w:r>
    </w:p>
    <w:p w14:paraId="0DE7CA63" w14:textId="77777777" w:rsidR="003942B0" w:rsidRPr="003942B0" w:rsidRDefault="003942B0" w:rsidP="00326BBB">
      <w:pPr>
        <w:pStyle w:val="Paragraph"/>
        <w:rPr>
          <w:szCs w:val="22"/>
        </w:rPr>
      </w:pPr>
      <w:r w:rsidRPr="003942B0">
        <w:rPr>
          <w:rFonts w:eastAsia="Arial"/>
        </w:rPr>
        <w:t xml:space="preserve">Before applying for an exemption, the person must consult with the Safe Work Australia Members who represent the interests of employers and workers (social partners). </w:t>
      </w:r>
    </w:p>
    <w:tbl>
      <w:tblPr>
        <w:tblStyle w:val="TableGrid"/>
        <w:tblW w:w="0" w:type="auto"/>
        <w:tblLayout w:type="fixed"/>
        <w:tblLook w:val="04A0" w:firstRow="1" w:lastRow="0" w:firstColumn="1" w:lastColumn="0" w:noHBand="0" w:noVBand="1"/>
      </w:tblPr>
      <w:tblGrid>
        <w:gridCol w:w="9015"/>
      </w:tblGrid>
      <w:tr w:rsidR="003942B0" w:rsidRPr="003942B0" w14:paraId="4DB08769" w14:textId="77777777" w:rsidTr="00AC0E29">
        <w:trPr>
          <w:cnfStyle w:val="100000000000" w:firstRow="1" w:lastRow="0" w:firstColumn="0" w:lastColumn="0" w:oddVBand="0" w:evenVBand="0" w:oddHBand="0" w:evenHBand="0" w:firstRowFirstColumn="0" w:firstRowLastColumn="0" w:lastRowFirstColumn="0" w:lastRowLastColumn="0"/>
          <w:trHeight w:val="300"/>
        </w:trPr>
        <w:tc>
          <w:tcPr>
            <w:tcW w:w="9015" w:type="dxa"/>
            <w:tcBorders>
              <w:top w:val="nil"/>
              <w:left w:val="single" w:sz="24" w:space="0" w:color="EB9C3A"/>
              <w:bottom w:val="nil"/>
              <w:right w:val="nil"/>
            </w:tcBorders>
            <w:shd w:val="clear" w:color="auto" w:fill="FBEBD7"/>
            <w:tcMar>
              <w:left w:w="108" w:type="dxa"/>
              <w:right w:w="108" w:type="dxa"/>
            </w:tcMar>
          </w:tcPr>
          <w:p w14:paraId="104BF988" w14:textId="77777777" w:rsidR="003942B0" w:rsidRPr="003942B0" w:rsidRDefault="003942B0" w:rsidP="00F86EF5">
            <w:pPr>
              <w:rPr>
                <w:sz w:val="22"/>
                <w:szCs w:val="22"/>
              </w:rPr>
            </w:pPr>
            <w:r w:rsidRPr="003942B0">
              <w:rPr>
                <w:rFonts w:eastAsia="Arial"/>
                <w:bCs/>
                <w:color w:val="000000" w:themeColor="text1"/>
                <w:sz w:val="22"/>
                <w:szCs w:val="24"/>
              </w:rPr>
              <w:lastRenderedPageBreak/>
              <w:t xml:space="preserve">For further information </w:t>
            </w:r>
            <w:r w:rsidRPr="003942B0">
              <w:rPr>
                <w:rFonts w:eastAsia="Arial"/>
                <w:b w:val="0"/>
                <w:bCs/>
                <w:color w:val="000000" w:themeColor="text1"/>
                <w:sz w:val="22"/>
                <w:szCs w:val="24"/>
              </w:rPr>
              <w:t xml:space="preserve">about Safe Work Australia’s social partners, see Safe Work Australia’s </w:t>
            </w:r>
            <w:hyperlink r:id="rId9">
              <w:r w:rsidRPr="003942B0">
                <w:rPr>
                  <w:rStyle w:val="Hyperlink"/>
                  <w:rFonts w:eastAsia="Arial"/>
                  <w:b w:val="0"/>
                  <w:bCs/>
                  <w:color w:val="2050BD"/>
                  <w:sz w:val="22"/>
                  <w:szCs w:val="24"/>
                </w:rPr>
                <w:t>website</w:t>
              </w:r>
            </w:hyperlink>
            <w:r w:rsidRPr="003942B0">
              <w:rPr>
                <w:rFonts w:eastAsia="Arial"/>
                <w:b w:val="0"/>
                <w:bCs/>
                <w:color w:val="000000" w:themeColor="text1"/>
                <w:sz w:val="22"/>
                <w:szCs w:val="24"/>
              </w:rPr>
              <w:t xml:space="preserve">. </w:t>
            </w:r>
          </w:p>
        </w:tc>
      </w:tr>
    </w:tbl>
    <w:p w14:paraId="0847990B" w14:textId="77777777" w:rsidR="003942B0" w:rsidRPr="003942B0" w:rsidRDefault="003942B0" w:rsidP="00F86EF5">
      <w:pPr>
        <w:rPr>
          <w:sz w:val="22"/>
          <w:szCs w:val="22"/>
        </w:rPr>
      </w:pPr>
      <w:r w:rsidRPr="003942B0">
        <w:rPr>
          <w:rFonts w:eastAsia="Arial"/>
          <w:sz w:val="22"/>
          <w:szCs w:val="24"/>
        </w:rPr>
        <w:t>The person must provide written notice to each social partner:</w:t>
      </w:r>
    </w:p>
    <w:p w14:paraId="3DC702ED" w14:textId="77777777" w:rsidR="003942B0" w:rsidRPr="003942B0" w:rsidRDefault="003942B0" w:rsidP="00326BBB">
      <w:pPr>
        <w:pStyle w:val="ListBullet"/>
      </w:pPr>
      <w:bookmarkStart w:id="36" w:name="_Toc201842793"/>
      <w:r w:rsidRPr="003942B0">
        <w:t>stating that they intend to apply to a WHS regulator for an exemption</w:t>
      </w:r>
      <w:bookmarkEnd w:id="36"/>
    </w:p>
    <w:p w14:paraId="16C82653" w14:textId="77777777" w:rsidR="003942B0" w:rsidRPr="003942B0" w:rsidRDefault="003942B0" w:rsidP="00326BBB">
      <w:pPr>
        <w:pStyle w:val="ListBullet"/>
      </w:pPr>
      <w:bookmarkStart w:id="37" w:name="_Toc201842794"/>
      <w:r w:rsidRPr="003942B0">
        <w:t>inviting the social partner to make a submission for the regulator (within a reasonable period), and</w:t>
      </w:r>
      <w:bookmarkEnd w:id="37"/>
    </w:p>
    <w:p w14:paraId="17730B08" w14:textId="77777777" w:rsidR="003942B0" w:rsidRPr="003942B0" w:rsidRDefault="003942B0" w:rsidP="00326BBB">
      <w:pPr>
        <w:pStyle w:val="ListBullet"/>
      </w:pPr>
      <w:bookmarkStart w:id="38" w:name="_Toc201842795"/>
      <w:r w:rsidRPr="003942B0">
        <w:t>informing the social partner that the submission must be provided to the regulator as part of the application.</w:t>
      </w:r>
      <w:bookmarkEnd w:id="38"/>
      <w:r w:rsidRPr="003942B0">
        <w:t xml:space="preserve"> </w:t>
      </w:r>
    </w:p>
    <w:p w14:paraId="337AF352" w14:textId="77777777" w:rsidR="003942B0" w:rsidRPr="003942B0" w:rsidRDefault="003942B0" w:rsidP="00326BBB">
      <w:pPr>
        <w:pStyle w:val="Paragraph"/>
        <w:rPr>
          <w:szCs w:val="22"/>
        </w:rPr>
      </w:pPr>
      <w:r w:rsidRPr="003942B0">
        <w:rPr>
          <w:rFonts w:eastAsia="Arial"/>
        </w:rPr>
        <w:t>The person must also provide a copy of the proposed exemption application to each social partner together with the written notice.</w:t>
      </w:r>
    </w:p>
    <w:p w14:paraId="0ED55A39" w14:textId="77777777" w:rsidR="003942B0" w:rsidRPr="003942B0" w:rsidRDefault="003942B0" w:rsidP="00326BBB">
      <w:pPr>
        <w:pStyle w:val="Paragraph"/>
        <w:rPr>
          <w:szCs w:val="22"/>
        </w:rPr>
      </w:pPr>
      <w:r w:rsidRPr="003942B0">
        <w:rPr>
          <w:rFonts w:eastAsia="Arial"/>
        </w:rPr>
        <w:t>When applying to the WHS regulator for an exemption, the applicant must provide the following:</w:t>
      </w:r>
    </w:p>
    <w:p w14:paraId="29F2F07C" w14:textId="77777777" w:rsidR="003942B0" w:rsidRPr="003942B0" w:rsidRDefault="003942B0" w:rsidP="00326BBB">
      <w:pPr>
        <w:pStyle w:val="ListBullet"/>
      </w:pPr>
      <w:bookmarkStart w:id="39" w:name="_Toc201842796"/>
      <w:r w:rsidRPr="003942B0">
        <w:t>a written application in the manner and form required by the WHS regulator</w:t>
      </w:r>
      <w:bookmarkEnd w:id="39"/>
    </w:p>
    <w:p w14:paraId="68008C3A" w14:textId="77777777" w:rsidR="003942B0" w:rsidRPr="003942B0" w:rsidRDefault="003942B0" w:rsidP="00326BBB">
      <w:pPr>
        <w:pStyle w:val="ListBullet"/>
      </w:pPr>
      <w:bookmarkStart w:id="40" w:name="_Toc201842797"/>
      <w:r w:rsidRPr="003942B0">
        <w:t>the written notice that was provided to each of the social partners, and</w:t>
      </w:r>
      <w:bookmarkEnd w:id="40"/>
      <w:r w:rsidRPr="003942B0">
        <w:t xml:space="preserve"> </w:t>
      </w:r>
    </w:p>
    <w:p w14:paraId="78107C56" w14:textId="77777777" w:rsidR="003942B0" w:rsidRPr="003942B0" w:rsidRDefault="003942B0" w:rsidP="00326BBB">
      <w:pPr>
        <w:pStyle w:val="ListBullet"/>
      </w:pPr>
      <w:bookmarkStart w:id="41" w:name="_Toc201842798"/>
      <w:r w:rsidRPr="003942B0">
        <w:t>any submissions made to the applicant by the social partners.</w:t>
      </w:r>
      <w:bookmarkEnd w:id="41"/>
      <w:r w:rsidRPr="003942B0">
        <w:t xml:space="preserve">  </w:t>
      </w:r>
    </w:p>
    <w:tbl>
      <w:tblPr>
        <w:tblStyle w:val="TableGrid"/>
        <w:tblW w:w="0" w:type="auto"/>
        <w:tblLayout w:type="fixed"/>
        <w:tblLook w:val="04A0" w:firstRow="1" w:lastRow="0" w:firstColumn="1" w:lastColumn="0" w:noHBand="0" w:noVBand="1"/>
      </w:tblPr>
      <w:tblGrid>
        <w:gridCol w:w="9015"/>
      </w:tblGrid>
      <w:tr w:rsidR="003942B0" w:rsidRPr="003942B0" w14:paraId="3E30AB8C" w14:textId="77777777" w:rsidTr="00AC0E29">
        <w:trPr>
          <w:cnfStyle w:val="100000000000" w:firstRow="1" w:lastRow="0" w:firstColumn="0" w:lastColumn="0" w:oddVBand="0" w:evenVBand="0" w:oddHBand="0" w:evenHBand="0" w:firstRowFirstColumn="0" w:firstRowLastColumn="0" w:lastRowFirstColumn="0" w:lastRowLastColumn="0"/>
          <w:trHeight w:val="300"/>
        </w:trPr>
        <w:tc>
          <w:tcPr>
            <w:tcW w:w="9015" w:type="dxa"/>
            <w:tcBorders>
              <w:top w:val="nil"/>
              <w:left w:val="single" w:sz="24" w:space="0" w:color="EB9C3A"/>
              <w:bottom w:val="nil"/>
              <w:right w:val="nil"/>
            </w:tcBorders>
            <w:shd w:val="clear" w:color="auto" w:fill="FBEBD7"/>
            <w:tcMar>
              <w:left w:w="108" w:type="dxa"/>
              <w:right w:w="108" w:type="dxa"/>
            </w:tcMar>
          </w:tcPr>
          <w:p w14:paraId="2B7EE555" w14:textId="77777777" w:rsidR="003942B0" w:rsidRPr="003942B0" w:rsidRDefault="003942B0" w:rsidP="009D4DE0">
            <w:pPr>
              <w:rPr>
                <w:rFonts w:eastAsia="Arial"/>
                <w:color w:val="000000" w:themeColor="text1"/>
                <w:sz w:val="22"/>
                <w:szCs w:val="24"/>
              </w:rPr>
            </w:pPr>
            <w:r w:rsidRPr="003942B0">
              <w:rPr>
                <w:rFonts w:eastAsia="Arial"/>
                <w:bCs/>
                <w:color w:val="000000" w:themeColor="text1"/>
                <w:sz w:val="22"/>
                <w:szCs w:val="24"/>
              </w:rPr>
              <w:t xml:space="preserve">For further information </w:t>
            </w:r>
            <w:r w:rsidRPr="003942B0">
              <w:rPr>
                <w:rFonts w:eastAsia="Arial"/>
                <w:b w:val="0"/>
                <w:bCs/>
                <w:color w:val="000000" w:themeColor="text1"/>
                <w:sz w:val="22"/>
                <w:szCs w:val="24"/>
              </w:rPr>
              <w:t xml:space="preserve">on the application process, see the Guide for exemption applicants in the </w:t>
            </w:r>
            <w:hyperlink r:id="rId10" w:anchor=":~:text=The%20framework%20guides%20the%20granting,work%20health%20and%20safety%20regulator.">
              <w:r w:rsidRPr="003942B0">
                <w:rPr>
                  <w:rStyle w:val="Hyperlink"/>
                  <w:rFonts w:eastAsia="Arial"/>
                  <w:b w:val="0"/>
                  <w:bCs/>
                  <w:color w:val="2050BD"/>
                  <w:sz w:val="22"/>
                  <w:szCs w:val="24"/>
                </w:rPr>
                <w:t>National Exemption Framework</w:t>
              </w:r>
            </w:hyperlink>
            <w:r w:rsidRPr="003942B0">
              <w:rPr>
                <w:rFonts w:eastAsia="Arial"/>
                <w:b w:val="0"/>
                <w:bCs/>
                <w:color w:val="000000" w:themeColor="text1"/>
                <w:sz w:val="22"/>
                <w:szCs w:val="24"/>
              </w:rPr>
              <w:t>.</w:t>
            </w:r>
          </w:p>
        </w:tc>
      </w:tr>
    </w:tbl>
    <w:p w14:paraId="6C31E024" w14:textId="77777777" w:rsidR="003942B0" w:rsidRDefault="003942B0" w:rsidP="00326BBB">
      <w:pPr>
        <w:pStyle w:val="SWAHeading1"/>
        <w:pageBreakBefore w:val="0"/>
        <w:ind w:left="-11"/>
      </w:pPr>
      <w:bookmarkStart w:id="42" w:name="_Toc201842799"/>
      <w:r w:rsidRPr="3C33EC66">
        <w:t>How WHS regulators make decisions</w:t>
      </w:r>
      <w:bookmarkEnd w:id="42"/>
    </w:p>
    <w:p w14:paraId="01D81095" w14:textId="283A09F4" w:rsidR="00637A12" w:rsidRDefault="00637A12" w:rsidP="00637A12">
      <w:pPr>
        <w:pStyle w:val="Boxedshaded"/>
        <w:rPr>
          <w:rFonts w:cs="Arial"/>
          <w:sz w:val="22"/>
        </w:rPr>
      </w:pPr>
      <w:r w:rsidRPr="003942B0">
        <w:rPr>
          <w:rFonts w:cs="Arial"/>
          <w:b/>
          <w:bCs/>
          <w:sz w:val="22"/>
        </w:rPr>
        <w:t xml:space="preserve">WHS Regulation </w:t>
      </w:r>
      <w:r w:rsidR="003E0E0C">
        <w:rPr>
          <w:rFonts w:cs="Arial"/>
          <w:b/>
          <w:bCs/>
          <w:sz w:val="22"/>
        </w:rPr>
        <w:t>689C</w:t>
      </w:r>
      <w:r w:rsidRPr="003942B0">
        <w:rPr>
          <w:rFonts w:cs="Arial"/>
          <w:b/>
          <w:bCs/>
          <w:sz w:val="22"/>
        </w:rPr>
        <w:t xml:space="preserve"> </w:t>
      </w:r>
      <w:r>
        <w:rPr>
          <w:rFonts w:cs="Arial"/>
          <w:sz w:val="22"/>
        </w:rPr>
        <w:br/>
      </w:r>
      <w:r w:rsidR="003E0E0C">
        <w:rPr>
          <w:rFonts w:cs="Arial"/>
          <w:sz w:val="22"/>
        </w:rPr>
        <w:t>Notifying persons of application for exemption</w:t>
      </w:r>
    </w:p>
    <w:p w14:paraId="2B473A52" w14:textId="27E352AD" w:rsidR="003E0E0C" w:rsidRDefault="003E0E0C" w:rsidP="00637A12">
      <w:pPr>
        <w:pStyle w:val="Boxedshaded"/>
        <w:rPr>
          <w:rFonts w:cs="Arial"/>
          <w:b/>
          <w:bCs/>
          <w:sz w:val="22"/>
        </w:rPr>
      </w:pPr>
      <w:r>
        <w:rPr>
          <w:rFonts w:cs="Arial"/>
          <w:b/>
          <w:bCs/>
          <w:sz w:val="22"/>
        </w:rPr>
        <w:t>WHS Regulation 698D</w:t>
      </w:r>
      <w:r>
        <w:rPr>
          <w:rFonts w:cs="Arial"/>
          <w:b/>
          <w:bCs/>
          <w:sz w:val="22"/>
        </w:rPr>
        <w:br/>
      </w:r>
      <w:r w:rsidRPr="00326BBB">
        <w:rPr>
          <w:rFonts w:cs="Arial"/>
          <w:sz w:val="22"/>
        </w:rPr>
        <w:t>Regulator to be satisfied of certain matters</w:t>
      </w:r>
    </w:p>
    <w:p w14:paraId="0525D586" w14:textId="2E00C411" w:rsidR="003E0E0C" w:rsidRPr="003E0E0C" w:rsidRDefault="003E0E0C" w:rsidP="00637A12">
      <w:pPr>
        <w:pStyle w:val="Boxedshaded"/>
        <w:rPr>
          <w:rFonts w:eastAsiaTheme="minorEastAsia" w:cs="Arial"/>
          <w:sz w:val="22"/>
        </w:rPr>
      </w:pPr>
      <w:r>
        <w:rPr>
          <w:rFonts w:cs="Arial"/>
          <w:b/>
          <w:bCs/>
          <w:sz w:val="22"/>
        </w:rPr>
        <w:t>WHS Regulation 689E</w:t>
      </w:r>
      <w:r>
        <w:rPr>
          <w:rFonts w:cs="Arial"/>
          <w:b/>
          <w:bCs/>
          <w:sz w:val="22"/>
        </w:rPr>
        <w:br/>
      </w:r>
      <w:r w:rsidRPr="00326BBB">
        <w:rPr>
          <w:rFonts w:cs="Arial"/>
          <w:sz w:val="22"/>
        </w:rPr>
        <w:t>Safe Work Australia may issue and publish documents in relation to exemptions</w:t>
      </w:r>
    </w:p>
    <w:p w14:paraId="00461F58" w14:textId="77777777" w:rsidR="003942B0" w:rsidRPr="003942B0" w:rsidRDefault="003942B0" w:rsidP="00326BBB">
      <w:pPr>
        <w:pStyle w:val="Paragraph"/>
        <w:rPr>
          <w:szCs w:val="22"/>
        </w:rPr>
      </w:pPr>
      <w:r w:rsidRPr="003942B0">
        <w:rPr>
          <w:rFonts w:eastAsia="Arial"/>
        </w:rPr>
        <w:t xml:space="preserve">Upon receiving an exemption application, a WHS regulator must provide the application documents to each corresponding WHS regulator.  </w:t>
      </w:r>
    </w:p>
    <w:p w14:paraId="1D2D33C9" w14:textId="77777777" w:rsidR="003942B0" w:rsidRPr="003942B0" w:rsidRDefault="003942B0" w:rsidP="00326BBB">
      <w:pPr>
        <w:pStyle w:val="Paragraph"/>
        <w:rPr>
          <w:szCs w:val="22"/>
        </w:rPr>
      </w:pPr>
      <w:r w:rsidRPr="003942B0">
        <w:rPr>
          <w:rFonts w:eastAsia="Arial"/>
        </w:rPr>
        <w:t xml:space="preserve">Additionally, the WHS regulator may choose to provide the application documents to the following classes of persons, and invite them to make a submission in respect of the exemption application: </w:t>
      </w:r>
    </w:p>
    <w:p w14:paraId="6A285E11" w14:textId="77777777" w:rsidR="003942B0" w:rsidRPr="003942B0" w:rsidRDefault="003942B0" w:rsidP="00326BBB">
      <w:pPr>
        <w:pStyle w:val="ListBullet"/>
      </w:pPr>
      <w:bookmarkStart w:id="43" w:name="_Toc201842800"/>
      <w:r w:rsidRPr="003942B0">
        <w:t>employer organisations that include employers who engage in work involving engineered stone</w:t>
      </w:r>
      <w:bookmarkEnd w:id="43"/>
    </w:p>
    <w:p w14:paraId="29AD954F" w14:textId="77777777" w:rsidR="003942B0" w:rsidRPr="003942B0" w:rsidRDefault="003942B0" w:rsidP="00326BBB">
      <w:pPr>
        <w:pStyle w:val="ListBullet"/>
      </w:pPr>
      <w:bookmarkStart w:id="44" w:name="_Toc201842801"/>
      <w:r w:rsidRPr="003942B0">
        <w:t>unions representing employees whose work includes work involving engineered stone, or</w:t>
      </w:r>
      <w:bookmarkEnd w:id="44"/>
    </w:p>
    <w:p w14:paraId="0345B718" w14:textId="77777777" w:rsidR="003942B0" w:rsidRPr="003942B0" w:rsidRDefault="003942B0" w:rsidP="00326BBB">
      <w:pPr>
        <w:pStyle w:val="ListBullet"/>
      </w:pPr>
      <w:bookmarkStart w:id="45" w:name="_Toc201842802"/>
      <w:r w:rsidRPr="003942B0">
        <w:t>persons who have qualifications, knowledge, skills and experience relating to engineered stone.</w:t>
      </w:r>
      <w:bookmarkEnd w:id="45"/>
    </w:p>
    <w:p w14:paraId="757C7E13" w14:textId="77777777" w:rsidR="00326BBB" w:rsidRDefault="00326BBB">
      <w:pPr>
        <w:spacing w:before="0" w:after="200" w:line="276" w:lineRule="auto"/>
        <w:rPr>
          <w:rFonts w:eastAsia="Arial" w:cstheme="minorBidi"/>
          <w:sz w:val="22"/>
          <w:szCs w:val="24"/>
          <w:lang w:eastAsia="en-AU"/>
        </w:rPr>
      </w:pPr>
      <w:r>
        <w:rPr>
          <w:rFonts w:eastAsia="Arial"/>
        </w:rPr>
        <w:br w:type="page"/>
      </w:r>
    </w:p>
    <w:p w14:paraId="248DBA75" w14:textId="644CE866" w:rsidR="003942B0" w:rsidRPr="003942B0" w:rsidRDefault="003942B0" w:rsidP="00326BBB">
      <w:pPr>
        <w:pStyle w:val="Paragraph"/>
        <w:rPr>
          <w:szCs w:val="22"/>
        </w:rPr>
      </w:pPr>
      <w:r w:rsidRPr="003942B0">
        <w:rPr>
          <w:rFonts w:eastAsia="Arial"/>
        </w:rPr>
        <w:lastRenderedPageBreak/>
        <w:t xml:space="preserve">The WHS regulator must not grant an exemption unless it is satisfied that granting the exemption would result in a standard of health and safety that is at least equivalent to the standard that would have been achieved without that exemption. </w:t>
      </w:r>
    </w:p>
    <w:p w14:paraId="6C36F0D2" w14:textId="77777777" w:rsidR="003942B0" w:rsidRPr="003942B0" w:rsidRDefault="003942B0" w:rsidP="00326BBB">
      <w:pPr>
        <w:pStyle w:val="Paragraph"/>
        <w:rPr>
          <w:szCs w:val="22"/>
        </w:rPr>
      </w:pPr>
      <w:r w:rsidRPr="003942B0">
        <w:rPr>
          <w:rFonts w:eastAsia="Arial"/>
        </w:rPr>
        <w:t>When deciding this matter, the WHS regulator must have regard to:</w:t>
      </w:r>
    </w:p>
    <w:p w14:paraId="12C1A2BA" w14:textId="77777777" w:rsidR="003942B0" w:rsidRPr="003942B0" w:rsidRDefault="003942B0" w:rsidP="00326BBB">
      <w:pPr>
        <w:pStyle w:val="ListBullet"/>
      </w:pPr>
      <w:bookmarkStart w:id="46" w:name="_Toc201842803"/>
      <w:r w:rsidRPr="003942B0">
        <w:t>any submissions received by the WHS regulator from the above parties (i.e. corresponding WHS regulators, employee groups, employer groups and technical experts)</w:t>
      </w:r>
      <w:bookmarkEnd w:id="46"/>
    </w:p>
    <w:p w14:paraId="298C658E" w14:textId="77777777" w:rsidR="003942B0" w:rsidRPr="003942B0" w:rsidRDefault="003942B0" w:rsidP="00326BBB">
      <w:pPr>
        <w:pStyle w:val="ListBullet"/>
      </w:pPr>
      <w:bookmarkStart w:id="47" w:name="_Toc201842804"/>
      <w:r w:rsidRPr="003942B0">
        <w:t>any submission made by social partners and provided by the applicant with the application, and</w:t>
      </w:r>
      <w:bookmarkEnd w:id="47"/>
    </w:p>
    <w:p w14:paraId="0A20C3F8" w14:textId="77777777" w:rsidR="003942B0" w:rsidRDefault="003942B0" w:rsidP="00326BBB">
      <w:pPr>
        <w:pStyle w:val="ListBullet"/>
        <w:rPr>
          <w:szCs w:val="22"/>
        </w:rPr>
      </w:pPr>
      <w:bookmarkStart w:id="48" w:name="_Toc201842805"/>
      <w:r w:rsidRPr="003942B0">
        <w:t xml:space="preserve">the Engineered Stone Prohibition exemption common decision-making criteria published on the Safe Work Australia website under the </w:t>
      </w:r>
      <w:hyperlink r:id="rId11" w:anchor=":~:text=The%20framework%20guides%20the%20granting,work%20health%20and%20safety%20regulator.">
        <w:r w:rsidRPr="003942B0">
          <w:rPr>
            <w:rStyle w:val="Hyperlink"/>
            <w:color w:val="2050BD"/>
            <w:szCs w:val="24"/>
          </w:rPr>
          <w:t>National Exemption Framework</w:t>
        </w:r>
      </w:hyperlink>
      <w:r w:rsidRPr="3C33EC66">
        <w:rPr>
          <w:szCs w:val="22"/>
        </w:rPr>
        <w:t>.</w:t>
      </w:r>
      <w:bookmarkEnd w:id="48"/>
    </w:p>
    <w:p w14:paraId="260AAA3B" w14:textId="77777777" w:rsidR="003942B0" w:rsidRDefault="003942B0" w:rsidP="00326BBB">
      <w:pPr>
        <w:pStyle w:val="SWAHeading1"/>
        <w:pageBreakBefore w:val="0"/>
        <w:ind w:left="-11"/>
      </w:pPr>
      <w:bookmarkStart w:id="49" w:name="_Toc201842806"/>
      <w:r w:rsidRPr="3C33EC66">
        <w:t>Outcome of an application</w:t>
      </w:r>
      <w:bookmarkEnd w:id="49"/>
      <w:r w:rsidRPr="3C33EC66">
        <w:t xml:space="preserve"> </w:t>
      </w:r>
    </w:p>
    <w:p w14:paraId="6EC2B61C" w14:textId="3C83E3A3" w:rsidR="003E0E0C" w:rsidRDefault="003E0E0C" w:rsidP="003E0E0C">
      <w:pPr>
        <w:pStyle w:val="Boxedshaded"/>
        <w:rPr>
          <w:rFonts w:cs="Arial"/>
          <w:sz w:val="22"/>
        </w:rPr>
      </w:pPr>
      <w:r w:rsidRPr="003942B0">
        <w:rPr>
          <w:rFonts w:cs="Arial"/>
          <w:b/>
          <w:bCs/>
          <w:sz w:val="22"/>
        </w:rPr>
        <w:t xml:space="preserve">WHS Regulation </w:t>
      </w:r>
      <w:r>
        <w:rPr>
          <w:rFonts w:cs="Arial"/>
          <w:b/>
          <w:bCs/>
          <w:sz w:val="22"/>
        </w:rPr>
        <w:t>676</w:t>
      </w:r>
      <w:r>
        <w:rPr>
          <w:rFonts w:cs="Arial"/>
          <w:sz w:val="22"/>
        </w:rPr>
        <w:br/>
        <w:t>Reviewable decisions</w:t>
      </w:r>
    </w:p>
    <w:p w14:paraId="3ED13720" w14:textId="0A768BD0" w:rsidR="003E0E0C" w:rsidRDefault="003E0E0C" w:rsidP="003E0E0C">
      <w:pPr>
        <w:pStyle w:val="Boxedshaded"/>
        <w:rPr>
          <w:rFonts w:cs="Arial"/>
          <w:b/>
          <w:bCs/>
          <w:sz w:val="22"/>
        </w:rPr>
      </w:pPr>
      <w:r>
        <w:rPr>
          <w:rFonts w:cs="Arial"/>
          <w:b/>
          <w:bCs/>
          <w:sz w:val="22"/>
        </w:rPr>
        <w:t>WHS Regulation 694</w:t>
      </w:r>
      <w:r>
        <w:rPr>
          <w:rFonts w:cs="Arial"/>
          <w:b/>
          <w:bCs/>
          <w:sz w:val="22"/>
        </w:rPr>
        <w:br/>
      </w:r>
      <w:r>
        <w:rPr>
          <w:rFonts w:cs="Arial"/>
          <w:sz w:val="22"/>
        </w:rPr>
        <w:t>Notice of decision in relation to exemption</w:t>
      </w:r>
    </w:p>
    <w:p w14:paraId="7B3C9047" w14:textId="04619A4F" w:rsidR="003E0E0C" w:rsidRPr="003E0E0C" w:rsidRDefault="003E0E0C" w:rsidP="003E0E0C">
      <w:pPr>
        <w:pStyle w:val="Boxedshaded"/>
        <w:rPr>
          <w:rFonts w:eastAsiaTheme="minorEastAsia" w:cs="Arial"/>
          <w:sz w:val="22"/>
        </w:rPr>
      </w:pPr>
      <w:r>
        <w:rPr>
          <w:rFonts w:cs="Arial"/>
          <w:b/>
          <w:bCs/>
          <w:sz w:val="22"/>
        </w:rPr>
        <w:t>WHS Regulation 695</w:t>
      </w:r>
      <w:r>
        <w:rPr>
          <w:rFonts w:cs="Arial"/>
          <w:b/>
          <w:bCs/>
          <w:sz w:val="22"/>
        </w:rPr>
        <w:br/>
      </w:r>
      <w:r>
        <w:rPr>
          <w:rFonts w:cs="Arial"/>
          <w:sz w:val="22"/>
        </w:rPr>
        <w:t>Publication of exemption</w:t>
      </w:r>
    </w:p>
    <w:p w14:paraId="3B6EBF61" w14:textId="77777777" w:rsidR="003942B0" w:rsidRPr="003942B0" w:rsidRDefault="003942B0" w:rsidP="00326BBB">
      <w:pPr>
        <w:pStyle w:val="Paragraph"/>
        <w:rPr>
          <w:szCs w:val="22"/>
        </w:rPr>
      </w:pPr>
      <w:r w:rsidRPr="003942B0">
        <w:rPr>
          <w:rFonts w:eastAsia="Arial"/>
        </w:rPr>
        <w:t xml:space="preserve">The WHS regulator will inform the applicant of the outcome of the exemption application. </w:t>
      </w:r>
    </w:p>
    <w:p w14:paraId="22B0B1B3" w14:textId="77777777" w:rsidR="003942B0" w:rsidRPr="003942B0" w:rsidRDefault="003942B0" w:rsidP="00326BBB">
      <w:pPr>
        <w:pStyle w:val="Paragraph"/>
        <w:rPr>
          <w:szCs w:val="22"/>
        </w:rPr>
      </w:pPr>
      <w:r w:rsidRPr="003942B0">
        <w:rPr>
          <w:rFonts w:eastAsia="Arial"/>
        </w:rPr>
        <w:t>If the exemption is granted, the WHS regulator must additionally:</w:t>
      </w:r>
    </w:p>
    <w:p w14:paraId="6F9DE21D" w14:textId="77777777" w:rsidR="003942B0" w:rsidRPr="003942B0" w:rsidRDefault="003942B0" w:rsidP="00326BBB">
      <w:pPr>
        <w:pStyle w:val="ListBullet"/>
      </w:pPr>
      <w:bookmarkStart w:id="50" w:name="_Toc201842807"/>
      <w:r w:rsidRPr="003942B0">
        <w:t>publish its reasons for granting the exemption within 14 days, and</w:t>
      </w:r>
      <w:bookmarkEnd w:id="50"/>
      <w:r w:rsidRPr="003942B0">
        <w:t xml:space="preserve"> </w:t>
      </w:r>
    </w:p>
    <w:p w14:paraId="16F85452" w14:textId="77777777" w:rsidR="003942B0" w:rsidRPr="003942B0" w:rsidRDefault="003942B0" w:rsidP="00326BBB">
      <w:pPr>
        <w:pStyle w:val="ListBullet"/>
      </w:pPr>
      <w:bookmarkStart w:id="51" w:name="_Toc201842808"/>
      <w:r w:rsidRPr="003942B0">
        <w:t>notify each corresponding regulator that the exemption is granted.</w:t>
      </w:r>
      <w:bookmarkEnd w:id="51"/>
      <w:r w:rsidRPr="003942B0">
        <w:t xml:space="preserve"> </w:t>
      </w:r>
    </w:p>
    <w:p w14:paraId="4FC782EA" w14:textId="77777777" w:rsidR="003942B0" w:rsidRPr="003942B0" w:rsidRDefault="003942B0" w:rsidP="00326BBB">
      <w:pPr>
        <w:pStyle w:val="Paragraph"/>
        <w:rPr>
          <w:szCs w:val="22"/>
        </w:rPr>
      </w:pPr>
      <w:r w:rsidRPr="003942B0">
        <w:rPr>
          <w:rFonts w:eastAsia="Arial"/>
        </w:rPr>
        <w:t xml:space="preserve">Once granted, exemptions will be recognised automatically in all jurisdictions with a corresponding WHS law for granting an exemption from the engineered stone prohibition; PCBUs should not apply for the same exemption in multiple jurisdictions. </w:t>
      </w:r>
    </w:p>
    <w:tbl>
      <w:tblPr>
        <w:tblStyle w:val="TableGrid"/>
        <w:tblW w:w="0" w:type="auto"/>
        <w:tblLayout w:type="fixed"/>
        <w:tblLook w:val="04A0" w:firstRow="1" w:lastRow="0" w:firstColumn="1" w:lastColumn="0" w:noHBand="0" w:noVBand="1"/>
      </w:tblPr>
      <w:tblGrid>
        <w:gridCol w:w="9015"/>
      </w:tblGrid>
      <w:tr w:rsidR="003942B0" w:rsidRPr="003942B0" w14:paraId="03B158DD" w14:textId="77777777" w:rsidTr="00AC0E29">
        <w:trPr>
          <w:cnfStyle w:val="100000000000" w:firstRow="1" w:lastRow="0" w:firstColumn="0" w:lastColumn="0" w:oddVBand="0" w:evenVBand="0" w:oddHBand="0" w:evenHBand="0" w:firstRowFirstColumn="0" w:firstRowLastColumn="0" w:lastRowFirstColumn="0" w:lastRowLastColumn="0"/>
          <w:trHeight w:val="300"/>
        </w:trPr>
        <w:tc>
          <w:tcPr>
            <w:tcW w:w="9015" w:type="dxa"/>
            <w:tcBorders>
              <w:top w:val="nil"/>
              <w:left w:val="single" w:sz="24" w:space="0" w:color="EB9C3A"/>
              <w:bottom w:val="nil"/>
              <w:right w:val="nil"/>
            </w:tcBorders>
            <w:shd w:val="clear" w:color="auto" w:fill="FBEBD7"/>
            <w:tcMar>
              <w:left w:w="108" w:type="dxa"/>
              <w:right w:w="108" w:type="dxa"/>
            </w:tcMar>
          </w:tcPr>
          <w:p w14:paraId="33F61C88" w14:textId="77777777" w:rsidR="003942B0" w:rsidRPr="003942B0" w:rsidRDefault="003942B0" w:rsidP="005A209B">
            <w:pPr>
              <w:rPr>
                <w:sz w:val="22"/>
                <w:szCs w:val="22"/>
              </w:rPr>
            </w:pPr>
            <w:r w:rsidRPr="003942B0">
              <w:rPr>
                <w:rFonts w:eastAsia="Arial"/>
                <w:bCs/>
                <w:color w:val="000000" w:themeColor="text1"/>
                <w:sz w:val="22"/>
                <w:szCs w:val="24"/>
              </w:rPr>
              <w:t xml:space="preserve">Please note </w:t>
            </w:r>
            <w:r w:rsidRPr="003942B0">
              <w:rPr>
                <w:rFonts w:eastAsia="Arial"/>
                <w:b w:val="0"/>
                <w:bCs/>
                <w:color w:val="000000" w:themeColor="text1"/>
                <w:sz w:val="22"/>
                <w:szCs w:val="24"/>
              </w:rPr>
              <w:t xml:space="preserve">that Victoria’s Occupational Health and Safety laws do not provide for automatic mutual recognition of exemptions granted by other jurisdictions. If you are a PCBU who works in Victoria, please refer to </w:t>
            </w:r>
            <w:hyperlink r:id="rId12">
              <w:r w:rsidRPr="003942B0">
                <w:rPr>
                  <w:rStyle w:val="Hyperlink"/>
                  <w:rFonts w:eastAsia="Arial"/>
                  <w:b w:val="0"/>
                  <w:bCs/>
                  <w:color w:val="2050BD"/>
                  <w:sz w:val="22"/>
                  <w:szCs w:val="24"/>
                </w:rPr>
                <w:t>WorkSafe Victoria</w:t>
              </w:r>
            </w:hyperlink>
            <w:r w:rsidRPr="003942B0">
              <w:rPr>
                <w:rFonts w:eastAsia="Arial"/>
                <w:b w:val="0"/>
                <w:bCs/>
                <w:color w:val="000000" w:themeColor="text1"/>
                <w:sz w:val="22"/>
                <w:szCs w:val="24"/>
              </w:rPr>
              <w:t xml:space="preserve"> </w:t>
            </w:r>
            <w:r w:rsidRPr="003942B0">
              <w:rPr>
                <w:rFonts w:eastAsia="Arial"/>
                <w:b w:val="0"/>
                <w:bCs/>
                <w:color w:val="000000" w:themeColor="text1"/>
                <w:sz w:val="22"/>
                <w:szCs w:val="22"/>
              </w:rPr>
              <w:t>f</w:t>
            </w:r>
            <w:r w:rsidRPr="003942B0">
              <w:rPr>
                <w:rFonts w:eastAsia="Arial"/>
                <w:b w:val="0"/>
                <w:bCs/>
                <w:color w:val="000000" w:themeColor="text1"/>
                <w:sz w:val="22"/>
                <w:szCs w:val="24"/>
              </w:rPr>
              <w:t>or more information about the recognition of exemptions.</w:t>
            </w:r>
          </w:p>
        </w:tc>
      </w:tr>
    </w:tbl>
    <w:p w14:paraId="45AAC664" w14:textId="6376AD4A" w:rsidR="00326BBB" w:rsidRDefault="003942B0" w:rsidP="00326BBB">
      <w:pPr>
        <w:pStyle w:val="Paragraph"/>
        <w:rPr>
          <w:rFonts w:eastAsia="Arial"/>
        </w:rPr>
      </w:pPr>
      <w:r w:rsidRPr="003942B0">
        <w:rPr>
          <w:rFonts w:eastAsia="Arial"/>
        </w:rPr>
        <w:t>If an application for an exemption is refused by the WHS regulator, the applicant may apply to the relevant external review body for review of the decision. Unless a longer period is allowed by the external review body, the application for external review must be made within 28 days after the day on which the decision to refuse the exemption first came to the applicant’s attention.</w:t>
      </w:r>
    </w:p>
    <w:p w14:paraId="5AE2D4F6" w14:textId="77777777" w:rsidR="00326BBB" w:rsidRDefault="00326BBB">
      <w:pPr>
        <w:spacing w:before="0" w:after="200" w:line="276" w:lineRule="auto"/>
        <w:rPr>
          <w:rFonts w:eastAsia="Arial" w:cstheme="minorBidi"/>
          <w:sz w:val="22"/>
          <w:szCs w:val="24"/>
          <w:lang w:eastAsia="en-AU"/>
        </w:rPr>
      </w:pPr>
      <w:r>
        <w:rPr>
          <w:rFonts w:eastAsia="Arial"/>
        </w:rPr>
        <w:br w:type="page"/>
      </w:r>
    </w:p>
    <w:p w14:paraId="4389B555" w14:textId="77777777" w:rsidR="003942B0" w:rsidRDefault="003942B0" w:rsidP="00326BBB">
      <w:pPr>
        <w:pStyle w:val="SWAHeading1"/>
        <w:pageBreakBefore w:val="0"/>
        <w:ind w:left="-11"/>
      </w:pPr>
      <w:bookmarkStart w:id="52" w:name="_Toc201842809"/>
      <w:r w:rsidRPr="3C33EC66">
        <w:lastRenderedPageBreak/>
        <w:t>Duties for PCBUs working with exempt engineered stone</w:t>
      </w:r>
      <w:bookmarkEnd w:id="52"/>
      <w:r w:rsidRPr="3C33EC66">
        <w:t xml:space="preserve"> </w:t>
      </w:r>
    </w:p>
    <w:p w14:paraId="568A7320" w14:textId="2C9FD49F" w:rsidR="003E0E0C" w:rsidRPr="003E0E0C" w:rsidRDefault="003E0E0C" w:rsidP="003E0E0C">
      <w:pPr>
        <w:pStyle w:val="Boxedshaded"/>
        <w:rPr>
          <w:rFonts w:eastAsiaTheme="minorEastAsia" w:cs="Arial"/>
          <w:sz w:val="22"/>
        </w:rPr>
      </w:pPr>
      <w:r w:rsidRPr="003942B0">
        <w:rPr>
          <w:rFonts w:cs="Arial"/>
          <w:b/>
          <w:bCs/>
          <w:sz w:val="22"/>
        </w:rPr>
        <w:t xml:space="preserve">WHS Regulation </w:t>
      </w:r>
      <w:r>
        <w:rPr>
          <w:rFonts w:cs="Arial"/>
          <w:b/>
          <w:bCs/>
          <w:sz w:val="22"/>
        </w:rPr>
        <w:t>691</w:t>
      </w:r>
      <w:r>
        <w:rPr>
          <w:rFonts w:cs="Arial"/>
          <w:sz w:val="22"/>
        </w:rPr>
        <w:br/>
        <w:t xml:space="preserve">Conditions of exemption </w:t>
      </w:r>
    </w:p>
    <w:p w14:paraId="6F8AA04A" w14:textId="77777777" w:rsidR="003942B0" w:rsidRPr="003942B0" w:rsidRDefault="003942B0" w:rsidP="00326BBB">
      <w:pPr>
        <w:pStyle w:val="Paragraph"/>
        <w:rPr>
          <w:szCs w:val="22"/>
        </w:rPr>
      </w:pPr>
      <w:r w:rsidRPr="003942B0">
        <w:rPr>
          <w:rFonts w:eastAsia="Arial"/>
        </w:rPr>
        <w:t>The WHS regulator may impose any condition it considers appropriate on an exemption from the engineered stone prohibition. This may include, for example, control measures for the manufacture, supply, processing or installation of an exempt engineered stone product, and/or requirements to undertake air monitoring, and monitor the health of persons at the workplace who may be exposed to respirable crystalline silica. A PCBU granted an exemption must comply with the conditions imposed on the exemption.</w:t>
      </w:r>
    </w:p>
    <w:p w14:paraId="34342FE5" w14:textId="77777777" w:rsidR="003942B0" w:rsidRPr="003942B0" w:rsidRDefault="003942B0" w:rsidP="00326BBB">
      <w:pPr>
        <w:pStyle w:val="Paragraph"/>
        <w:rPr>
          <w:szCs w:val="22"/>
        </w:rPr>
      </w:pPr>
      <w:r w:rsidRPr="003942B0">
        <w:rPr>
          <w:rFonts w:eastAsia="Arial"/>
        </w:rPr>
        <w:t>If an exemption is granted, PCBUs that are designers, manufacturers, importers or suppliers of an exempt type of engineered stone must still comply with the existing ‘upstream’ duties</w:t>
      </w:r>
      <w:r w:rsidRPr="003942B0">
        <w:rPr>
          <w:rStyle w:val="FootnoteReference"/>
          <w:rFonts w:eastAsia="Arial"/>
        </w:rPr>
        <w:footnoteReference w:id="2"/>
      </w:r>
      <w:r w:rsidRPr="003942B0">
        <w:rPr>
          <w:rFonts w:eastAsia="Arial"/>
        </w:rPr>
        <w:t xml:space="preserve"> in the WHS Act (sections 22-26) to ensure, so far as is reasonably practicable, that the design, manufacture, importation and supply of the exempt type of engineered stone is without risk to health and safety. </w:t>
      </w:r>
    </w:p>
    <w:p w14:paraId="511E2527" w14:textId="77777777" w:rsidR="003942B0" w:rsidRPr="003942B0" w:rsidRDefault="003942B0" w:rsidP="00326BBB">
      <w:pPr>
        <w:pStyle w:val="Paragraph"/>
        <w:rPr>
          <w:szCs w:val="22"/>
        </w:rPr>
      </w:pPr>
      <w:r w:rsidRPr="003942B0">
        <w:rPr>
          <w:rFonts w:eastAsia="Arial"/>
        </w:rPr>
        <w:t xml:space="preserve">Discharging these upstream duties may require the designers, manufacturers, importers or suppliers of the exempt type of engineered stone to carry out, or arrange for, calculations, analysis, testing or examination of the product. </w:t>
      </w:r>
    </w:p>
    <w:p w14:paraId="0C843585" w14:textId="77777777" w:rsidR="003942B0" w:rsidRPr="003942B0" w:rsidRDefault="003942B0" w:rsidP="00326BBB">
      <w:pPr>
        <w:pStyle w:val="Paragraph"/>
        <w:rPr>
          <w:szCs w:val="22"/>
        </w:rPr>
      </w:pPr>
      <w:r w:rsidRPr="003942B0">
        <w:rPr>
          <w:rFonts w:eastAsia="Arial"/>
        </w:rPr>
        <w:t>Designers, manufacturers, importers and suppliers must also, so far as reasonably practicable, give current relevant information to downstream users of the stone (including to PCBUs who will install the stone) about:</w:t>
      </w:r>
    </w:p>
    <w:p w14:paraId="4705D574" w14:textId="77777777" w:rsidR="003942B0" w:rsidRPr="003942B0" w:rsidRDefault="003942B0" w:rsidP="00326BBB">
      <w:pPr>
        <w:pStyle w:val="ListBullet"/>
      </w:pPr>
      <w:bookmarkStart w:id="53" w:name="_Toc201842810"/>
      <w:r w:rsidRPr="003942B0">
        <w:t>the purpose for which the type of engineered stone was designed or manufactured</w:t>
      </w:r>
      <w:bookmarkEnd w:id="53"/>
      <w:r w:rsidRPr="003942B0">
        <w:t xml:space="preserve"> </w:t>
      </w:r>
    </w:p>
    <w:p w14:paraId="45DAAE70" w14:textId="77777777" w:rsidR="003942B0" w:rsidRPr="003942B0" w:rsidRDefault="003942B0" w:rsidP="00326BBB">
      <w:pPr>
        <w:pStyle w:val="ListBullet"/>
      </w:pPr>
      <w:bookmarkStart w:id="54" w:name="_Toc201842811"/>
      <w:r w:rsidRPr="003942B0">
        <w:t>the results of any calculations, analysis, testing or examination in relation to the type of engineered stone, including any hazardous properties identified by testing, and</w:t>
      </w:r>
      <w:bookmarkEnd w:id="54"/>
    </w:p>
    <w:p w14:paraId="7162DCB8" w14:textId="77777777" w:rsidR="003942B0" w:rsidRPr="003942B0" w:rsidRDefault="003942B0" w:rsidP="00326BBB">
      <w:pPr>
        <w:pStyle w:val="ListBullet"/>
      </w:pPr>
      <w:bookmarkStart w:id="55" w:name="_Toc201842812"/>
      <w:r w:rsidRPr="003942B0">
        <w:t>any conditions necessary to ensure that the type of engineered stone is without risk to health and safety when used for a purpose for which it was designed or manufactured, including any conditions placed on the use of the type of engineered stone as part of the exemption granted by the WHS regulator.</w:t>
      </w:r>
      <w:bookmarkEnd w:id="55"/>
    </w:p>
    <w:p w14:paraId="78BA7D78" w14:textId="77777777" w:rsidR="003942B0" w:rsidRPr="008F60B0" w:rsidRDefault="003942B0" w:rsidP="008F60B0">
      <w:pPr>
        <w:pStyle w:val="Paragraph"/>
        <w:rPr>
          <w:lang w:eastAsia="en-US"/>
        </w:rPr>
      </w:pPr>
    </w:p>
    <w:p w14:paraId="256C63E6" w14:textId="77777777" w:rsidR="003942B0" w:rsidRDefault="003942B0">
      <w:pPr>
        <w:spacing w:after="200" w:line="276" w:lineRule="auto"/>
        <w:rPr>
          <w:color w:val="2B0A99" w:themeColor="text2"/>
          <w:sz w:val="28"/>
          <w:szCs w:val="32"/>
        </w:rPr>
      </w:pPr>
      <w:r>
        <w:br w:type="page"/>
      </w:r>
    </w:p>
    <w:p w14:paraId="4A413968" w14:textId="77777777" w:rsidR="003942B0" w:rsidRDefault="003942B0" w:rsidP="00BD48E8">
      <w:pPr>
        <w:pStyle w:val="SWAHeading3"/>
      </w:pPr>
      <w:bookmarkStart w:id="56" w:name="_Toc201842813"/>
      <w:r w:rsidRPr="38B87FEC">
        <w:lastRenderedPageBreak/>
        <w:t>Exemption from the engineered stone ban</w:t>
      </w:r>
      <w:bookmarkEnd w:id="56"/>
    </w:p>
    <w:p w14:paraId="4344363B" w14:textId="77777777" w:rsidR="003942B0" w:rsidRDefault="003942B0">
      <w:r>
        <w:rPr>
          <w:noProof/>
        </w:rPr>
        <w:drawing>
          <wp:inline distT="0" distB="0" distL="0" distR="0" wp14:anchorId="2AE13B0B" wp14:editId="56C71837">
            <wp:extent cx="5731510" cy="6794627"/>
            <wp:effectExtent l="0" t="0" r="2540" b="6350"/>
            <wp:docPr id="134213338" name="Picture 134213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3338" name="Picture 134213338">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731510" cy="6794627"/>
                    </a:xfrm>
                    <a:prstGeom prst="rect">
                      <a:avLst/>
                    </a:prstGeom>
                  </pic:spPr>
                </pic:pic>
              </a:graphicData>
            </a:graphic>
          </wp:inline>
        </w:drawing>
      </w:r>
    </w:p>
    <w:p w14:paraId="5BC094A2" w14:textId="56A1CEFA" w:rsidR="000B52C0" w:rsidRPr="003942B0" w:rsidRDefault="000B52C0" w:rsidP="003942B0"/>
    <w:sectPr w:rsidR="000B52C0" w:rsidRPr="003942B0" w:rsidSect="00326BBB">
      <w:headerReference w:type="default" r:id="rId14"/>
      <w:footerReference w:type="default" r:id="rId15"/>
      <w:headerReference w:type="first" r:id="rId16"/>
      <w:footerReference w:type="first" r:id="rId17"/>
      <w:pgSz w:w="11906" w:h="16838" w:code="9"/>
      <w:pgMar w:top="1560"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3E96B" w14:textId="77777777" w:rsidR="00E72CD0" w:rsidRDefault="00E72CD0" w:rsidP="00BB2A1B">
      <w:pPr>
        <w:spacing w:after="0"/>
      </w:pPr>
      <w:r>
        <w:separator/>
      </w:r>
    </w:p>
  </w:endnote>
  <w:endnote w:type="continuationSeparator" w:id="0">
    <w:p w14:paraId="379D1220" w14:textId="77777777" w:rsidR="00E72CD0" w:rsidRDefault="00E72CD0"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3FCC" w14:textId="591CE6A7"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3942B0" w:rsidRPr="003942B0">
      <w:rPr>
        <w:b/>
        <w:bCs/>
        <w:sz w:val="18"/>
        <w:szCs w:val="28"/>
      </w:rPr>
      <w:t>August</w:t>
    </w:r>
    <w:r w:rsidR="009335F0" w:rsidRPr="003942B0">
      <w:rPr>
        <w:b/>
        <w:bCs/>
        <w:sz w:val="18"/>
        <w:szCs w:val="28"/>
      </w:rPr>
      <w:t xml:space="preserve"> </w:t>
    </w:r>
    <w:r w:rsidR="003942B0" w:rsidRPr="003942B0">
      <w:rPr>
        <w:b/>
        <w:bCs/>
        <w:sz w:val="18"/>
        <w:szCs w:val="28"/>
      </w:rPr>
      <w:t>2025</w:t>
    </w:r>
    <w:r w:rsidR="009335F0" w:rsidRPr="003942B0">
      <w:rPr>
        <w:b/>
        <w:bCs/>
        <w:sz w:val="18"/>
        <w:szCs w:val="28"/>
      </w:rPr>
      <w:t xml:space="preserve"> |</w:t>
    </w:r>
    <w:r w:rsidR="009335F0" w:rsidRPr="009335F0">
      <w:rPr>
        <w:b/>
        <w:bCs/>
        <w:sz w:val="18"/>
        <w:szCs w:val="28"/>
      </w:rPr>
      <w:t xml:space="preserve">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64F9" w14:textId="21D8529B"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98688" behindDoc="1" locked="0" layoutInCell="1" allowOverlap="1" wp14:anchorId="2BF1A608" wp14:editId="33A4DD35">
          <wp:simplePos x="0" y="0"/>
          <wp:positionH relativeFrom="column">
            <wp:posOffset>1905</wp:posOffset>
          </wp:positionH>
          <wp:positionV relativeFrom="paragraph">
            <wp:posOffset>-109220</wp:posOffset>
          </wp:positionV>
          <wp:extent cx="1952625" cy="267063"/>
          <wp:effectExtent l="0" t="0" r="0" b="0"/>
          <wp:wrapNone/>
          <wp:docPr id="1252759912" name="Graphic 12527599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59912" name="Graphic 125275991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952625" cy="267063"/>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 </w:t>
    </w:r>
    <w:r w:rsidR="003942B0" w:rsidRPr="003942B0">
      <w:rPr>
        <w:b/>
        <w:bCs/>
        <w:sz w:val="18"/>
        <w:szCs w:val="28"/>
      </w:rPr>
      <w:t>August</w:t>
    </w:r>
    <w:r w:rsidR="009335F0" w:rsidRPr="003942B0">
      <w:rPr>
        <w:b/>
        <w:bCs/>
        <w:sz w:val="18"/>
        <w:szCs w:val="28"/>
      </w:rPr>
      <w:t xml:space="preserve"> </w:t>
    </w:r>
    <w:r w:rsidR="003942B0" w:rsidRPr="003942B0">
      <w:rPr>
        <w:b/>
        <w:bCs/>
        <w:sz w:val="18"/>
        <w:szCs w:val="28"/>
      </w:rPr>
      <w:t>2025</w:t>
    </w:r>
    <w:r w:rsidR="009335F0" w:rsidRPr="009335F0">
      <w:rPr>
        <w:b/>
        <w:bCs/>
        <w:sz w:val="18"/>
        <w:szCs w:val="28"/>
      </w:rPr>
      <w:t xml:space="preserve"> |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E8679" w14:textId="77777777" w:rsidR="00E72CD0" w:rsidRDefault="00E72CD0" w:rsidP="00BB2A1B">
      <w:pPr>
        <w:spacing w:after="0"/>
      </w:pPr>
      <w:r>
        <w:separator/>
      </w:r>
    </w:p>
  </w:footnote>
  <w:footnote w:type="continuationSeparator" w:id="0">
    <w:p w14:paraId="7CA5CAD9" w14:textId="77777777" w:rsidR="00E72CD0" w:rsidRDefault="00E72CD0" w:rsidP="00BB2A1B">
      <w:pPr>
        <w:spacing w:after="0"/>
      </w:pPr>
      <w:r>
        <w:continuationSeparator/>
      </w:r>
    </w:p>
  </w:footnote>
  <w:footnote w:id="1">
    <w:p w14:paraId="51E33012" w14:textId="77777777" w:rsidR="003942B0" w:rsidRPr="00820411" w:rsidRDefault="003942B0" w:rsidP="00D4556A">
      <w:pPr>
        <w:rPr>
          <w:sz w:val="16"/>
          <w:szCs w:val="16"/>
        </w:rPr>
      </w:pPr>
      <w:r w:rsidRPr="00820411">
        <w:rPr>
          <w:rStyle w:val="FootnoteReference"/>
          <w:sz w:val="16"/>
          <w:szCs w:val="16"/>
        </w:rPr>
        <w:footnoteRef/>
      </w:r>
      <w:r w:rsidRPr="00820411">
        <w:rPr>
          <w:sz w:val="16"/>
          <w:szCs w:val="16"/>
        </w:rPr>
        <w:t xml:space="preserve"> Victoria is the only jurisdiction that does not have a corresponding WHS law for the mutual recognition of an exemption from the prohibition granted by another WHS regulator with respect to a type of engineered stone. A person would need to separately apply for an exemption in Victoria.</w:t>
      </w:r>
    </w:p>
  </w:footnote>
  <w:footnote w:id="2">
    <w:p w14:paraId="13B7FC62" w14:textId="77777777" w:rsidR="003942B0" w:rsidRPr="00820411" w:rsidRDefault="003942B0" w:rsidP="00102BE6">
      <w:pPr>
        <w:rPr>
          <w:sz w:val="16"/>
          <w:szCs w:val="16"/>
        </w:rPr>
      </w:pPr>
      <w:r w:rsidRPr="00820411">
        <w:rPr>
          <w:rStyle w:val="FootnoteReference"/>
          <w:sz w:val="16"/>
          <w:szCs w:val="16"/>
        </w:rPr>
        <w:footnoteRef/>
      </w:r>
      <w:r w:rsidRPr="00820411">
        <w:rPr>
          <w:sz w:val="16"/>
          <w:szCs w:val="16"/>
        </w:rPr>
        <w:t xml:space="preserve"> </w:t>
      </w:r>
      <w:r w:rsidRPr="00820411">
        <w:rPr>
          <w:rFonts w:eastAsia="Arial"/>
          <w:sz w:val="16"/>
          <w:szCs w:val="16"/>
        </w:rPr>
        <w:t>These are referred to as ‘upstream’ duties because they apply to PCBUs who, as designers, manufacturers, importers and suppliers, are higher up in the supply chain and can therefore potentially impact those who use, in this case, engineered stone products ‘downstream’ in the supply chain or later in the lifecycle of the products.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5035" w14:textId="29DBC01A" w:rsidR="009335F0" w:rsidRPr="00A82044" w:rsidRDefault="00A82044" w:rsidP="00825513">
    <w:pPr>
      <w:pStyle w:val="Header"/>
    </w:pPr>
    <w:r w:rsidRPr="00A82044">
      <mc:AlternateContent>
        <mc:Choice Requires="wps">
          <w:drawing>
            <wp:anchor distT="0" distB="0" distL="114300" distR="114300" simplePos="0" relativeHeight="251662848" behindDoc="1" locked="0" layoutInCell="1" allowOverlap="1" wp14:anchorId="408DEEDD" wp14:editId="1581F6F2">
              <wp:simplePos x="0" y="0"/>
              <wp:positionH relativeFrom="column">
                <wp:posOffset>-225205</wp:posOffset>
              </wp:positionH>
              <wp:positionV relativeFrom="paragraph">
                <wp:posOffset>49752</wp:posOffset>
              </wp:positionV>
              <wp:extent cx="157541" cy="189377"/>
              <wp:effectExtent l="0" t="0" r="0" b="1270"/>
              <wp:wrapNone/>
              <wp:docPr id="10" name="Freeform: 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2FD02A" id="Freeform: Shape 10" o:spid="_x0000_s1026" alt="&quot;&quot;" style="position:absolute;margin-left:-17.75pt;margin-top:3.9pt;width:12.4pt;height:14.9pt;z-index:-251653632;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502,189325;157490,165591;155915,155017;110299,12706;93781,0;35967,0;0,36205;8,36848;8,153493;35967,189325" o:connectangles="0,0,0,0,0,0,0,0,0,0"/>
            </v:shape>
          </w:pict>
        </mc:Fallback>
      </mc:AlternateContent>
    </w:r>
    <w:r w:rsidRPr="00A82044">
      <mc:AlternateContent>
        <mc:Choice Requires="wps">
          <w:drawing>
            <wp:anchor distT="0" distB="0" distL="114300" distR="114300" simplePos="0" relativeHeight="251678208" behindDoc="1" locked="0" layoutInCell="1" allowOverlap="1" wp14:anchorId="58054FEF" wp14:editId="35EB4C06">
              <wp:simplePos x="0" y="0"/>
              <wp:positionH relativeFrom="column">
                <wp:posOffset>1150495</wp:posOffset>
              </wp:positionH>
              <wp:positionV relativeFrom="paragraph">
                <wp:posOffset>50204</wp:posOffset>
              </wp:positionV>
              <wp:extent cx="5273287" cy="188872"/>
              <wp:effectExtent l="0" t="0" r="3810" b="1905"/>
              <wp:wrapNone/>
              <wp:docPr id="11" name="Freeform: Shap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73287" cy="188872"/>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A6F661" id="Freeform: Shape 11" o:spid="_x0000_s1026" alt="&quot;&quot;" style="position:absolute;margin-left:90.6pt;margin-top:3.95pt;width:415.2pt;height:14.85pt;z-index:-251638272;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9,56;55,23737;1676,34490;38144,154311;84522,188873;5237201,188873;5273287,153041;5273287,152914;5273287,36396;5237201,310" o:connectangles="0,0,0,0,0,0,0,0,0,0"/>
            </v:shape>
          </w:pict>
        </mc:Fallback>
      </mc:AlternateContent>
    </w:r>
    <w:r w:rsidR="003942B0">
      <w:t>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16CB" w14:textId="602A496B" w:rsidR="00BB2A1B" w:rsidRPr="00825513" w:rsidRDefault="00326BBB" w:rsidP="00825513">
    <w:pPr>
      <w:pStyle w:val="Header"/>
    </w:pPr>
    <w:r w:rsidRPr="00825513">
      <mc:AlternateContent>
        <mc:Choice Requires="wps">
          <w:drawing>
            <wp:anchor distT="0" distB="0" distL="114300" distR="114300" simplePos="0" relativeHeight="251647488" behindDoc="1" locked="0" layoutInCell="1" allowOverlap="1" wp14:anchorId="2E813433" wp14:editId="1ED05F2B">
              <wp:simplePos x="0" y="0"/>
              <wp:positionH relativeFrom="column">
                <wp:posOffset>4022090</wp:posOffset>
              </wp:positionH>
              <wp:positionV relativeFrom="paragraph">
                <wp:posOffset>-16955</wp:posOffset>
              </wp:positionV>
              <wp:extent cx="2092960" cy="2291080"/>
              <wp:effectExtent l="0" t="0" r="254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52D8D6" id="Freeform: Shape 8" o:spid="_x0000_s1026" alt="&quot;&quot;" style="position:absolute;margin-left:316.7pt;margin-top:-1.35pt;width:164.8pt;height:180.4pt;z-index:-251668992;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00A82044" w:rsidRPr="00825513">
      <mc:AlternateContent>
        <mc:Choice Requires="wps">
          <w:drawing>
            <wp:anchor distT="0" distB="0" distL="114300" distR="114300" simplePos="0" relativeHeight="251630080" behindDoc="1" locked="0" layoutInCell="1" allowOverlap="1" wp14:anchorId="2EAD8780" wp14:editId="3ADFB80F">
              <wp:simplePos x="0" y="0"/>
              <wp:positionH relativeFrom="column">
                <wp:posOffset>-266065</wp:posOffset>
              </wp:positionH>
              <wp:positionV relativeFrom="paragraph">
                <wp:posOffset>53975</wp:posOffset>
              </wp:positionV>
              <wp:extent cx="157480" cy="189230"/>
              <wp:effectExtent l="0" t="0" r="0" b="127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FFB6F5" id="Freeform: Shape 6" o:spid="_x0000_s1026" alt="&quot;&quot;" style="position:absolute;margin-left:-20.95pt;margin-top:4.25pt;width:12.4pt;height:14.9pt;z-index:-251686400;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rsidR="003942B0">
      <w:t>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538"/>
    <w:multiLevelType w:val="hybridMultilevel"/>
    <w:tmpl w:val="6AC45D5E"/>
    <w:lvl w:ilvl="0" w:tplc="0C090017">
      <w:start w:val="1"/>
      <w:numFmt w:val="lowerLetter"/>
      <w:lvlText w:val="%1)"/>
      <w:lvlJc w:val="left"/>
      <w:pPr>
        <w:ind w:left="720" w:hanging="360"/>
      </w:pPr>
    </w:lvl>
    <w:lvl w:ilvl="1" w:tplc="444A1A3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8BFC7BE"/>
    <w:multiLevelType w:val="hybridMultilevel"/>
    <w:tmpl w:val="6578117C"/>
    <w:lvl w:ilvl="0" w:tplc="4184BF9A">
      <w:start w:val="1"/>
      <w:numFmt w:val="decimal"/>
      <w:lvlText w:val="%1."/>
      <w:lvlJc w:val="left"/>
      <w:pPr>
        <w:ind w:left="720" w:hanging="360"/>
      </w:pPr>
    </w:lvl>
    <w:lvl w:ilvl="1" w:tplc="00F2B508">
      <w:start w:val="1"/>
      <w:numFmt w:val="lowerLetter"/>
      <w:lvlText w:val="%2."/>
      <w:lvlJc w:val="left"/>
      <w:pPr>
        <w:ind w:left="1440" w:hanging="360"/>
      </w:pPr>
    </w:lvl>
    <w:lvl w:ilvl="2" w:tplc="AC26D840">
      <w:start w:val="1"/>
      <w:numFmt w:val="lowerRoman"/>
      <w:lvlText w:val="%3."/>
      <w:lvlJc w:val="right"/>
      <w:pPr>
        <w:ind w:left="2160" w:hanging="180"/>
      </w:pPr>
    </w:lvl>
    <w:lvl w:ilvl="3" w:tplc="94C83A02">
      <w:start w:val="1"/>
      <w:numFmt w:val="decimal"/>
      <w:lvlText w:val="%4."/>
      <w:lvlJc w:val="left"/>
      <w:pPr>
        <w:ind w:left="2880" w:hanging="360"/>
      </w:pPr>
    </w:lvl>
    <w:lvl w:ilvl="4" w:tplc="C03E7EAE">
      <w:start w:val="1"/>
      <w:numFmt w:val="lowerLetter"/>
      <w:lvlText w:val="%5."/>
      <w:lvlJc w:val="left"/>
      <w:pPr>
        <w:ind w:left="3600" w:hanging="360"/>
      </w:pPr>
    </w:lvl>
    <w:lvl w:ilvl="5" w:tplc="47C49AC4">
      <w:start w:val="1"/>
      <w:numFmt w:val="lowerRoman"/>
      <w:lvlText w:val="%6."/>
      <w:lvlJc w:val="right"/>
      <w:pPr>
        <w:ind w:left="4320" w:hanging="180"/>
      </w:pPr>
    </w:lvl>
    <w:lvl w:ilvl="6" w:tplc="CADAA0EA">
      <w:start w:val="1"/>
      <w:numFmt w:val="decimal"/>
      <w:lvlText w:val="%7."/>
      <w:lvlJc w:val="left"/>
      <w:pPr>
        <w:ind w:left="5040" w:hanging="360"/>
      </w:pPr>
    </w:lvl>
    <w:lvl w:ilvl="7" w:tplc="AE2C4A14">
      <w:start w:val="1"/>
      <w:numFmt w:val="lowerLetter"/>
      <w:lvlText w:val="%8."/>
      <w:lvlJc w:val="left"/>
      <w:pPr>
        <w:ind w:left="5760" w:hanging="360"/>
      </w:pPr>
    </w:lvl>
    <w:lvl w:ilvl="8" w:tplc="3E7C8DD0">
      <w:start w:val="1"/>
      <w:numFmt w:val="lowerRoman"/>
      <w:lvlText w:val="%9."/>
      <w:lvlJc w:val="right"/>
      <w:pPr>
        <w:ind w:left="6480" w:hanging="180"/>
      </w:pPr>
    </w:lvl>
  </w:abstractNum>
  <w:abstractNum w:abstractNumId="7"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D3933F9"/>
    <w:multiLevelType w:val="hybridMultilevel"/>
    <w:tmpl w:val="3DCE8510"/>
    <w:lvl w:ilvl="0" w:tplc="201C5E90">
      <w:start w:val="1"/>
      <w:numFmt w:val="lowerLetter"/>
      <w:lvlText w:val="%1."/>
      <w:lvlJc w:val="left"/>
      <w:pPr>
        <w:ind w:left="720" w:hanging="360"/>
      </w:pPr>
    </w:lvl>
    <w:lvl w:ilvl="1" w:tplc="14CEA98E">
      <w:start w:val="1"/>
      <w:numFmt w:val="lowerLetter"/>
      <w:lvlText w:val="%2."/>
      <w:lvlJc w:val="left"/>
      <w:pPr>
        <w:ind w:left="1440" w:hanging="360"/>
      </w:pPr>
    </w:lvl>
    <w:lvl w:ilvl="2" w:tplc="3814C888">
      <w:start w:val="1"/>
      <w:numFmt w:val="lowerRoman"/>
      <w:lvlText w:val="%3."/>
      <w:lvlJc w:val="right"/>
      <w:pPr>
        <w:ind w:left="2160" w:hanging="180"/>
      </w:pPr>
    </w:lvl>
    <w:lvl w:ilvl="3" w:tplc="84C8934A">
      <w:start w:val="1"/>
      <w:numFmt w:val="decimal"/>
      <w:lvlText w:val="%4."/>
      <w:lvlJc w:val="left"/>
      <w:pPr>
        <w:ind w:left="2880" w:hanging="360"/>
      </w:pPr>
    </w:lvl>
    <w:lvl w:ilvl="4" w:tplc="0E949D68">
      <w:start w:val="1"/>
      <w:numFmt w:val="lowerLetter"/>
      <w:lvlText w:val="%5."/>
      <w:lvlJc w:val="left"/>
      <w:pPr>
        <w:ind w:left="3600" w:hanging="360"/>
      </w:pPr>
    </w:lvl>
    <w:lvl w:ilvl="5" w:tplc="41F23BF8">
      <w:start w:val="1"/>
      <w:numFmt w:val="lowerRoman"/>
      <w:lvlText w:val="%6."/>
      <w:lvlJc w:val="right"/>
      <w:pPr>
        <w:ind w:left="4320" w:hanging="180"/>
      </w:pPr>
    </w:lvl>
    <w:lvl w:ilvl="6" w:tplc="133C5464">
      <w:start w:val="1"/>
      <w:numFmt w:val="decimal"/>
      <w:lvlText w:val="%7."/>
      <w:lvlJc w:val="left"/>
      <w:pPr>
        <w:ind w:left="5040" w:hanging="360"/>
      </w:pPr>
    </w:lvl>
    <w:lvl w:ilvl="7" w:tplc="D34A7964">
      <w:start w:val="1"/>
      <w:numFmt w:val="lowerLetter"/>
      <w:lvlText w:val="%8."/>
      <w:lvlJc w:val="left"/>
      <w:pPr>
        <w:ind w:left="5760" w:hanging="360"/>
      </w:pPr>
    </w:lvl>
    <w:lvl w:ilvl="8" w:tplc="8A021216">
      <w:start w:val="1"/>
      <w:numFmt w:val="lowerRoman"/>
      <w:lvlText w:val="%9."/>
      <w:lvlJc w:val="right"/>
      <w:pPr>
        <w:ind w:left="6480" w:hanging="180"/>
      </w:pPr>
    </w:lvl>
  </w:abstractNum>
  <w:abstractNum w:abstractNumId="11" w15:restartNumberingAfterBreak="0">
    <w:nsid w:val="21CBF3FC"/>
    <w:multiLevelType w:val="hybridMultilevel"/>
    <w:tmpl w:val="FFFFFFFF"/>
    <w:lvl w:ilvl="0" w:tplc="61F0A376">
      <w:start w:val="1"/>
      <w:numFmt w:val="bullet"/>
      <w:lvlText w:val="·"/>
      <w:lvlJc w:val="left"/>
      <w:pPr>
        <w:ind w:left="720" w:hanging="360"/>
      </w:pPr>
      <w:rPr>
        <w:rFonts w:ascii="Symbol" w:hAnsi="Symbol" w:hint="default"/>
      </w:rPr>
    </w:lvl>
    <w:lvl w:ilvl="1" w:tplc="9422782C">
      <w:start w:val="1"/>
      <w:numFmt w:val="bullet"/>
      <w:lvlText w:val="o"/>
      <w:lvlJc w:val="left"/>
      <w:pPr>
        <w:ind w:left="1440" w:hanging="360"/>
      </w:pPr>
      <w:rPr>
        <w:rFonts w:ascii="Courier New" w:hAnsi="Courier New" w:hint="default"/>
      </w:rPr>
    </w:lvl>
    <w:lvl w:ilvl="2" w:tplc="9926CA02">
      <w:start w:val="1"/>
      <w:numFmt w:val="bullet"/>
      <w:lvlText w:val=""/>
      <w:lvlJc w:val="left"/>
      <w:pPr>
        <w:ind w:left="2160" w:hanging="360"/>
      </w:pPr>
      <w:rPr>
        <w:rFonts w:ascii="Wingdings" w:hAnsi="Wingdings" w:hint="default"/>
      </w:rPr>
    </w:lvl>
    <w:lvl w:ilvl="3" w:tplc="50124D3A">
      <w:start w:val="1"/>
      <w:numFmt w:val="bullet"/>
      <w:lvlText w:val=""/>
      <w:lvlJc w:val="left"/>
      <w:pPr>
        <w:ind w:left="2880" w:hanging="360"/>
      </w:pPr>
      <w:rPr>
        <w:rFonts w:ascii="Symbol" w:hAnsi="Symbol" w:hint="default"/>
      </w:rPr>
    </w:lvl>
    <w:lvl w:ilvl="4" w:tplc="FAD08CD2">
      <w:start w:val="1"/>
      <w:numFmt w:val="bullet"/>
      <w:lvlText w:val="o"/>
      <w:lvlJc w:val="left"/>
      <w:pPr>
        <w:ind w:left="3600" w:hanging="360"/>
      </w:pPr>
      <w:rPr>
        <w:rFonts w:ascii="Courier New" w:hAnsi="Courier New" w:hint="default"/>
      </w:rPr>
    </w:lvl>
    <w:lvl w:ilvl="5" w:tplc="DDDE0AD8">
      <w:start w:val="1"/>
      <w:numFmt w:val="bullet"/>
      <w:lvlText w:val=""/>
      <w:lvlJc w:val="left"/>
      <w:pPr>
        <w:ind w:left="4320" w:hanging="360"/>
      </w:pPr>
      <w:rPr>
        <w:rFonts w:ascii="Wingdings" w:hAnsi="Wingdings" w:hint="default"/>
      </w:rPr>
    </w:lvl>
    <w:lvl w:ilvl="6" w:tplc="5D34F50E">
      <w:start w:val="1"/>
      <w:numFmt w:val="bullet"/>
      <w:lvlText w:val=""/>
      <w:lvlJc w:val="left"/>
      <w:pPr>
        <w:ind w:left="5040" w:hanging="360"/>
      </w:pPr>
      <w:rPr>
        <w:rFonts w:ascii="Symbol" w:hAnsi="Symbol" w:hint="default"/>
      </w:rPr>
    </w:lvl>
    <w:lvl w:ilvl="7" w:tplc="A45CEC5E">
      <w:start w:val="1"/>
      <w:numFmt w:val="bullet"/>
      <w:lvlText w:val="o"/>
      <w:lvlJc w:val="left"/>
      <w:pPr>
        <w:ind w:left="5760" w:hanging="360"/>
      </w:pPr>
      <w:rPr>
        <w:rFonts w:ascii="Courier New" w:hAnsi="Courier New" w:hint="default"/>
      </w:rPr>
    </w:lvl>
    <w:lvl w:ilvl="8" w:tplc="54466828">
      <w:start w:val="1"/>
      <w:numFmt w:val="bullet"/>
      <w:lvlText w:val=""/>
      <w:lvlJc w:val="left"/>
      <w:pPr>
        <w:ind w:left="6480" w:hanging="360"/>
      </w:pPr>
      <w:rPr>
        <w:rFonts w:ascii="Wingdings" w:hAnsi="Wingdings" w:hint="default"/>
      </w:rPr>
    </w:lvl>
  </w:abstractNum>
  <w:abstractNum w:abstractNumId="12" w15:restartNumberingAfterBreak="0">
    <w:nsid w:val="26513B23"/>
    <w:multiLevelType w:val="hybridMultilevel"/>
    <w:tmpl w:val="EE9EBCBC"/>
    <w:lvl w:ilvl="0" w:tplc="0C090011">
      <w:start w:val="1"/>
      <w:numFmt w:val="decimal"/>
      <w:lvlText w:val="%1)"/>
      <w:lvlJc w:val="left"/>
      <w:pPr>
        <w:ind w:left="720" w:hanging="360"/>
      </w:pPr>
    </w:lvl>
    <w:lvl w:ilvl="1" w:tplc="1AD008E4">
      <w:start w:val="1"/>
      <w:numFmt w:val="lowerLetter"/>
      <w:lvlText w:val="%2."/>
      <w:lvlJc w:val="left"/>
      <w:pPr>
        <w:ind w:left="1440" w:hanging="360"/>
      </w:pPr>
    </w:lvl>
    <w:lvl w:ilvl="2" w:tplc="7D3CF1AC">
      <w:start w:val="1"/>
      <w:numFmt w:val="lowerRoman"/>
      <w:lvlText w:val="%3."/>
      <w:lvlJc w:val="right"/>
      <w:pPr>
        <w:ind w:left="2160" w:hanging="180"/>
      </w:pPr>
    </w:lvl>
    <w:lvl w:ilvl="3" w:tplc="E31E9B20">
      <w:start w:val="1"/>
      <w:numFmt w:val="decimal"/>
      <w:lvlText w:val="%4."/>
      <w:lvlJc w:val="left"/>
      <w:pPr>
        <w:ind w:left="2880" w:hanging="360"/>
      </w:pPr>
    </w:lvl>
    <w:lvl w:ilvl="4" w:tplc="9A24BF5E">
      <w:start w:val="1"/>
      <w:numFmt w:val="lowerLetter"/>
      <w:lvlText w:val="%5."/>
      <w:lvlJc w:val="left"/>
      <w:pPr>
        <w:ind w:left="3600" w:hanging="360"/>
      </w:pPr>
    </w:lvl>
    <w:lvl w:ilvl="5" w:tplc="0040E9DE">
      <w:start w:val="1"/>
      <w:numFmt w:val="lowerRoman"/>
      <w:lvlText w:val="%6."/>
      <w:lvlJc w:val="right"/>
      <w:pPr>
        <w:ind w:left="4320" w:hanging="180"/>
      </w:pPr>
    </w:lvl>
    <w:lvl w:ilvl="6" w:tplc="87741802">
      <w:start w:val="1"/>
      <w:numFmt w:val="decimal"/>
      <w:lvlText w:val="%7."/>
      <w:lvlJc w:val="left"/>
      <w:pPr>
        <w:ind w:left="5040" w:hanging="360"/>
      </w:pPr>
    </w:lvl>
    <w:lvl w:ilvl="7" w:tplc="5BE01B04">
      <w:start w:val="1"/>
      <w:numFmt w:val="lowerLetter"/>
      <w:lvlText w:val="%8."/>
      <w:lvlJc w:val="left"/>
      <w:pPr>
        <w:ind w:left="5760" w:hanging="360"/>
      </w:pPr>
    </w:lvl>
    <w:lvl w:ilvl="8" w:tplc="C3D2DB1E">
      <w:start w:val="1"/>
      <w:numFmt w:val="lowerRoman"/>
      <w:lvlText w:val="%9."/>
      <w:lvlJc w:val="right"/>
      <w:pPr>
        <w:ind w:left="6480" w:hanging="180"/>
      </w:pPr>
    </w:lvl>
  </w:abstractNum>
  <w:abstractNum w:abstractNumId="13"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4C3DFB"/>
    <w:multiLevelType w:val="hybridMultilevel"/>
    <w:tmpl w:val="248C5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9" w15:restartNumberingAfterBreak="0">
    <w:nsid w:val="63E72875"/>
    <w:multiLevelType w:val="hybridMultilevel"/>
    <w:tmpl w:val="696603C2"/>
    <w:lvl w:ilvl="0" w:tplc="7FBCC944">
      <w:start w:val="1"/>
      <w:numFmt w:val="bullet"/>
      <w:lvlText w:val="·"/>
      <w:lvlJc w:val="left"/>
      <w:pPr>
        <w:ind w:left="720" w:hanging="360"/>
      </w:pPr>
      <w:rPr>
        <w:rFonts w:ascii="Symbol" w:hAnsi="Symbol" w:hint="default"/>
        <w:sz w:val="22"/>
        <w:szCs w:val="22"/>
      </w:rPr>
    </w:lvl>
    <w:lvl w:ilvl="1" w:tplc="E8CEDA50">
      <w:start w:val="1"/>
      <w:numFmt w:val="bullet"/>
      <w:lvlText w:val="o"/>
      <w:lvlJc w:val="left"/>
      <w:pPr>
        <w:ind w:left="1440" w:hanging="360"/>
      </w:pPr>
      <w:rPr>
        <w:rFonts w:ascii="Courier New" w:hAnsi="Courier New" w:hint="default"/>
      </w:rPr>
    </w:lvl>
    <w:lvl w:ilvl="2" w:tplc="DDD84718">
      <w:start w:val="1"/>
      <w:numFmt w:val="bullet"/>
      <w:lvlText w:val=""/>
      <w:lvlJc w:val="left"/>
      <w:pPr>
        <w:ind w:left="2160" w:hanging="360"/>
      </w:pPr>
      <w:rPr>
        <w:rFonts w:ascii="Wingdings" w:hAnsi="Wingdings" w:hint="default"/>
      </w:rPr>
    </w:lvl>
    <w:lvl w:ilvl="3" w:tplc="C338B77E">
      <w:start w:val="1"/>
      <w:numFmt w:val="bullet"/>
      <w:lvlText w:val=""/>
      <w:lvlJc w:val="left"/>
      <w:pPr>
        <w:ind w:left="2880" w:hanging="360"/>
      </w:pPr>
      <w:rPr>
        <w:rFonts w:ascii="Symbol" w:hAnsi="Symbol" w:hint="default"/>
      </w:rPr>
    </w:lvl>
    <w:lvl w:ilvl="4" w:tplc="CB7AABEE">
      <w:start w:val="1"/>
      <w:numFmt w:val="bullet"/>
      <w:lvlText w:val="o"/>
      <w:lvlJc w:val="left"/>
      <w:pPr>
        <w:ind w:left="3600" w:hanging="360"/>
      </w:pPr>
      <w:rPr>
        <w:rFonts w:ascii="Courier New" w:hAnsi="Courier New" w:hint="default"/>
      </w:rPr>
    </w:lvl>
    <w:lvl w:ilvl="5" w:tplc="3C3A0CE2">
      <w:start w:val="1"/>
      <w:numFmt w:val="bullet"/>
      <w:lvlText w:val=""/>
      <w:lvlJc w:val="left"/>
      <w:pPr>
        <w:ind w:left="4320" w:hanging="360"/>
      </w:pPr>
      <w:rPr>
        <w:rFonts w:ascii="Wingdings" w:hAnsi="Wingdings" w:hint="default"/>
      </w:rPr>
    </w:lvl>
    <w:lvl w:ilvl="6" w:tplc="95E037F6">
      <w:start w:val="1"/>
      <w:numFmt w:val="bullet"/>
      <w:lvlText w:val=""/>
      <w:lvlJc w:val="left"/>
      <w:pPr>
        <w:ind w:left="5040" w:hanging="360"/>
      </w:pPr>
      <w:rPr>
        <w:rFonts w:ascii="Symbol" w:hAnsi="Symbol" w:hint="default"/>
      </w:rPr>
    </w:lvl>
    <w:lvl w:ilvl="7" w:tplc="60F6484C">
      <w:start w:val="1"/>
      <w:numFmt w:val="bullet"/>
      <w:lvlText w:val="o"/>
      <w:lvlJc w:val="left"/>
      <w:pPr>
        <w:ind w:left="5760" w:hanging="360"/>
      </w:pPr>
      <w:rPr>
        <w:rFonts w:ascii="Courier New" w:hAnsi="Courier New" w:hint="default"/>
      </w:rPr>
    </w:lvl>
    <w:lvl w:ilvl="8" w:tplc="F51CB406">
      <w:start w:val="1"/>
      <w:numFmt w:val="bullet"/>
      <w:lvlText w:val=""/>
      <w:lvlJc w:val="left"/>
      <w:pPr>
        <w:ind w:left="6480" w:hanging="360"/>
      </w:pPr>
      <w:rPr>
        <w:rFonts w:ascii="Wingdings" w:hAnsi="Wingdings" w:hint="default"/>
      </w:rPr>
    </w:lvl>
  </w:abstractNum>
  <w:abstractNum w:abstractNumId="20" w15:restartNumberingAfterBreak="0">
    <w:nsid w:val="69040DB3"/>
    <w:multiLevelType w:val="hybridMultilevel"/>
    <w:tmpl w:val="B14057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2"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8767259">
    <w:abstractNumId w:val="14"/>
  </w:num>
  <w:num w:numId="2" w16cid:durableId="1193615881">
    <w:abstractNumId w:val="9"/>
  </w:num>
  <w:num w:numId="3" w16cid:durableId="1153644461">
    <w:abstractNumId w:val="22"/>
  </w:num>
  <w:num w:numId="4" w16cid:durableId="135030730">
    <w:abstractNumId w:val="21"/>
  </w:num>
  <w:num w:numId="5" w16cid:durableId="1219051679">
    <w:abstractNumId w:val="2"/>
  </w:num>
  <w:num w:numId="6" w16cid:durableId="1821461070">
    <w:abstractNumId w:val="18"/>
  </w:num>
  <w:num w:numId="7" w16cid:durableId="1764688349">
    <w:abstractNumId w:val="8"/>
  </w:num>
  <w:num w:numId="8" w16cid:durableId="1183059037">
    <w:abstractNumId w:val="17"/>
  </w:num>
  <w:num w:numId="9" w16cid:durableId="1282153042">
    <w:abstractNumId w:val="17"/>
  </w:num>
  <w:num w:numId="10" w16cid:durableId="1360812348">
    <w:abstractNumId w:val="3"/>
  </w:num>
  <w:num w:numId="11" w16cid:durableId="1599677160">
    <w:abstractNumId w:val="22"/>
  </w:num>
  <w:num w:numId="12" w16cid:durableId="1338926177">
    <w:abstractNumId w:val="1"/>
  </w:num>
  <w:num w:numId="13" w16cid:durableId="1818456540">
    <w:abstractNumId w:val="21"/>
  </w:num>
  <w:num w:numId="14" w16cid:durableId="1434518084">
    <w:abstractNumId w:val="2"/>
  </w:num>
  <w:num w:numId="15" w16cid:durableId="545217294">
    <w:abstractNumId w:val="0"/>
  </w:num>
  <w:num w:numId="16" w16cid:durableId="1832406053">
    <w:abstractNumId w:val="18"/>
  </w:num>
  <w:num w:numId="17" w16cid:durableId="1467166139">
    <w:abstractNumId w:val="14"/>
  </w:num>
  <w:num w:numId="18" w16cid:durableId="339351573">
    <w:abstractNumId w:val="9"/>
  </w:num>
  <w:num w:numId="19" w16cid:durableId="256208087">
    <w:abstractNumId w:val="22"/>
  </w:num>
  <w:num w:numId="20" w16cid:durableId="2118595693">
    <w:abstractNumId w:val="21"/>
  </w:num>
  <w:num w:numId="21" w16cid:durableId="704214462">
    <w:abstractNumId w:val="2"/>
  </w:num>
  <w:num w:numId="22" w16cid:durableId="1299801033">
    <w:abstractNumId w:val="18"/>
  </w:num>
  <w:num w:numId="23" w16cid:durableId="1910143901">
    <w:abstractNumId w:val="17"/>
  </w:num>
  <w:num w:numId="24" w16cid:durableId="145442984">
    <w:abstractNumId w:val="17"/>
  </w:num>
  <w:num w:numId="25" w16cid:durableId="1466578369">
    <w:abstractNumId w:val="22"/>
  </w:num>
  <w:num w:numId="26" w16cid:durableId="162673097">
    <w:abstractNumId w:val="21"/>
  </w:num>
  <w:num w:numId="27" w16cid:durableId="1618947488">
    <w:abstractNumId w:val="2"/>
  </w:num>
  <w:num w:numId="28" w16cid:durableId="1142620279">
    <w:abstractNumId w:val="18"/>
  </w:num>
  <w:num w:numId="29" w16cid:durableId="694304169">
    <w:abstractNumId w:val="14"/>
  </w:num>
  <w:num w:numId="30" w16cid:durableId="1584102756">
    <w:abstractNumId w:val="5"/>
  </w:num>
  <w:num w:numId="31" w16cid:durableId="620067456">
    <w:abstractNumId w:val="5"/>
  </w:num>
  <w:num w:numId="32" w16cid:durableId="1269195733">
    <w:abstractNumId w:val="22"/>
  </w:num>
  <w:num w:numId="33" w16cid:durableId="2123650509">
    <w:abstractNumId w:val="2"/>
  </w:num>
  <w:num w:numId="34" w16cid:durableId="954949686">
    <w:abstractNumId w:val="21"/>
  </w:num>
  <w:num w:numId="35" w16cid:durableId="1504469216">
    <w:abstractNumId w:val="18"/>
  </w:num>
  <w:num w:numId="36" w16cid:durableId="111442807">
    <w:abstractNumId w:val="13"/>
  </w:num>
  <w:num w:numId="37" w16cid:durableId="613946320">
    <w:abstractNumId w:val="5"/>
  </w:num>
  <w:num w:numId="38" w16cid:durableId="994919361">
    <w:abstractNumId w:val="5"/>
  </w:num>
  <w:num w:numId="39" w16cid:durableId="579214881">
    <w:abstractNumId w:val="7"/>
  </w:num>
  <w:num w:numId="40" w16cid:durableId="1838305591">
    <w:abstractNumId w:val="16"/>
  </w:num>
  <w:num w:numId="41" w16cid:durableId="147862741">
    <w:abstractNumId w:val="4"/>
  </w:num>
  <w:num w:numId="42" w16cid:durableId="1574899373">
    <w:abstractNumId w:val="19"/>
  </w:num>
  <w:num w:numId="43" w16cid:durableId="1770155946">
    <w:abstractNumId w:val="10"/>
  </w:num>
  <w:num w:numId="44" w16cid:durableId="1568030906">
    <w:abstractNumId w:val="12"/>
  </w:num>
  <w:num w:numId="45" w16cid:durableId="1779056937">
    <w:abstractNumId w:val="6"/>
  </w:num>
  <w:num w:numId="46" w16cid:durableId="1559701565">
    <w:abstractNumId w:val="11"/>
  </w:num>
  <w:num w:numId="47" w16cid:durableId="1154952657">
    <w:abstractNumId w:val="20"/>
  </w:num>
  <w:num w:numId="48" w16cid:durableId="151144107">
    <w:abstractNumId w:val="15"/>
  </w:num>
  <w:num w:numId="49" w16cid:durableId="1063020700">
    <w:abstractNumId w:val="2"/>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3"/>
    <w:rsid w:val="0001390F"/>
    <w:rsid w:val="00023D0A"/>
    <w:rsid w:val="00025F3F"/>
    <w:rsid w:val="000448EA"/>
    <w:rsid w:val="00066DE3"/>
    <w:rsid w:val="00097873"/>
    <w:rsid w:val="000B52C0"/>
    <w:rsid w:val="000B5442"/>
    <w:rsid w:val="000F5CD9"/>
    <w:rsid w:val="000F79A4"/>
    <w:rsid w:val="00147F31"/>
    <w:rsid w:val="001807CA"/>
    <w:rsid w:val="001947FC"/>
    <w:rsid w:val="001D2CC8"/>
    <w:rsid w:val="002134F1"/>
    <w:rsid w:val="00221B6F"/>
    <w:rsid w:val="00224349"/>
    <w:rsid w:val="00240D6E"/>
    <w:rsid w:val="002572A2"/>
    <w:rsid w:val="002749E2"/>
    <w:rsid w:val="00282770"/>
    <w:rsid w:val="002A2286"/>
    <w:rsid w:val="002D0C39"/>
    <w:rsid w:val="002D2FC1"/>
    <w:rsid w:val="00326BBB"/>
    <w:rsid w:val="0033018C"/>
    <w:rsid w:val="003459EC"/>
    <w:rsid w:val="00354329"/>
    <w:rsid w:val="0036040B"/>
    <w:rsid w:val="003942B0"/>
    <w:rsid w:val="003A453B"/>
    <w:rsid w:val="003E0639"/>
    <w:rsid w:val="003E0E0C"/>
    <w:rsid w:val="004108C0"/>
    <w:rsid w:val="00420145"/>
    <w:rsid w:val="00462EA4"/>
    <w:rsid w:val="0047700D"/>
    <w:rsid w:val="004B0745"/>
    <w:rsid w:val="004D224B"/>
    <w:rsid w:val="004D68AD"/>
    <w:rsid w:val="004D7DD5"/>
    <w:rsid w:val="004F40B3"/>
    <w:rsid w:val="00513732"/>
    <w:rsid w:val="00540349"/>
    <w:rsid w:val="0056522C"/>
    <w:rsid w:val="00566AC9"/>
    <w:rsid w:val="005D16E8"/>
    <w:rsid w:val="005F0D67"/>
    <w:rsid w:val="0060240A"/>
    <w:rsid w:val="00617947"/>
    <w:rsid w:val="00617E3C"/>
    <w:rsid w:val="00637A12"/>
    <w:rsid w:val="00656158"/>
    <w:rsid w:val="00662827"/>
    <w:rsid w:val="006A0484"/>
    <w:rsid w:val="006A33F7"/>
    <w:rsid w:val="006C76D2"/>
    <w:rsid w:val="006E4B7E"/>
    <w:rsid w:val="00714340"/>
    <w:rsid w:val="00733B1C"/>
    <w:rsid w:val="00742296"/>
    <w:rsid w:val="00756ED4"/>
    <w:rsid w:val="007F099C"/>
    <w:rsid w:val="00820411"/>
    <w:rsid w:val="00825513"/>
    <w:rsid w:val="00846325"/>
    <w:rsid w:val="00854A15"/>
    <w:rsid w:val="00856453"/>
    <w:rsid w:val="00894811"/>
    <w:rsid w:val="008A0B75"/>
    <w:rsid w:val="008B5021"/>
    <w:rsid w:val="008C0F22"/>
    <w:rsid w:val="00901AA7"/>
    <w:rsid w:val="00916C68"/>
    <w:rsid w:val="009174FF"/>
    <w:rsid w:val="009335F0"/>
    <w:rsid w:val="0095510A"/>
    <w:rsid w:val="009B73CF"/>
    <w:rsid w:val="00A06600"/>
    <w:rsid w:val="00A16BFB"/>
    <w:rsid w:val="00A21E9F"/>
    <w:rsid w:val="00A375B9"/>
    <w:rsid w:val="00A82044"/>
    <w:rsid w:val="00AC6CA6"/>
    <w:rsid w:val="00AD0003"/>
    <w:rsid w:val="00AF013F"/>
    <w:rsid w:val="00B11AEE"/>
    <w:rsid w:val="00B625C1"/>
    <w:rsid w:val="00B724EC"/>
    <w:rsid w:val="00BB1A69"/>
    <w:rsid w:val="00BB2A1B"/>
    <w:rsid w:val="00BB320E"/>
    <w:rsid w:val="00BD018F"/>
    <w:rsid w:val="00BE44D0"/>
    <w:rsid w:val="00BF54F7"/>
    <w:rsid w:val="00BF618E"/>
    <w:rsid w:val="00C7704E"/>
    <w:rsid w:val="00C86861"/>
    <w:rsid w:val="00C90646"/>
    <w:rsid w:val="00C91233"/>
    <w:rsid w:val="00C968B5"/>
    <w:rsid w:val="00CF7A72"/>
    <w:rsid w:val="00D06FE2"/>
    <w:rsid w:val="00D83798"/>
    <w:rsid w:val="00D865CD"/>
    <w:rsid w:val="00DB104F"/>
    <w:rsid w:val="00DB3C7D"/>
    <w:rsid w:val="00DE4310"/>
    <w:rsid w:val="00DF3883"/>
    <w:rsid w:val="00DF627F"/>
    <w:rsid w:val="00E10FCF"/>
    <w:rsid w:val="00E3388C"/>
    <w:rsid w:val="00E41B7E"/>
    <w:rsid w:val="00E50EFA"/>
    <w:rsid w:val="00E52CBB"/>
    <w:rsid w:val="00E72CD0"/>
    <w:rsid w:val="00E744BB"/>
    <w:rsid w:val="00EB1547"/>
    <w:rsid w:val="00EC06FD"/>
    <w:rsid w:val="00EC134D"/>
    <w:rsid w:val="00EE47EF"/>
    <w:rsid w:val="00F52422"/>
    <w:rsid w:val="00F64299"/>
    <w:rsid w:val="00FD48C9"/>
    <w:rsid w:val="00FE6B33"/>
    <w:rsid w:val="00FF3F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BB"/>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15"/>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17"/>
      </w:numPr>
      <w:tabs>
        <w:tab w:val="left" w:pos="425"/>
      </w:tabs>
      <w:spacing w:before="360" w:after="240"/>
      <w:ind w:left="36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825513"/>
    <w:pPr>
      <w:spacing w:before="240"/>
      <w:outlineLvl w:val="2"/>
    </w:pPr>
    <w:rPr>
      <w:rFonts w:ascii="Arial Bold" w:hAnsi="Arial Bold"/>
      <w:b/>
      <w:bCs/>
      <w:color w:val="2B0A99" w:themeColor="text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825513"/>
    <w:rPr>
      <w:rFonts w:ascii="Arial Bold" w:hAnsi="Arial Bold" w:cs="Arial"/>
      <w:b/>
      <w:bCs/>
      <w:color w:val="2B0A99" w:themeColor="text2"/>
      <w:sz w:val="24"/>
      <w:szCs w:val="24"/>
    </w:rPr>
  </w:style>
  <w:style w:type="character" w:styleId="FollowedHyperlink">
    <w:name w:val="FollowedHyperlink"/>
    <w:basedOn w:val="DefaultParagraphFont"/>
    <w:uiPriority w:val="99"/>
    <w:semiHidden/>
    <w:unhideWhenUsed/>
    <w:rsid w:val="00BB2A1B"/>
    <w:rPr>
      <w:color w:val="E80C3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825513"/>
    <w:pPr>
      <w:tabs>
        <w:tab w:val="center" w:pos="4513"/>
        <w:tab w:val="right" w:pos="9026"/>
      </w:tabs>
      <w:spacing w:after="0"/>
      <w:ind w:left="142"/>
    </w:pPr>
    <w:rPr>
      <w:b/>
      <w:bCs/>
      <w:noProof/>
      <w:color w:val="2B0A99" w:themeColor="text2"/>
      <w:sz w:val="22"/>
      <w:szCs w:val="22"/>
    </w:rPr>
  </w:style>
  <w:style w:type="character" w:customStyle="1" w:styleId="HeaderChar">
    <w:name w:val="Header Char"/>
    <w:basedOn w:val="DefaultParagraphFont"/>
    <w:link w:val="Header"/>
    <w:uiPriority w:val="99"/>
    <w:rsid w:val="00825513"/>
    <w:rPr>
      <w:rFonts w:ascii="Arial" w:hAnsi="Arial" w:cs="Arial"/>
      <w:b/>
      <w:bCs/>
      <w:noProof/>
      <w:color w:val="2B0A99" w:themeColor="text2"/>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326BBB"/>
    <w:pPr>
      <w:numPr>
        <w:numId w:val="32"/>
      </w:numPr>
    </w:pPr>
    <w:rPr>
      <w:rFonts w:eastAsia="Arial" w:cs="Times New Roman"/>
      <w:sz w:val="22"/>
    </w:rPr>
  </w:style>
  <w:style w:type="paragraph" w:styleId="ListBullet2">
    <w:name w:val="List Bullet 2"/>
    <w:basedOn w:val="Normal"/>
    <w:qFormat/>
    <w:rsid w:val="009335F0"/>
    <w:pPr>
      <w:numPr>
        <w:numId w:val="3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326BBB"/>
    <w:pPr>
      <w:numPr>
        <w:numId w:val="33"/>
      </w:numPr>
    </w:pPr>
    <w:rPr>
      <w:rFonts w:eastAsia="Times New Roman" w:cs="Times New Roman"/>
      <w:sz w:val="22"/>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uiPriority w:val="1"/>
    <w:qFormat/>
    <w:rsid w:val="00FE6B33"/>
    <w:pPr>
      <w:tabs>
        <w:tab w:val="left" w:pos="425"/>
      </w:tabs>
      <w:spacing w:before="480" w:after="360"/>
    </w:pPr>
    <w:rPr>
      <w:b/>
      <w:bCs/>
      <w:sz w:val="56"/>
      <w:szCs w:val="56"/>
    </w:rPr>
  </w:style>
  <w:style w:type="character" w:customStyle="1" w:styleId="TitleChar">
    <w:name w:val="Title Char"/>
    <w:basedOn w:val="DefaultParagraphFont"/>
    <w:link w:val="Title"/>
    <w:uiPriority w:val="1"/>
    <w:rsid w:val="00FE6B33"/>
    <w:rPr>
      <w:rFonts w:ascii="Arial" w:hAnsi="Arial" w:cs="Arial"/>
      <w:b/>
      <w:bCs/>
      <w:sz w:val="56"/>
      <w:szCs w:val="56"/>
    </w:rPr>
  </w:style>
  <w:style w:type="paragraph" w:styleId="Subtitle">
    <w:name w:val="Subtitle"/>
    <w:basedOn w:val="Normal"/>
    <w:next w:val="Normal"/>
    <w:link w:val="SubtitleChar"/>
    <w:uiPriority w:val="2"/>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2"/>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uiPriority w:val="59"/>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4877E0" w:themeColor="accent1"/>
      <w:sz w:val="20"/>
      <w:szCs w:val="20"/>
    </w:rPr>
  </w:style>
  <w:style w:type="table" w:styleId="LightShading-Accent2">
    <w:name w:val="Light Shading Accent 2"/>
    <w:aliases w:val="SWA Table Style"/>
    <w:basedOn w:val="TableNormal"/>
    <w:uiPriority w:val="60"/>
    <w:rsid w:val="00825513"/>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EB9C3A"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326BBB"/>
    <w:pPr>
      <w:widowControl w:val="0"/>
      <w:spacing w:line="264" w:lineRule="auto"/>
    </w:pPr>
    <w:rPr>
      <w:rFonts w:eastAsia="Times New Roman" w:cstheme="minorBidi"/>
      <w:sz w:val="22"/>
      <w:szCs w:val="24"/>
      <w:lang w:eastAsia="en-AU"/>
    </w:rPr>
  </w:style>
  <w:style w:type="paragraph" w:customStyle="1" w:styleId="Bulletlevel2">
    <w:name w:val="Bullet level 2"/>
    <w:basedOn w:val="ListBullet2"/>
    <w:uiPriority w:val="7"/>
    <w:qFormat/>
    <w:rsid w:val="009335F0"/>
    <w:pPr>
      <w:numPr>
        <w:numId w:val="3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825513"/>
    <w:pPr>
      <w:pBdr>
        <w:left w:val="single" w:sz="12" w:space="14" w:color="2B0A99" w:themeColor="text2"/>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825513"/>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paragraph" w:customStyle="1" w:styleId="SWAHeading1">
    <w:name w:val="SWA Heading 1"/>
    <w:next w:val="Paragraph"/>
    <w:qFormat/>
    <w:rsid w:val="003942B0"/>
    <w:pPr>
      <w:pageBreakBefore/>
      <w:spacing w:before="240" w:after="120"/>
      <w:outlineLvl w:val="0"/>
    </w:pPr>
    <w:rPr>
      <w:rFonts w:ascii="Arial" w:hAnsi="Arial" w:cs="Arial"/>
      <w:b/>
      <w:bCs/>
      <w:sz w:val="40"/>
      <w:szCs w:val="40"/>
    </w:rPr>
  </w:style>
  <w:style w:type="paragraph" w:customStyle="1" w:styleId="Titledate">
    <w:name w:val="Title date"/>
    <w:basedOn w:val="TOC1"/>
    <w:qFormat/>
    <w:rsid w:val="003942B0"/>
    <w:pPr>
      <w:tabs>
        <w:tab w:val="left" w:pos="440"/>
        <w:tab w:val="right" w:leader="dot" w:pos="9016"/>
      </w:tabs>
      <w:spacing w:before="0" w:line="264" w:lineRule="auto"/>
    </w:pPr>
    <w:rPr>
      <w:rFonts w:cstheme="minorBidi"/>
      <w:caps/>
      <w:noProof/>
      <w:sz w:val="36"/>
      <w:szCs w:val="36"/>
    </w:rPr>
  </w:style>
  <w:style w:type="character" w:customStyle="1" w:styleId="SWADisclaimerheadingChar">
    <w:name w:val="SWA Disclaimer heading Char"/>
    <w:basedOn w:val="DefaultParagraphFont"/>
    <w:link w:val="SWADisclaimerheading"/>
    <w:locked/>
    <w:rsid w:val="003942B0"/>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3942B0"/>
    <w:pPr>
      <w:spacing w:line="276" w:lineRule="auto"/>
      <w:contextualSpacing/>
    </w:pPr>
    <w:rPr>
      <w:rFonts w:eastAsiaTheme="majorEastAsia" w:cstheme="majorBidi"/>
      <w:b/>
      <w:color w:val="145B85"/>
      <w:spacing w:val="-3"/>
      <w:sz w:val="14"/>
      <w:szCs w:val="14"/>
    </w:rPr>
  </w:style>
  <w:style w:type="table" w:customStyle="1" w:styleId="Style2">
    <w:name w:val="Style2"/>
    <w:basedOn w:val="TableNormal"/>
    <w:uiPriority w:val="99"/>
    <w:rsid w:val="003942B0"/>
    <w:pPr>
      <w:spacing w:after="0" w:line="240" w:lineRule="auto"/>
    </w:pPr>
    <w:tblPr>
      <w:tblBorders>
        <w:left w:val="single" w:sz="24" w:space="0" w:color="EB9C3A" w:themeColor="accent2"/>
      </w:tblBorders>
      <w:tblCellMar>
        <w:left w:w="198" w:type="dxa"/>
      </w:tblCellMar>
    </w:tblPr>
    <w:tcPr>
      <w:shd w:val="clear" w:color="auto" w:fill="FBEBD7" w:themeFill="accent2" w:themeFillTint="33"/>
    </w:tcPr>
  </w:style>
  <w:style w:type="paragraph" w:customStyle="1" w:styleId="SWAHeading3">
    <w:name w:val="SWA Heading 3"/>
    <w:next w:val="Paragraph"/>
    <w:qFormat/>
    <w:rsid w:val="003942B0"/>
    <w:pPr>
      <w:spacing w:before="240" w:after="120"/>
    </w:pPr>
    <w:rPr>
      <w:rFonts w:ascii="Arial" w:hAnsi="Arial" w:cs="Arial"/>
      <w:color w:val="2B0A99" w:themeColor="text2"/>
      <w:sz w:val="28"/>
      <w:szCs w:val="32"/>
    </w:rPr>
  </w:style>
  <w:style w:type="paragraph" w:styleId="Revision">
    <w:name w:val="Revision"/>
    <w:hidden/>
    <w:uiPriority w:val="99"/>
    <w:semiHidden/>
    <w:rsid w:val="00E744BB"/>
    <w:pPr>
      <w:spacing w:after="0" w:line="240" w:lineRule="auto"/>
    </w:pPr>
    <w:rPr>
      <w:rFonts w:ascii="Arial" w:hAnsi="Arial" w:cs="Arial"/>
      <w:sz w:val="20"/>
      <w:szCs w:val="20"/>
    </w:rPr>
  </w:style>
  <w:style w:type="character" w:styleId="UnresolvedMention">
    <w:name w:val="Unresolved Mention"/>
    <w:basedOn w:val="DefaultParagraphFont"/>
    <w:uiPriority w:val="99"/>
    <w:semiHidden/>
    <w:unhideWhenUsed/>
    <w:rsid w:val="00360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doc/engineered-stone-ban-examples-permitted-work-legacy-engineered-stone"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ksafe.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national-exemption-framewor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feworkaustralia.gov.au/national-exemption-framew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workaustralia.gov.au/law-and-regulation/model-whs-laws/national-exemption-framewor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SWA1-colours">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1554</Words>
  <Characters>8506</Characters>
  <Application>Microsoft Office Word</Application>
  <DocSecurity>0</DocSecurity>
  <Lines>180</Lines>
  <Paragraphs>96</Paragraphs>
  <ScaleCrop>false</ScaleCrop>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2025-08-22T08:24:00Z</dcterms:created>
  <dcterms:modified xsi:type="dcterms:W3CDTF">2025-08-22T08:25:00Z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2025-08-22T08:24:47Z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9608145f-71b0-4700-82c1-4fad590df262</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