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F808" w14:textId="77777777" w:rsidR="0075538A" w:rsidRPr="00430A5A" w:rsidRDefault="0075538A" w:rsidP="009F4AC7">
      <w:pPr>
        <w:pStyle w:val="Title"/>
        <w:spacing w:before="120"/>
        <w:ind w:right="2505"/>
        <w:rPr>
          <w:sz w:val="44"/>
          <w:szCs w:val="44"/>
        </w:rPr>
      </w:pPr>
      <w:r w:rsidRPr="00430A5A">
        <w:rPr>
          <w:sz w:val="44"/>
          <w:szCs w:val="44"/>
        </w:rPr>
        <w:t>Engineered stone prohibition: examples of permitted work with legacy engineered stone</w:t>
      </w:r>
    </w:p>
    <w:p w14:paraId="218B2173" w14:textId="77777777" w:rsidR="0075538A" w:rsidRPr="0075538A" w:rsidRDefault="0075538A" w:rsidP="009F4AC7">
      <w:pPr>
        <w:pStyle w:val="Subtitle"/>
        <w:spacing w:after="480" w:line="264" w:lineRule="auto"/>
        <w:ind w:right="2363"/>
        <w:contextualSpacing/>
        <w:outlineLvl w:val="9"/>
        <w:rPr>
          <w:rFonts w:cs="Arial"/>
          <w:color w:val="2B0A99" w:themeColor="text2"/>
          <w:sz w:val="36"/>
          <w:szCs w:val="40"/>
        </w:rPr>
      </w:pPr>
      <w:r w:rsidRPr="0075538A">
        <w:rPr>
          <w:rFonts w:cs="Arial"/>
          <w:color w:val="2B0A99" w:themeColor="text2"/>
          <w:sz w:val="36"/>
          <w:szCs w:val="40"/>
        </w:rPr>
        <w:t>Work Health and Safety Regulations 529E and 529F</w:t>
      </w:r>
    </w:p>
    <w:p w14:paraId="718F0ABF" w14:textId="77777777" w:rsidR="0075538A" w:rsidRPr="0075538A" w:rsidRDefault="0075538A" w:rsidP="009F4AC7">
      <w:pPr>
        <w:spacing w:after="240"/>
        <w:rPr>
          <w:szCs w:val="22"/>
        </w:rPr>
      </w:pPr>
      <w:r w:rsidRPr="0075538A">
        <w:rPr>
          <w:szCs w:val="22"/>
        </w:rPr>
        <w:t>Engineered stone benchtops, panels and slabs are currently installed in many homes and other settings throughout Australia. These installed products, and any stock of uninstalled engineered stone held by a person conducting a business or undertaking (PCBU) (e.g. suppliers and distributors) after the commencement of the prohibition are referred to as legacy engineered stone.</w:t>
      </w:r>
    </w:p>
    <w:tbl>
      <w:tblPr>
        <w:tblStyle w:val="GridTable5Dark-Accent2"/>
        <w:tblW w:w="0" w:type="auto"/>
        <w:tblBorders>
          <w:top w:val="none" w:sz="0" w:space="0" w:color="auto"/>
          <w:left w:val="single" w:sz="24" w:space="0" w:color="EB9C23"/>
          <w:bottom w:val="none" w:sz="0" w:space="0" w:color="auto"/>
          <w:right w:val="none" w:sz="0" w:space="0" w:color="auto"/>
          <w:insideH w:val="none" w:sz="0" w:space="0" w:color="auto"/>
          <w:insideV w:val="none" w:sz="0" w:space="0" w:color="auto"/>
        </w:tblBorders>
        <w:tblCellMar>
          <w:top w:w="142" w:type="dxa"/>
          <w:left w:w="255" w:type="dxa"/>
          <w:bottom w:w="142" w:type="dxa"/>
          <w:right w:w="142" w:type="dxa"/>
        </w:tblCellMar>
        <w:tblLook w:val="0680" w:firstRow="0" w:lastRow="0" w:firstColumn="1" w:lastColumn="0" w:noHBand="1" w:noVBand="1"/>
      </w:tblPr>
      <w:tblGrid>
        <w:gridCol w:w="8996"/>
      </w:tblGrid>
      <w:tr w:rsidR="0075538A" w14:paraId="5EE9627B" w14:textId="77777777" w:rsidTr="009F4AC7">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tcBorders>
            <w:shd w:val="clear" w:color="auto" w:fill="FBEBD7"/>
          </w:tcPr>
          <w:p w14:paraId="179C36A7" w14:textId="77777777" w:rsidR="0075538A" w:rsidRDefault="0075538A" w:rsidP="00B76334">
            <w:pPr>
              <w:tabs>
                <w:tab w:val="num" w:pos="360"/>
              </w:tabs>
              <w:spacing w:after="80"/>
              <w:rPr>
                <w:rFonts w:eastAsia="Arial"/>
                <w:color w:val="000000" w:themeColor="text1"/>
                <w:sz w:val="22"/>
                <w:szCs w:val="22"/>
                <w:lang w:val="en-AU"/>
              </w:rPr>
            </w:pPr>
            <w:r>
              <w:rPr>
                <w:rFonts w:eastAsia="Arial"/>
                <w:color w:val="000000" w:themeColor="text1"/>
                <w:sz w:val="22"/>
                <w:szCs w:val="22"/>
                <w:lang w:val="en-AU"/>
              </w:rPr>
              <w:t>Note:</w:t>
            </w:r>
            <w:r>
              <w:rPr>
                <w:rFonts w:eastAsia="Arial"/>
                <w:b w:val="0"/>
                <w:bCs w:val="0"/>
                <w:color w:val="000000" w:themeColor="text1"/>
                <w:sz w:val="22"/>
                <w:szCs w:val="22"/>
                <w:lang w:val="en-AU"/>
              </w:rPr>
              <w:t xml:space="preserve"> If any permitted processing of engineered stone is determined to be high risk, then the PCBU must meet the additional requirements for processing of a crystalline silica substance that is high risk outlined in Part 3 of the </w:t>
            </w:r>
            <w:r w:rsidRPr="003B6933">
              <w:rPr>
                <w:rFonts w:eastAsia="Arial"/>
                <w:b w:val="0"/>
                <w:bCs w:val="0"/>
                <w:color w:val="000000" w:themeColor="text1"/>
                <w:sz w:val="22"/>
                <w:szCs w:val="22"/>
                <w:lang w:val="en-AU"/>
              </w:rPr>
              <w:t>model Code of Practice: Managing risks of respirable crystalline silica in the workplace</w:t>
            </w:r>
            <w:r>
              <w:rPr>
                <w:rFonts w:eastAsia="Arial"/>
                <w:b w:val="0"/>
                <w:bCs w:val="0"/>
                <w:color w:val="000000" w:themeColor="text1"/>
                <w:sz w:val="22"/>
                <w:szCs w:val="22"/>
                <w:lang w:val="en-AU"/>
              </w:rPr>
              <w:t xml:space="preserve"> (Silica Code)</w:t>
            </w:r>
            <w:r w:rsidRPr="003B6933">
              <w:rPr>
                <w:rFonts w:eastAsia="Arial"/>
                <w:b w:val="0"/>
                <w:bCs w:val="0"/>
                <w:color w:val="000000" w:themeColor="text1"/>
                <w:sz w:val="22"/>
                <w:szCs w:val="22"/>
                <w:lang w:val="en-AU"/>
              </w:rPr>
              <w:t>.</w:t>
            </w:r>
          </w:p>
        </w:tc>
      </w:tr>
    </w:tbl>
    <w:p w14:paraId="3A740344" w14:textId="77777777" w:rsidR="0075538A" w:rsidRPr="00B75A60" w:rsidRDefault="0075538A" w:rsidP="0075538A">
      <w:pPr>
        <w:pStyle w:val="SWAHeading1"/>
        <w:pageBreakBefore w:val="0"/>
        <w:numPr>
          <w:ilvl w:val="0"/>
          <w:numId w:val="40"/>
        </w:numPr>
        <w:ind w:left="567" w:hanging="567"/>
      </w:pPr>
      <w:bookmarkStart w:id="0" w:name="_Toc201904694"/>
      <w:r w:rsidRPr="00B75A60">
        <w:t>Permitted work with legacy engineered stone for genuine research and analysis</w:t>
      </w:r>
      <w:bookmarkEnd w:id="0"/>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75538A" w:rsidRPr="007F3EAF" w14:paraId="212040D4" w14:textId="77777777" w:rsidTr="00B76334">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hideMark/>
          </w:tcPr>
          <w:p w14:paraId="0FAE27D7" w14:textId="77777777" w:rsidR="0075538A" w:rsidRPr="0075538A" w:rsidRDefault="0075538A" w:rsidP="00B76334">
            <w:pPr>
              <w:rPr>
                <w:color w:val="767171" w:themeColor="background2" w:themeShade="80"/>
                <w:sz w:val="22"/>
                <w:szCs w:val="22"/>
              </w:rPr>
            </w:pPr>
            <w:r w:rsidRPr="0075538A">
              <w:rPr>
                <w:sz w:val="22"/>
                <w:szCs w:val="22"/>
              </w:rPr>
              <w:t xml:space="preserve">WHS Regulations 529E and 529F </w:t>
            </w:r>
          </w:p>
          <w:p w14:paraId="273B184E" w14:textId="77777777" w:rsidR="0075538A" w:rsidRPr="007F3EAF" w:rsidRDefault="0075538A" w:rsidP="00B76334">
            <w:pPr>
              <w:rPr>
                <w:color w:val="767171" w:themeColor="background2" w:themeShade="80"/>
              </w:rPr>
            </w:pPr>
            <w:r w:rsidRPr="0075538A">
              <w:rPr>
                <w:b w:val="0"/>
                <w:bCs/>
                <w:sz w:val="22"/>
                <w:szCs w:val="22"/>
              </w:rPr>
              <w:t>Exceptions for research and analysis, and to sample and identify engineered stone.</w:t>
            </w:r>
            <w:r w:rsidRPr="0075538A">
              <w:rPr>
                <w:sz w:val="22"/>
                <w:szCs w:val="22"/>
              </w:rPr>
              <w:t xml:space="preserve"> </w:t>
            </w:r>
          </w:p>
        </w:tc>
      </w:tr>
    </w:tbl>
    <w:p w14:paraId="6D63CC58" w14:textId="77777777" w:rsidR="0075538A" w:rsidRDefault="0075538A" w:rsidP="00151E68">
      <w:pPr>
        <w:pStyle w:val="Paragraph"/>
        <w:spacing w:after="0"/>
        <w:rPr>
          <w:rFonts w:cs="Arial"/>
        </w:rPr>
      </w:pPr>
    </w:p>
    <w:p w14:paraId="28A3492D" w14:textId="77777777" w:rsidR="0075538A" w:rsidRPr="0075538A" w:rsidRDefault="0075538A" w:rsidP="00867986">
      <w:pPr>
        <w:pStyle w:val="Paragraph"/>
        <w:spacing w:after="80"/>
        <w:rPr>
          <w:rFonts w:cs="Arial"/>
          <w:szCs w:val="22"/>
        </w:rPr>
      </w:pPr>
      <w:r w:rsidRPr="0075538A">
        <w:rPr>
          <w:rFonts w:cs="Arial"/>
          <w:szCs w:val="22"/>
        </w:rPr>
        <w:t>Regulations 529E and 529F permit the installation, supply and controlled processing of engineered stone benchtops, panels or slabs for the purposes of:</w:t>
      </w:r>
    </w:p>
    <w:p w14:paraId="1B3B0AE8" w14:textId="77777777" w:rsidR="0075538A" w:rsidRPr="0075538A" w:rsidRDefault="0075538A" w:rsidP="009F4AC7">
      <w:pPr>
        <w:pStyle w:val="ListBullet"/>
        <w:numPr>
          <w:ilvl w:val="0"/>
          <w:numId w:val="10"/>
        </w:numPr>
      </w:pPr>
      <w:r w:rsidRPr="0075538A">
        <w:t>genuine research and analysis, and</w:t>
      </w:r>
    </w:p>
    <w:p w14:paraId="431E2BAA" w14:textId="77777777" w:rsidR="0075538A" w:rsidRPr="0075538A" w:rsidRDefault="0075538A" w:rsidP="009F4AC7">
      <w:pPr>
        <w:pStyle w:val="ListBullet"/>
        <w:numPr>
          <w:ilvl w:val="0"/>
          <w:numId w:val="10"/>
        </w:numPr>
      </w:pPr>
      <w:r w:rsidRPr="0075538A">
        <w:t>to sample and identify engineered stone.</w:t>
      </w:r>
    </w:p>
    <w:p w14:paraId="777DFA3D" w14:textId="77777777" w:rsidR="0075538A" w:rsidRPr="0075538A" w:rsidRDefault="0075538A" w:rsidP="009F4AC7">
      <w:pPr>
        <w:pStyle w:val="Heading3"/>
      </w:pPr>
      <w:r w:rsidRPr="0075538A">
        <w:t>Example 1:</w:t>
      </w:r>
    </w:p>
    <w:p w14:paraId="36F5DC10" w14:textId="77777777" w:rsidR="009F4AC7" w:rsidRDefault="0075538A" w:rsidP="0075538A">
      <w:pPr>
        <w:tabs>
          <w:tab w:val="left" w:pos="7019"/>
        </w:tabs>
        <w:rPr>
          <w:rFonts w:eastAsia="Arial"/>
          <w:b/>
          <w:bCs/>
          <w:color w:val="000000" w:themeColor="text1"/>
        </w:rPr>
      </w:pPr>
      <w:r w:rsidRPr="0075538A">
        <w:rPr>
          <w:rFonts w:eastAsia="Arial"/>
          <w:color w:val="000000" w:themeColor="text1"/>
        </w:rPr>
        <w:t>A university-based researcher is studying the ability of various materials commonly found in homes to resist the impact of the spread of fire and requests samples of legacy engineered stone from a PCBU.</w:t>
      </w:r>
    </w:p>
    <w:p w14:paraId="11082CDB" w14:textId="77777777" w:rsidR="0075538A" w:rsidRPr="009F4AC7" w:rsidRDefault="0075538A" w:rsidP="009F4AC7">
      <w:pPr>
        <w:pStyle w:val="Heading3"/>
      </w:pPr>
      <w:r w:rsidRPr="0075538A">
        <w:t>Example 2:</w:t>
      </w:r>
    </w:p>
    <w:p w14:paraId="01AD7546" w14:textId="77777777" w:rsidR="009F4AC7" w:rsidRDefault="0075538A" w:rsidP="009F4AC7">
      <w:r w:rsidRPr="0075538A">
        <w:t>A PCBU provides a laboratory with product samples to be tested for crystalline silica content. Although the product was labelled as crystalline silica-free, the test results return levels of 1% crystalline silica w/w or greater.</w:t>
      </w:r>
    </w:p>
    <w:p w14:paraId="7678BC3E" w14:textId="77777777" w:rsidR="009F4AC7" w:rsidRDefault="009F4AC7">
      <w:pPr>
        <w:spacing w:before="0" w:after="200" w:line="276" w:lineRule="auto"/>
      </w:pPr>
      <w:r>
        <w:br w:type="page"/>
      </w:r>
    </w:p>
    <w:p w14:paraId="10DA911D" w14:textId="77777777" w:rsidR="0075538A" w:rsidRPr="009F4AC7" w:rsidRDefault="0075538A" w:rsidP="009F4AC7">
      <w:pPr>
        <w:pStyle w:val="Heading3"/>
      </w:pPr>
      <w:r w:rsidRPr="0075538A">
        <w:lastRenderedPageBreak/>
        <w:t>Summary of WHS duties:</w:t>
      </w:r>
    </w:p>
    <w:p w14:paraId="2BFDB005" w14:textId="77777777" w:rsidR="0075538A" w:rsidRPr="0075538A" w:rsidRDefault="0075538A" w:rsidP="009F4AC7">
      <w:pPr>
        <w:pStyle w:val="ListBullet"/>
      </w:pPr>
      <w:r w:rsidRPr="0075538A">
        <w:t xml:space="preserve">A business is </w:t>
      </w:r>
      <w:r w:rsidRPr="009F4AC7">
        <w:t>permitted</w:t>
      </w:r>
      <w:r w:rsidRPr="0075538A">
        <w:t xml:space="preserve"> to supply a legacy engineered stone benchtop, slab, panel or sample of such a product from their stockpile to the researchers in the above examples. </w:t>
      </w:r>
    </w:p>
    <w:p w14:paraId="3E568948" w14:textId="77777777" w:rsidR="0075538A" w:rsidRPr="0075538A" w:rsidRDefault="0075538A" w:rsidP="009F4AC7">
      <w:pPr>
        <w:pStyle w:val="ListBullet"/>
      </w:pPr>
      <w:r w:rsidRPr="0075538A">
        <w:t xml:space="preserve">The researchers may process the engineered stone (e.g. by cutting the stone to suit the needs of their </w:t>
      </w:r>
      <w:r w:rsidRPr="009F4AC7">
        <w:t>research</w:t>
      </w:r>
      <w:r w:rsidRPr="0075538A">
        <w:t>), however:</w:t>
      </w:r>
    </w:p>
    <w:p w14:paraId="18DD645A" w14:textId="3359DCE8" w:rsidR="0075538A" w:rsidRPr="0075538A" w:rsidRDefault="0075538A" w:rsidP="009F4AC7">
      <w:pPr>
        <w:pStyle w:val="ListBullet2"/>
        <w:ind w:left="1276"/>
        <w:rPr>
          <w:rFonts w:eastAsia="Arial"/>
          <w:b/>
          <w:bCs/>
        </w:rPr>
      </w:pPr>
      <w:r w:rsidRPr="0075538A">
        <w:rPr>
          <w:rFonts w:eastAsia="Arial"/>
        </w:rPr>
        <w:t xml:space="preserve">The researcher must first determine if the processing is high risk (see Part 2.5 of the </w:t>
      </w:r>
      <w:hyperlink r:id="rId8" w:history="1">
        <w:r w:rsidRPr="000026D8">
          <w:rPr>
            <w:rStyle w:val="Hyperlink"/>
            <w:rFonts w:eastAsia="Arial"/>
          </w:rPr>
          <w:t>Silica Code</w:t>
        </w:r>
      </w:hyperlink>
      <w:r w:rsidRPr="0075538A">
        <w:rPr>
          <w:rFonts w:eastAsia="Arial"/>
        </w:rPr>
        <w:t xml:space="preserve"> and </w:t>
      </w:r>
      <w:hyperlink r:id="rId9" w:history="1">
        <w:r w:rsidRPr="00CB7302">
          <w:rPr>
            <w:rStyle w:val="Hyperlink"/>
            <w:rFonts w:eastAsia="Arial"/>
          </w:rPr>
          <w:t>risk assessment case studies</w:t>
        </w:r>
      </w:hyperlink>
      <w:r w:rsidRPr="0075538A">
        <w:rPr>
          <w:rFonts w:eastAsia="Arial"/>
        </w:rPr>
        <w:t>).</w:t>
      </w:r>
    </w:p>
    <w:p w14:paraId="005F9855" w14:textId="77777777" w:rsidR="0075538A" w:rsidRPr="0075538A" w:rsidRDefault="0075538A" w:rsidP="009F4AC7">
      <w:pPr>
        <w:pStyle w:val="ListBullet2"/>
        <w:ind w:left="1276"/>
        <w:rPr>
          <w:rFonts w:eastAsia="Arial"/>
          <w:b/>
          <w:bCs/>
        </w:rPr>
      </w:pPr>
      <w:r w:rsidRPr="0075538A">
        <w:rPr>
          <w:rFonts w:eastAsia="Arial"/>
        </w:rPr>
        <w:t xml:space="preserve">The researcher </w:t>
      </w:r>
      <w:r w:rsidR="00DA704E">
        <w:rPr>
          <w:rFonts w:eastAsia="Arial"/>
        </w:rPr>
        <w:t>m</w:t>
      </w:r>
      <w:r w:rsidRPr="0075538A">
        <w:rPr>
          <w:rFonts w:eastAsia="Arial"/>
        </w:rPr>
        <w:t>u</w:t>
      </w:r>
      <w:r w:rsidR="00DA704E">
        <w:rPr>
          <w:rFonts w:eastAsia="Arial"/>
        </w:rPr>
        <w:t>st</w:t>
      </w:r>
      <w:r w:rsidRPr="0075538A">
        <w:rPr>
          <w:rFonts w:eastAsia="Arial"/>
        </w:rPr>
        <w:t xml:space="preserve"> be trained and proficient in using hand and power tools and must understand the risks of RCS.</w:t>
      </w:r>
    </w:p>
    <w:p w14:paraId="6E639ADD" w14:textId="4DACFA78" w:rsidR="0075538A" w:rsidRPr="0075538A" w:rsidRDefault="0075538A" w:rsidP="009F4AC7">
      <w:pPr>
        <w:pStyle w:val="ListBullet2"/>
        <w:ind w:left="1276"/>
        <w:rPr>
          <w:rFonts w:eastAsia="Arial"/>
          <w:b/>
          <w:bCs/>
        </w:rPr>
      </w:pPr>
      <w:r w:rsidRPr="0075538A">
        <w:rPr>
          <w:rFonts w:eastAsia="Arial"/>
        </w:rPr>
        <w:t xml:space="preserve">Any processing of the engineered stone must be controlled (see Part 2.3 of the </w:t>
      </w:r>
      <w:hyperlink r:id="rId10" w:history="1">
        <w:r w:rsidRPr="000026D8">
          <w:rPr>
            <w:rStyle w:val="Hyperlink"/>
            <w:rFonts w:eastAsia="Arial"/>
          </w:rPr>
          <w:t>Silica Code</w:t>
        </w:r>
      </w:hyperlink>
      <w:r w:rsidRPr="0075538A">
        <w:rPr>
          <w:rFonts w:eastAsia="Arial"/>
        </w:rPr>
        <w:t>).</w:t>
      </w:r>
    </w:p>
    <w:p w14:paraId="7E391402" w14:textId="77777777" w:rsidR="0075538A" w:rsidRPr="003B6933" w:rsidRDefault="0075538A" w:rsidP="0075538A">
      <w:pPr>
        <w:pStyle w:val="SWAHeading1"/>
        <w:pageBreakBefore w:val="0"/>
        <w:numPr>
          <w:ilvl w:val="0"/>
          <w:numId w:val="40"/>
        </w:numPr>
        <w:ind w:left="567" w:hanging="567"/>
      </w:pPr>
      <w:bookmarkStart w:id="1" w:name="_Toc201904695"/>
      <w:r w:rsidRPr="003B6933">
        <w:t>Permitted work with legacy engineered stone for repair, removal, minor modification and disposal</w:t>
      </w:r>
      <w:bookmarkEnd w:id="1"/>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75538A" w:rsidRPr="003B6933" w14:paraId="25083A87" w14:textId="77777777" w:rsidTr="00B76334">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hideMark/>
          </w:tcPr>
          <w:p w14:paraId="6EC18563" w14:textId="77777777" w:rsidR="0075538A" w:rsidRPr="0075538A" w:rsidRDefault="0075538A" w:rsidP="00B76334">
            <w:pPr>
              <w:rPr>
                <w:b w:val="0"/>
                <w:sz w:val="22"/>
                <w:szCs w:val="22"/>
              </w:rPr>
            </w:pPr>
            <w:r w:rsidRPr="0075538A">
              <w:rPr>
                <w:bCs/>
                <w:sz w:val="22"/>
                <w:szCs w:val="22"/>
              </w:rPr>
              <w:t>WHS Regulation 529F</w:t>
            </w:r>
          </w:p>
          <w:p w14:paraId="11272021" w14:textId="77777777" w:rsidR="0075538A" w:rsidRPr="0075538A" w:rsidRDefault="0075538A" w:rsidP="00B76334">
            <w:pPr>
              <w:rPr>
                <w:b w:val="0"/>
                <w:bCs/>
                <w:color w:val="767171" w:themeColor="background2" w:themeShade="80"/>
                <w:sz w:val="24"/>
              </w:rPr>
            </w:pPr>
            <w:r w:rsidRPr="0075538A">
              <w:rPr>
                <w:b w:val="0"/>
                <w:bCs/>
                <w:sz w:val="22"/>
                <w:szCs w:val="22"/>
              </w:rPr>
              <w:t xml:space="preserve">Exception to process legacy engineered stone for repair, removal, minor modification and disposal. </w:t>
            </w:r>
          </w:p>
        </w:tc>
      </w:tr>
    </w:tbl>
    <w:p w14:paraId="47BA0AC9" w14:textId="77777777" w:rsidR="0075538A" w:rsidRPr="0075538A" w:rsidRDefault="0075538A" w:rsidP="00867986">
      <w:pPr>
        <w:pStyle w:val="Paragraph"/>
        <w:spacing w:after="80"/>
        <w:rPr>
          <w:rFonts w:cs="Arial"/>
          <w:szCs w:val="22"/>
        </w:rPr>
      </w:pPr>
      <w:r>
        <w:rPr>
          <w:rFonts w:cs="Arial"/>
        </w:rPr>
        <w:br/>
      </w:r>
      <w:r w:rsidRPr="0075538A">
        <w:rPr>
          <w:rFonts w:cs="Arial"/>
          <w:szCs w:val="22"/>
        </w:rPr>
        <w:t>Regulation 529F permits the controlled processing of legacy engineered stone benchtops, panels or slabs for the limited purposes of:</w:t>
      </w:r>
    </w:p>
    <w:p w14:paraId="473C8E45" w14:textId="77777777" w:rsidR="0075538A" w:rsidRPr="0075538A" w:rsidRDefault="0075538A" w:rsidP="009F4AC7">
      <w:pPr>
        <w:pStyle w:val="ListBullet"/>
      </w:pPr>
      <w:r w:rsidRPr="0075538A">
        <w:t>removal, repair and minor modification to previously installed engineered stone, or</w:t>
      </w:r>
    </w:p>
    <w:p w14:paraId="792AD151" w14:textId="77777777" w:rsidR="0075538A" w:rsidRPr="0075538A" w:rsidRDefault="0075538A" w:rsidP="009F4AC7">
      <w:pPr>
        <w:pStyle w:val="ListBullet"/>
      </w:pPr>
      <w:r w:rsidRPr="0075538A">
        <w:t>disposal of engineered stone (i.e. after removal, or disposal of uninstalled stock).</w:t>
      </w:r>
    </w:p>
    <w:p w14:paraId="7AAD11F9" w14:textId="77777777" w:rsidR="0075538A" w:rsidRPr="0075538A" w:rsidRDefault="0075538A" w:rsidP="009F4AC7">
      <w:pPr>
        <w:pStyle w:val="Heading3"/>
      </w:pPr>
      <w:r w:rsidRPr="0075538A">
        <w:t>Example 1:</w:t>
      </w:r>
    </w:p>
    <w:p w14:paraId="5C977FE8" w14:textId="77777777" w:rsidR="009F4AC7" w:rsidRDefault="0075538A" w:rsidP="009F4AC7">
      <w:pPr>
        <w:tabs>
          <w:tab w:val="num" w:pos="360"/>
        </w:tabs>
        <w:spacing w:after="80"/>
        <w:rPr>
          <w:rFonts w:eastAsia="Arial"/>
          <w:b/>
          <w:bCs/>
          <w:color w:val="000000" w:themeColor="text1"/>
          <w:szCs w:val="22"/>
        </w:rPr>
      </w:pPr>
      <w:r w:rsidRPr="0075538A">
        <w:rPr>
          <w:rFonts w:eastAsia="Arial"/>
          <w:color w:val="000000" w:themeColor="text1"/>
          <w:szCs w:val="22"/>
        </w:rPr>
        <w:t>A worker repairs a crack in an engineered stone benchtop installed in a kitchen. To repair the engineered stone, a worker needs to fill the crack with liquid resin and use power tools to level and re-polish the engineered stone.</w:t>
      </w:r>
    </w:p>
    <w:p w14:paraId="3B12CA43" w14:textId="77777777" w:rsidR="0075538A" w:rsidRPr="009F4AC7" w:rsidRDefault="0075538A" w:rsidP="009F4AC7">
      <w:pPr>
        <w:pStyle w:val="Heading3"/>
      </w:pPr>
      <w:r w:rsidRPr="0075538A">
        <w:t>Example 2:</w:t>
      </w:r>
    </w:p>
    <w:p w14:paraId="5AE64428" w14:textId="77777777" w:rsidR="009F4AC7" w:rsidRDefault="0075538A" w:rsidP="00867986">
      <w:pPr>
        <w:tabs>
          <w:tab w:val="num" w:pos="360"/>
        </w:tabs>
        <w:spacing w:after="80"/>
        <w:rPr>
          <w:rFonts w:eastAsia="Arial"/>
          <w:color w:val="000000" w:themeColor="text1"/>
          <w:szCs w:val="22"/>
        </w:rPr>
      </w:pPr>
      <w:r w:rsidRPr="0075538A">
        <w:rPr>
          <w:rFonts w:eastAsia="Arial"/>
          <w:color w:val="000000" w:themeColor="text1"/>
          <w:szCs w:val="22"/>
        </w:rPr>
        <w:t>A worker makes a minor modification by creating a hole in a splashback to install a new power point. The worker uses a power drill to create the hole.</w:t>
      </w:r>
    </w:p>
    <w:p w14:paraId="4ED187E0" w14:textId="77777777" w:rsidR="0075538A" w:rsidRPr="009F4AC7" w:rsidRDefault="0075538A" w:rsidP="009F4AC7">
      <w:pPr>
        <w:pStyle w:val="Heading3"/>
      </w:pPr>
      <w:r w:rsidRPr="0075538A">
        <w:t>Example 3:</w:t>
      </w:r>
    </w:p>
    <w:p w14:paraId="575671F1" w14:textId="77777777" w:rsidR="009F4AC7" w:rsidRDefault="0075538A" w:rsidP="009F4AC7">
      <w:pPr>
        <w:tabs>
          <w:tab w:val="num" w:pos="360"/>
        </w:tabs>
        <w:spacing w:after="80"/>
        <w:rPr>
          <w:rFonts w:eastAsia="Arial"/>
          <w:color w:val="000000" w:themeColor="text1"/>
          <w:szCs w:val="22"/>
        </w:rPr>
      </w:pPr>
      <w:r w:rsidRPr="0075538A">
        <w:rPr>
          <w:rFonts w:eastAsia="Arial"/>
          <w:color w:val="000000" w:themeColor="text1"/>
          <w:szCs w:val="22"/>
        </w:rPr>
        <w:t>A worker replaces the stovetop in an engineered stone benchtop. The replacement stovetop is the same dimensions as the existing one but has slightly different installation specifications. To install it, the worker uses a power tool to trim one side of the existing hole in the engineered stone benchtop to make the minor modification to fit the replacement stovetop correctly.</w:t>
      </w:r>
    </w:p>
    <w:p w14:paraId="2A5E1507" w14:textId="77777777" w:rsidR="009F4AC7" w:rsidRDefault="009F4AC7">
      <w:pPr>
        <w:spacing w:before="0" w:after="200" w:line="276" w:lineRule="auto"/>
        <w:rPr>
          <w:rFonts w:eastAsia="Arial"/>
          <w:color w:val="000000" w:themeColor="text1"/>
          <w:szCs w:val="22"/>
        </w:rPr>
      </w:pPr>
      <w:r>
        <w:rPr>
          <w:rFonts w:eastAsia="Arial"/>
          <w:color w:val="000000" w:themeColor="text1"/>
          <w:szCs w:val="22"/>
        </w:rPr>
        <w:br w:type="page"/>
      </w:r>
    </w:p>
    <w:p w14:paraId="76596549" w14:textId="77777777" w:rsidR="0075538A" w:rsidRPr="009F4AC7" w:rsidRDefault="0075538A" w:rsidP="009F4AC7">
      <w:pPr>
        <w:pStyle w:val="Heading3"/>
        <w:rPr>
          <w:rFonts w:eastAsia="Arial"/>
          <w:color w:val="000000" w:themeColor="text1"/>
          <w:szCs w:val="22"/>
        </w:rPr>
      </w:pPr>
      <w:r w:rsidRPr="0075538A">
        <w:lastRenderedPageBreak/>
        <w:t>Example 4:</w:t>
      </w:r>
    </w:p>
    <w:p w14:paraId="5E8FA71D" w14:textId="77777777" w:rsidR="0075538A" w:rsidRPr="0075538A" w:rsidRDefault="0075538A" w:rsidP="00867986">
      <w:pPr>
        <w:tabs>
          <w:tab w:val="num" w:pos="360"/>
        </w:tabs>
        <w:spacing w:after="80"/>
        <w:rPr>
          <w:rFonts w:eastAsia="Arial"/>
          <w:color w:val="000000" w:themeColor="text1"/>
          <w:szCs w:val="22"/>
        </w:rPr>
      </w:pPr>
      <w:r w:rsidRPr="0075538A">
        <w:rPr>
          <w:rFonts w:eastAsia="Arial"/>
          <w:color w:val="000000" w:themeColor="text1"/>
          <w:szCs w:val="22"/>
        </w:rPr>
        <w:t>A worker uses power tools to remove an engineered stone benchtop and splashback as part of a kitchen renovation. The worker then uses mechanical plant with wet dust suppression methods to crush the engineered stone to facilitate easier disposal. The crushed stone is then taken to a local waste management site.</w:t>
      </w:r>
    </w:p>
    <w:p w14:paraId="480AFEA4" w14:textId="77777777" w:rsidR="0075538A" w:rsidRPr="0075538A" w:rsidRDefault="0075538A" w:rsidP="009F4AC7">
      <w:pPr>
        <w:pStyle w:val="Heading3"/>
      </w:pPr>
      <w:r w:rsidRPr="0075538A">
        <w:t>Summary of WHS duties:</w:t>
      </w:r>
    </w:p>
    <w:p w14:paraId="68D7C420" w14:textId="77777777" w:rsidR="0075538A" w:rsidRPr="0075538A" w:rsidRDefault="0075538A" w:rsidP="00867986">
      <w:pPr>
        <w:tabs>
          <w:tab w:val="num" w:pos="360"/>
        </w:tabs>
        <w:spacing w:after="80"/>
        <w:rPr>
          <w:rFonts w:eastAsia="Arial"/>
          <w:color w:val="000000" w:themeColor="text1"/>
          <w:szCs w:val="22"/>
        </w:rPr>
      </w:pPr>
      <w:r w:rsidRPr="0075538A">
        <w:rPr>
          <w:rFonts w:eastAsia="Arial"/>
          <w:color w:val="000000" w:themeColor="text1"/>
          <w:szCs w:val="22"/>
        </w:rPr>
        <w:t>The above examples of work with legacy engineered stone are permitted, provided the PCBU:</w:t>
      </w:r>
    </w:p>
    <w:p w14:paraId="388BE4B4" w14:textId="01153D66" w:rsidR="0075538A" w:rsidRPr="009F4AC7" w:rsidRDefault="0075538A" w:rsidP="009F4AC7">
      <w:pPr>
        <w:pStyle w:val="ListBullet"/>
      </w:pPr>
      <w:bookmarkStart w:id="2" w:name="_Toc201904696"/>
      <w:r w:rsidRPr="009F4AC7">
        <w:t xml:space="preserve">provides prior written notice of the work to the WHS Regulator (see Part 5.3 of the </w:t>
      </w:r>
      <w:hyperlink r:id="rId11" w:history="1">
        <w:r w:rsidRPr="000026D8">
          <w:rPr>
            <w:rStyle w:val="Hyperlink"/>
          </w:rPr>
          <w:t>Silica Code</w:t>
        </w:r>
      </w:hyperlink>
      <w:r w:rsidRPr="009F4AC7">
        <w:t>),</w:t>
      </w:r>
      <w:bookmarkEnd w:id="2"/>
    </w:p>
    <w:p w14:paraId="69D1A880" w14:textId="5D8E4950" w:rsidR="001F3ED4" w:rsidRPr="009F4AC7" w:rsidRDefault="0075538A" w:rsidP="009F4AC7">
      <w:pPr>
        <w:pStyle w:val="ListBullet"/>
      </w:pPr>
      <w:bookmarkStart w:id="3" w:name="_Toc201904697"/>
      <w:r w:rsidRPr="009F4AC7">
        <w:t xml:space="preserve">conducts a risk assessment to determine if the processing is high risk (see Part 2.5 of the </w:t>
      </w:r>
      <w:hyperlink r:id="rId12" w:history="1">
        <w:r w:rsidRPr="000026D8">
          <w:rPr>
            <w:rStyle w:val="Hyperlink"/>
          </w:rPr>
          <w:t>Silica Code</w:t>
        </w:r>
      </w:hyperlink>
      <w:r w:rsidRPr="009F4AC7">
        <w:t xml:space="preserve"> and </w:t>
      </w:r>
      <w:hyperlink r:id="rId13" w:history="1">
        <w:r w:rsidRPr="00CB61BE">
          <w:rPr>
            <w:rStyle w:val="Hyperlink"/>
          </w:rPr>
          <w:t>risk assessment case studies</w:t>
        </w:r>
      </w:hyperlink>
      <w:r w:rsidRPr="009F4AC7">
        <w:t>), and</w:t>
      </w:r>
      <w:bookmarkEnd w:id="3"/>
    </w:p>
    <w:p w14:paraId="2B3A31E9" w14:textId="5C0A9F6A" w:rsidR="0075538A" w:rsidRPr="004168DA" w:rsidRDefault="0075538A" w:rsidP="009F4AC7">
      <w:pPr>
        <w:pStyle w:val="ListBullet"/>
      </w:pPr>
      <w:r w:rsidRPr="009F4AC7">
        <w:t xml:space="preserve">ensures any processing of the engineered stone is controlled (see Part 2.3 of the </w:t>
      </w:r>
      <w:hyperlink r:id="rId14" w:history="1">
        <w:r w:rsidRPr="000026D8">
          <w:rPr>
            <w:rStyle w:val="Hyperlink"/>
          </w:rPr>
          <w:t>Silica Code</w:t>
        </w:r>
      </w:hyperlink>
      <w:r w:rsidRPr="004168DA">
        <w:t>).</w:t>
      </w:r>
    </w:p>
    <w:p w14:paraId="72997156" w14:textId="77777777" w:rsidR="0075538A" w:rsidRPr="0075538A" w:rsidRDefault="0075538A" w:rsidP="0075538A">
      <w:pPr>
        <w:rPr>
          <w:rFonts w:eastAsia="Arial"/>
          <w:color w:val="000000" w:themeColor="text1"/>
          <w:szCs w:val="22"/>
        </w:rPr>
      </w:pPr>
      <w:r w:rsidRPr="0075538A">
        <w:rPr>
          <w:rFonts w:eastAsia="Arial"/>
          <w:color w:val="000000" w:themeColor="text1"/>
          <w:szCs w:val="22"/>
        </w:rPr>
        <w:t>If the PCBU carries out work involving processing of a stone product for removal, disposal, repair or minor modification which is subsequently identified as engineered stone, the PCBU must, as soon as practicable after they become so aware, notify the WHS regulator.</w:t>
      </w:r>
    </w:p>
    <w:p w14:paraId="039DEB34" w14:textId="77777777" w:rsidR="0075538A" w:rsidRPr="0075538A" w:rsidRDefault="0075538A">
      <w:pPr>
        <w:rPr>
          <w:szCs w:val="22"/>
        </w:rPr>
      </w:pPr>
      <w:r w:rsidRPr="0075538A">
        <w:rPr>
          <w:rFonts w:eastAsia="Arial"/>
          <w:color w:val="000000" w:themeColor="text1"/>
          <w:szCs w:val="22"/>
        </w:rPr>
        <w:t xml:space="preserve">Under certain circumstances, WHS Regulators may grant an exemption on their own initiative under the general exemption power in regulation 684 to allow for the reinstallation of legacy stone benchtops, panels and slabs, for example if it was removed for the purpose of fixing underlying cabinetry or plumbing. Contact your </w:t>
      </w:r>
      <w:hyperlink r:id="rId15" w:history="1">
        <w:r w:rsidRPr="0075538A">
          <w:rPr>
            <w:rStyle w:val="Hyperlink"/>
            <w:rFonts w:eastAsia="Arial"/>
            <w:szCs w:val="22"/>
          </w:rPr>
          <w:t>WHS Regulator</w:t>
        </w:r>
      </w:hyperlink>
      <w:r w:rsidRPr="0075538A">
        <w:rPr>
          <w:rFonts w:eastAsia="Arial"/>
          <w:color w:val="000000" w:themeColor="text1"/>
          <w:szCs w:val="22"/>
        </w:rPr>
        <w:t xml:space="preserve"> for further information about whether an exemption is in place. </w:t>
      </w:r>
    </w:p>
    <w:p w14:paraId="5C54E036" w14:textId="77777777" w:rsidR="000B52C0" w:rsidRPr="0075538A" w:rsidRDefault="000B52C0" w:rsidP="0075538A"/>
    <w:sectPr w:rsidR="000B52C0" w:rsidRPr="0075538A" w:rsidSect="009F4AC7">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9FCC" w14:textId="77777777" w:rsidR="00EC2C79" w:rsidRDefault="00EC2C79" w:rsidP="00BB2A1B">
      <w:pPr>
        <w:spacing w:after="0"/>
      </w:pPr>
      <w:r>
        <w:separator/>
      </w:r>
    </w:p>
  </w:endnote>
  <w:endnote w:type="continuationSeparator" w:id="0">
    <w:p w14:paraId="615C928A" w14:textId="77777777" w:rsidR="00EC2C79" w:rsidRDefault="00EC2C79"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D276" w14:textId="77777777"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75538A">
      <w:rPr>
        <w:b/>
        <w:bCs/>
        <w:sz w:val="18"/>
        <w:szCs w:val="28"/>
      </w:rPr>
      <w:t>August 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68DD" w14:textId="77777777"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700736"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1125011865" name="Graphic 11250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75538A">
      <w:rPr>
        <w:b/>
        <w:bCs/>
        <w:sz w:val="18"/>
        <w:szCs w:val="28"/>
      </w:rPr>
      <w:t xml:space="preserve">SWA.GOV.AU | </w:t>
    </w:r>
    <w:r w:rsidR="0075538A" w:rsidRPr="0075538A">
      <w:rPr>
        <w:b/>
        <w:bCs/>
        <w:sz w:val="18"/>
        <w:szCs w:val="28"/>
      </w:rPr>
      <w:t>August</w:t>
    </w:r>
    <w:r w:rsidR="009335F0" w:rsidRPr="0075538A">
      <w:rPr>
        <w:b/>
        <w:bCs/>
        <w:sz w:val="18"/>
        <w:szCs w:val="28"/>
      </w:rPr>
      <w:t xml:space="preserve"> </w:t>
    </w:r>
    <w:r w:rsidR="0075538A" w:rsidRPr="0075538A">
      <w:rPr>
        <w:b/>
        <w:bCs/>
        <w:sz w:val="18"/>
        <w:szCs w:val="28"/>
      </w:rPr>
      <w:t>2025</w:t>
    </w:r>
    <w:r w:rsidR="009335F0" w:rsidRPr="0075538A">
      <w:rPr>
        <w:b/>
        <w:bCs/>
        <w:sz w:val="18"/>
        <w:szCs w:val="28"/>
      </w:rPr>
      <w:t xml:space="preserve"> | </w:t>
    </w:r>
    <w:r w:rsidR="00BB2A1B" w:rsidRPr="0075538A">
      <w:rPr>
        <w:b/>
        <w:bCs/>
        <w:sz w:val="18"/>
        <w:szCs w:val="28"/>
      </w:rPr>
      <w:t>Page</w:t>
    </w:r>
    <w:r w:rsidR="00BB2A1B" w:rsidRPr="009335F0">
      <w:rPr>
        <w:b/>
        <w:bCs/>
        <w:sz w:val="18"/>
        <w:szCs w:val="28"/>
      </w:rPr>
      <w:t xml:space="preserv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7C57" w14:textId="77777777" w:rsidR="00EC2C79" w:rsidRDefault="00EC2C79" w:rsidP="00BB2A1B">
      <w:pPr>
        <w:spacing w:after="0"/>
      </w:pPr>
      <w:r>
        <w:separator/>
      </w:r>
    </w:p>
  </w:footnote>
  <w:footnote w:type="continuationSeparator" w:id="0">
    <w:p w14:paraId="21B6CCD3" w14:textId="77777777" w:rsidR="00EC2C79" w:rsidRDefault="00EC2C79"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7986" w14:textId="77777777" w:rsidR="009335F0" w:rsidRPr="00A82044" w:rsidRDefault="009F4AC7" w:rsidP="00825513">
    <w:pPr>
      <w:pStyle w:val="Header"/>
    </w:pPr>
    <w:r w:rsidRPr="00A82044">
      <mc:AlternateContent>
        <mc:Choice Requires="wps">
          <w:drawing>
            <wp:anchor distT="0" distB="0" distL="114300" distR="114300" simplePos="0" relativeHeight="251663872" behindDoc="1" locked="0" layoutInCell="1" allowOverlap="1" wp14:anchorId="58054FEF" wp14:editId="52DECE40">
              <wp:simplePos x="0" y="0"/>
              <wp:positionH relativeFrom="column">
                <wp:posOffset>720563</wp:posOffset>
              </wp:positionH>
              <wp:positionV relativeFrom="paragraph">
                <wp:posOffset>50165</wp:posOffset>
              </wp:positionV>
              <wp:extent cx="5273040" cy="188595"/>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040" cy="188595"/>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559F5" id="Freeform: Shape 11" o:spid="_x0000_s1026" style="position:absolute;margin-left:56.75pt;margin-top:3.95pt;width:415.2pt;height:14.85pt;z-index:-251652608;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vrgQAAKUOAAAOAAAAZHJzL2Uyb0RvYy54bWysV9tu4zYQfS/QfyD0WCBrUXcZcRZpghQF&#10;stsASbHbR5qmYgGSqJJ07OzXdziUbDrrVs6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8,56;55,23702;1676,34439;38142,154085;84518,188596;5236956,188596;5273040,152817;5273040,152690;5273040,36343;5236956,310" o:connectangles="0,0,0,0,0,0,0,0,0,0"/>
            </v:shape>
          </w:pict>
        </mc:Fallback>
      </mc:AlternateContent>
    </w:r>
    <w:r w:rsidR="00A82044" w:rsidRPr="00A82044">
      <mc:AlternateContent>
        <mc:Choice Requires="wps">
          <w:drawing>
            <wp:anchor distT="0" distB="0" distL="114300" distR="114300" simplePos="0" relativeHeight="251644416" behindDoc="1" locked="0" layoutInCell="1" allowOverlap="1" wp14:anchorId="408DEEDD" wp14:editId="38732CCA">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04B9B" id="Freeform: Shape 10" o:spid="_x0000_s1026" style="position:absolute;margin-left:-17.75pt;margin-top:3.9pt;width:12.4pt;height:14.9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75538A">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8C4B" w14:textId="77777777" w:rsidR="00BB2A1B" w:rsidRPr="00825513" w:rsidRDefault="009F4AC7" w:rsidP="00825513">
    <w:pPr>
      <w:pStyle w:val="Header"/>
    </w:pPr>
    <w:r w:rsidRPr="00825513">
      <mc:AlternateContent>
        <mc:Choice Requires="wps">
          <w:drawing>
            <wp:anchor distT="0" distB="0" distL="114300" distR="114300" simplePos="0" relativeHeight="251624960" behindDoc="1" locked="0" layoutInCell="1" allowOverlap="1" wp14:anchorId="2E813433" wp14:editId="47C4158F">
              <wp:simplePos x="0" y="0"/>
              <wp:positionH relativeFrom="column">
                <wp:posOffset>4094480</wp:posOffset>
              </wp:positionH>
              <wp:positionV relativeFrom="paragraph">
                <wp:posOffset>19847</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103945" id="Freeform: Shape 8" o:spid="_x0000_s1026" style="position:absolute;margin-left:322.4pt;margin-top:1.55pt;width:164.8pt;height:180.4pt;z-index:-251691520;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825513">
      <mc:AlternateContent>
        <mc:Choice Requires="wps">
          <w:drawing>
            <wp:anchor distT="0" distB="0" distL="114300" distR="114300" simplePos="0" relativeHeight="251617792" behindDoc="1" locked="0" layoutInCell="1" allowOverlap="1" wp14:anchorId="2EAD8780" wp14:editId="44C5B886">
              <wp:simplePos x="0" y="0"/>
              <wp:positionH relativeFrom="column">
                <wp:posOffset>-266065</wp:posOffset>
              </wp:positionH>
              <wp:positionV relativeFrom="paragraph">
                <wp:posOffset>72552</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37E32" id="Freeform: Shape 6" o:spid="_x0000_s1026" style="position:absolute;margin-left:-20.95pt;margin-top:5.7pt;width:12.4pt;height:14.9pt;z-index:-251698688;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75538A">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3933F9"/>
    <w:multiLevelType w:val="hybridMultilevel"/>
    <w:tmpl w:val="3DCE8510"/>
    <w:lvl w:ilvl="0" w:tplc="201C5E90">
      <w:start w:val="1"/>
      <w:numFmt w:val="lowerLetter"/>
      <w:lvlText w:val="%1."/>
      <w:lvlJc w:val="left"/>
      <w:pPr>
        <w:ind w:left="720" w:hanging="360"/>
      </w:pPr>
    </w:lvl>
    <w:lvl w:ilvl="1" w:tplc="14CEA98E">
      <w:start w:val="1"/>
      <w:numFmt w:val="lowerLetter"/>
      <w:lvlText w:val="%2."/>
      <w:lvlJc w:val="left"/>
      <w:pPr>
        <w:ind w:left="1440" w:hanging="360"/>
      </w:pPr>
    </w:lvl>
    <w:lvl w:ilvl="2" w:tplc="3814C888">
      <w:start w:val="1"/>
      <w:numFmt w:val="lowerRoman"/>
      <w:lvlText w:val="%3."/>
      <w:lvlJc w:val="right"/>
      <w:pPr>
        <w:ind w:left="2160" w:hanging="180"/>
      </w:pPr>
    </w:lvl>
    <w:lvl w:ilvl="3" w:tplc="84C8934A">
      <w:start w:val="1"/>
      <w:numFmt w:val="decimal"/>
      <w:lvlText w:val="%4."/>
      <w:lvlJc w:val="left"/>
      <w:pPr>
        <w:ind w:left="2880" w:hanging="360"/>
      </w:pPr>
    </w:lvl>
    <w:lvl w:ilvl="4" w:tplc="0E949D68">
      <w:start w:val="1"/>
      <w:numFmt w:val="lowerLetter"/>
      <w:lvlText w:val="%5."/>
      <w:lvlJc w:val="left"/>
      <w:pPr>
        <w:ind w:left="3600" w:hanging="360"/>
      </w:pPr>
    </w:lvl>
    <w:lvl w:ilvl="5" w:tplc="41F23BF8">
      <w:start w:val="1"/>
      <w:numFmt w:val="lowerRoman"/>
      <w:lvlText w:val="%6."/>
      <w:lvlJc w:val="right"/>
      <w:pPr>
        <w:ind w:left="4320" w:hanging="180"/>
      </w:pPr>
    </w:lvl>
    <w:lvl w:ilvl="6" w:tplc="133C5464">
      <w:start w:val="1"/>
      <w:numFmt w:val="decimal"/>
      <w:lvlText w:val="%7."/>
      <w:lvlJc w:val="left"/>
      <w:pPr>
        <w:ind w:left="5040" w:hanging="360"/>
      </w:pPr>
    </w:lvl>
    <w:lvl w:ilvl="7" w:tplc="D34A7964">
      <w:start w:val="1"/>
      <w:numFmt w:val="lowerLetter"/>
      <w:lvlText w:val="%8."/>
      <w:lvlJc w:val="left"/>
      <w:pPr>
        <w:ind w:left="5760" w:hanging="360"/>
      </w:pPr>
    </w:lvl>
    <w:lvl w:ilvl="8" w:tplc="8A021216">
      <w:start w:val="1"/>
      <w:numFmt w:val="lowerRoman"/>
      <w:lvlText w:val="%9."/>
      <w:lvlJc w:val="right"/>
      <w:pPr>
        <w:ind w:left="6480" w:hanging="180"/>
      </w:p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45D9F"/>
    <w:multiLevelType w:val="hybridMultilevel"/>
    <w:tmpl w:val="C3761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4458A5"/>
    <w:multiLevelType w:val="hybridMultilevel"/>
    <w:tmpl w:val="7096B8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63E72875"/>
    <w:multiLevelType w:val="hybridMultilevel"/>
    <w:tmpl w:val="696603C2"/>
    <w:lvl w:ilvl="0" w:tplc="7FBCC944">
      <w:start w:val="1"/>
      <w:numFmt w:val="bullet"/>
      <w:lvlText w:val="·"/>
      <w:lvlJc w:val="left"/>
      <w:pPr>
        <w:ind w:left="720" w:hanging="360"/>
      </w:pPr>
      <w:rPr>
        <w:rFonts w:ascii="Symbol" w:hAnsi="Symbol" w:hint="default"/>
        <w:sz w:val="22"/>
        <w:szCs w:val="22"/>
      </w:rPr>
    </w:lvl>
    <w:lvl w:ilvl="1" w:tplc="E8CEDA50">
      <w:start w:val="1"/>
      <w:numFmt w:val="bullet"/>
      <w:lvlText w:val="o"/>
      <w:lvlJc w:val="left"/>
      <w:pPr>
        <w:ind w:left="1440" w:hanging="360"/>
      </w:pPr>
      <w:rPr>
        <w:rFonts w:ascii="Courier New" w:hAnsi="Courier New" w:hint="default"/>
      </w:rPr>
    </w:lvl>
    <w:lvl w:ilvl="2" w:tplc="DDD84718">
      <w:start w:val="1"/>
      <w:numFmt w:val="bullet"/>
      <w:lvlText w:val=""/>
      <w:lvlJc w:val="left"/>
      <w:pPr>
        <w:ind w:left="2160" w:hanging="360"/>
      </w:pPr>
      <w:rPr>
        <w:rFonts w:ascii="Wingdings" w:hAnsi="Wingdings" w:hint="default"/>
      </w:rPr>
    </w:lvl>
    <w:lvl w:ilvl="3" w:tplc="C338B77E">
      <w:start w:val="1"/>
      <w:numFmt w:val="bullet"/>
      <w:lvlText w:val=""/>
      <w:lvlJc w:val="left"/>
      <w:pPr>
        <w:ind w:left="2880" w:hanging="360"/>
      </w:pPr>
      <w:rPr>
        <w:rFonts w:ascii="Symbol" w:hAnsi="Symbol" w:hint="default"/>
      </w:rPr>
    </w:lvl>
    <w:lvl w:ilvl="4" w:tplc="CB7AABEE">
      <w:start w:val="1"/>
      <w:numFmt w:val="bullet"/>
      <w:lvlText w:val="o"/>
      <w:lvlJc w:val="left"/>
      <w:pPr>
        <w:ind w:left="3600" w:hanging="360"/>
      </w:pPr>
      <w:rPr>
        <w:rFonts w:ascii="Courier New" w:hAnsi="Courier New" w:hint="default"/>
      </w:rPr>
    </w:lvl>
    <w:lvl w:ilvl="5" w:tplc="3C3A0CE2">
      <w:start w:val="1"/>
      <w:numFmt w:val="bullet"/>
      <w:lvlText w:val=""/>
      <w:lvlJc w:val="left"/>
      <w:pPr>
        <w:ind w:left="4320" w:hanging="360"/>
      </w:pPr>
      <w:rPr>
        <w:rFonts w:ascii="Wingdings" w:hAnsi="Wingdings" w:hint="default"/>
      </w:rPr>
    </w:lvl>
    <w:lvl w:ilvl="6" w:tplc="95E037F6">
      <w:start w:val="1"/>
      <w:numFmt w:val="bullet"/>
      <w:lvlText w:val=""/>
      <w:lvlJc w:val="left"/>
      <w:pPr>
        <w:ind w:left="5040" w:hanging="360"/>
      </w:pPr>
      <w:rPr>
        <w:rFonts w:ascii="Symbol" w:hAnsi="Symbol" w:hint="default"/>
      </w:rPr>
    </w:lvl>
    <w:lvl w:ilvl="7" w:tplc="60F6484C">
      <w:start w:val="1"/>
      <w:numFmt w:val="bullet"/>
      <w:lvlText w:val="o"/>
      <w:lvlJc w:val="left"/>
      <w:pPr>
        <w:ind w:left="5760" w:hanging="360"/>
      </w:pPr>
      <w:rPr>
        <w:rFonts w:ascii="Courier New" w:hAnsi="Courier New" w:hint="default"/>
      </w:rPr>
    </w:lvl>
    <w:lvl w:ilvl="8" w:tplc="F51CB406">
      <w:start w:val="1"/>
      <w:numFmt w:val="bullet"/>
      <w:lvlText w:val=""/>
      <w:lvlJc w:val="left"/>
      <w:pPr>
        <w:ind w:left="6480" w:hanging="360"/>
      </w:pPr>
      <w:rPr>
        <w:rFonts w:ascii="Wingdings" w:hAnsi="Wingdings" w:hint="default"/>
      </w:rPr>
    </w:lvl>
  </w:abstractNum>
  <w:abstractNum w:abstractNumId="16" w15:restartNumberingAfterBreak="0">
    <w:nsid w:val="66C307CD"/>
    <w:multiLevelType w:val="hybridMultilevel"/>
    <w:tmpl w:val="CD363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C1B825CC"/>
    <w:lvl w:ilvl="0" w:tplc="5E7C27F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10"/>
  </w:num>
  <w:num w:numId="2" w16cid:durableId="1193615881">
    <w:abstractNumId w:val="7"/>
  </w:num>
  <w:num w:numId="3" w16cid:durableId="1153644461">
    <w:abstractNumId w:val="18"/>
  </w:num>
  <w:num w:numId="4" w16cid:durableId="135030730">
    <w:abstractNumId w:val="17"/>
  </w:num>
  <w:num w:numId="5" w16cid:durableId="1219051679">
    <w:abstractNumId w:val="2"/>
  </w:num>
  <w:num w:numId="6" w16cid:durableId="1821461070">
    <w:abstractNumId w:val="14"/>
  </w:num>
  <w:num w:numId="7" w16cid:durableId="1764688349">
    <w:abstractNumId w:val="6"/>
  </w:num>
  <w:num w:numId="8" w16cid:durableId="1183059037">
    <w:abstractNumId w:val="13"/>
  </w:num>
  <w:num w:numId="9" w16cid:durableId="1282153042">
    <w:abstractNumId w:val="13"/>
  </w:num>
  <w:num w:numId="10" w16cid:durableId="1360812348">
    <w:abstractNumId w:val="3"/>
  </w:num>
  <w:num w:numId="11" w16cid:durableId="1599677160">
    <w:abstractNumId w:val="18"/>
  </w:num>
  <w:num w:numId="12" w16cid:durableId="1338926177">
    <w:abstractNumId w:val="1"/>
  </w:num>
  <w:num w:numId="13" w16cid:durableId="1818456540">
    <w:abstractNumId w:val="17"/>
  </w:num>
  <w:num w:numId="14" w16cid:durableId="1434518084">
    <w:abstractNumId w:val="2"/>
  </w:num>
  <w:num w:numId="15" w16cid:durableId="545217294">
    <w:abstractNumId w:val="0"/>
  </w:num>
  <w:num w:numId="16" w16cid:durableId="1832406053">
    <w:abstractNumId w:val="14"/>
  </w:num>
  <w:num w:numId="17" w16cid:durableId="1467166139">
    <w:abstractNumId w:val="10"/>
  </w:num>
  <w:num w:numId="18" w16cid:durableId="339351573">
    <w:abstractNumId w:val="7"/>
  </w:num>
  <w:num w:numId="19" w16cid:durableId="256208087">
    <w:abstractNumId w:val="18"/>
  </w:num>
  <w:num w:numId="20" w16cid:durableId="2118595693">
    <w:abstractNumId w:val="17"/>
  </w:num>
  <w:num w:numId="21" w16cid:durableId="704214462">
    <w:abstractNumId w:val="2"/>
  </w:num>
  <w:num w:numId="22" w16cid:durableId="1299801033">
    <w:abstractNumId w:val="14"/>
  </w:num>
  <w:num w:numId="23" w16cid:durableId="1910143901">
    <w:abstractNumId w:val="13"/>
  </w:num>
  <w:num w:numId="24" w16cid:durableId="145442984">
    <w:abstractNumId w:val="13"/>
  </w:num>
  <w:num w:numId="25" w16cid:durableId="1466578369">
    <w:abstractNumId w:val="18"/>
  </w:num>
  <w:num w:numId="26" w16cid:durableId="162673097">
    <w:abstractNumId w:val="17"/>
  </w:num>
  <w:num w:numId="27" w16cid:durableId="1618947488">
    <w:abstractNumId w:val="2"/>
  </w:num>
  <w:num w:numId="28" w16cid:durableId="1142620279">
    <w:abstractNumId w:val="14"/>
  </w:num>
  <w:num w:numId="29" w16cid:durableId="694304169">
    <w:abstractNumId w:val="10"/>
  </w:num>
  <w:num w:numId="30" w16cid:durableId="1584102756">
    <w:abstractNumId w:val="4"/>
  </w:num>
  <w:num w:numId="31" w16cid:durableId="620067456">
    <w:abstractNumId w:val="4"/>
  </w:num>
  <w:num w:numId="32" w16cid:durableId="1269195733">
    <w:abstractNumId w:val="18"/>
  </w:num>
  <w:num w:numId="33" w16cid:durableId="2123650509">
    <w:abstractNumId w:val="2"/>
  </w:num>
  <w:num w:numId="34" w16cid:durableId="954949686">
    <w:abstractNumId w:val="17"/>
  </w:num>
  <w:num w:numId="35" w16cid:durableId="1504469216">
    <w:abstractNumId w:val="14"/>
  </w:num>
  <w:num w:numId="36" w16cid:durableId="111442807">
    <w:abstractNumId w:val="9"/>
  </w:num>
  <w:num w:numId="37" w16cid:durableId="613946320">
    <w:abstractNumId w:val="4"/>
  </w:num>
  <w:num w:numId="38" w16cid:durableId="994919361">
    <w:abstractNumId w:val="4"/>
  </w:num>
  <w:num w:numId="39" w16cid:durableId="579214881">
    <w:abstractNumId w:val="5"/>
  </w:num>
  <w:num w:numId="40" w16cid:durableId="1838305591">
    <w:abstractNumId w:val="12"/>
  </w:num>
  <w:num w:numId="41" w16cid:durableId="1574899373">
    <w:abstractNumId w:val="15"/>
  </w:num>
  <w:num w:numId="42" w16cid:durableId="1770155946">
    <w:abstractNumId w:val="8"/>
  </w:num>
  <w:num w:numId="43" w16cid:durableId="830830257">
    <w:abstractNumId w:val="11"/>
  </w:num>
  <w:num w:numId="44" w16cid:durableId="687373953">
    <w:abstractNumId w:val="16"/>
  </w:num>
  <w:num w:numId="45" w16cid:durableId="191758878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026D8"/>
    <w:rsid w:val="0001390F"/>
    <w:rsid w:val="00023D0A"/>
    <w:rsid w:val="00025F3F"/>
    <w:rsid w:val="000448EA"/>
    <w:rsid w:val="00066DE3"/>
    <w:rsid w:val="000956C1"/>
    <w:rsid w:val="00097873"/>
    <w:rsid w:val="000B52C0"/>
    <w:rsid w:val="000B5442"/>
    <w:rsid w:val="000F2DB8"/>
    <w:rsid w:val="000F388F"/>
    <w:rsid w:val="00112107"/>
    <w:rsid w:val="001375FA"/>
    <w:rsid w:val="00151E68"/>
    <w:rsid w:val="0016441A"/>
    <w:rsid w:val="001807CA"/>
    <w:rsid w:val="001947FC"/>
    <w:rsid w:val="001D2CC8"/>
    <w:rsid w:val="001F3ED4"/>
    <w:rsid w:val="002134F1"/>
    <w:rsid w:val="00224349"/>
    <w:rsid w:val="00240D6E"/>
    <w:rsid w:val="002749E2"/>
    <w:rsid w:val="00282770"/>
    <w:rsid w:val="002A105F"/>
    <w:rsid w:val="002A2286"/>
    <w:rsid w:val="002D2FC1"/>
    <w:rsid w:val="0033018C"/>
    <w:rsid w:val="003459EC"/>
    <w:rsid w:val="00354329"/>
    <w:rsid w:val="00361CD6"/>
    <w:rsid w:val="00382EF5"/>
    <w:rsid w:val="00384A36"/>
    <w:rsid w:val="003A453B"/>
    <w:rsid w:val="003E0639"/>
    <w:rsid w:val="004108C0"/>
    <w:rsid w:val="004168DA"/>
    <w:rsid w:val="00462EA4"/>
    <w:rsid w:val="00467435"/>
    <w:rsid w:val="00475A7D"/>
    <w:rsid w:val="0047700D"/>
    <w:rsid w:val="00485780"/>
    <w:rsid w:val="004930DA"/>
    <w:rsid w:val="004B0745"/>
    <w:rsid w:val="004D224B"/>
    <w:rsid w:val="004D68AD"/>
    <w:rsid w:val="004F1CF3"/>
    <w:rsid w:val="00501AC2"/>
    <w:rsid w:val="00513732"/>
    <w:rsid w:val="00535FB7"/>
    <w:rsid w:val="00566AC9"/>
    <w:rsid w:val="005F0D67"/>
    <w:rsid w:val="0060240A"/>
    <w:rsid w:val="00617947"/>
    <w:rsid w:val="00662827"/>
    <w:rsid w:val="006A0484"/>
    <w:rsid w:val="006E4B7E"/>
    <w:rsid w:val="00714340"/>
    <w:rsid w:val="00733B1C"/>
    <w:rsid w:val="00742296"/>
    <w:rsid w:val="0075538A"/>
    <w:rsid w:val="00756ED4"/>
    <w:rsid w:val="007C57C3"/>
    <w:rsid w:val="007F099C"/>
    <w:rsid w:val="00825513"/>
    <w:rsid w:val="00854A15"/>
    <w:rsid w:val="00856453"/>
    <w:rsid w:val="00881D5E"/>
    <w:rsid w:val="0089183A"/>
    <w:rsid w:val="00892996"/>
    <w:rsid w:val="008A0B75"/>
    <w:rsid w:val="008B5021"/>
    <w:rsid w:val="00901AA7"/>
    <w:rsid w:val="00916C68"/>
    <w:rsid w:val="009174FF"/>
    <w:rsid w:val="009335F0"/>
    <w:rsid w:val="0094253B"/>
    <w:rsid w:val="009441DE"/>
    <w:rsid w:val="0095510A"/>
    <w:rsid w:val="009B2DF1"/>
    <w:rsid w:val="009B73CF"/>
    <w:rsid w:val="009B7FAF"/>
    <w:rsid w:val="009F4AC7"/>
    <w:rsid w:val="009F7558"/>
    <w:rsid w:val="00A06600"/>
    <w:rsid w:val="00A16BFB"/>
    <w:rsid w:val="00A21E9F"/>
    <w:rsid w:val="00A3753C"/>
    <w:rsid w:val="00A375B9"/>
    <w:rsid w:val="00A82044"/>
    <w:rsid w:val="00AC6CA6"/>
    <w:rsid w:val="00AD0003"/>
    <w:rsid w:val="00B625C1"/>
    <w:rsid w:val="00B724EC"/>
    <w:rsid w:val="00BA06A5"/>
    <w:rsid w:val="00BB1A69"/>
    <w:rsid w:val="00BB2A1B"/>
    <w:rsid w:val="00BB320E"/>
    <w:rsid w:val="00BD018F"/>
    <w:rsid w:val="00BE44D0"/>
    <w:rsid w:val="00BF54F7"/>
    <w:rsid w:val="00BF618E"/>
    <w:rsid w:val="00C7704E"/>
    <w:rsid w:val="00C90646"/>
    <w:rsid w:val="00C968B5"/>
    <w:rsid w:val="00CB61BE"/>
    <w:rsid w:val="00CB7302"/>
    <w:rsid w:val="00CF7A72"/>
    <w:rsid w:val="00D06336"/>
    <w:rsid w:val="00D83798"/>
    <w:rsid w:val="00DA704E"/>
    <w:rsid w:val="00DB104F"/>
    <w:rsid w:val="00DE4310"/>
    <w:rsid w:val="00DE5104"/>
    <w:rsid w:val="00DF3883"/>
    <w:rsid w:val="00E3388C"/>
    <w:rsid w:val="00E41B7E"/>
    <w:rsid w:val="00E50EFA"/>
    <w:rsid w:val="00E52CBB"/>
    <w:rsid w:val="00EB1547"/>
    <w:rsid w:val="00EC2C79"/>
    <w:rsid w:val="00EE47EF"/>
    <w:rsid w:val="00F52422"/>
    <w:rsid w:val="00F60FDC"/>
    <w:rsid w:val="00F64299"/>
    <w:rsid w:val="00F70763"/>
    <w:rsid w:val="00FD48C9"/>
    <w:rsid w:val="00FE6B33"/>
    <w:rsid w:val="00FF4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C7"/>
    <w:pPr>
      <w:spacing w:before="120" w:after="120" w:line="240" w:lineRule="auto"/>
    </w:pPr>
    <w:rPr>
      <w:rFonts w:ascii="Arial" w:hAnsi="Arial" w:cs="Arial"/>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F4AC7"/>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0"/>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0"/>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uiPriority w:val="3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SWAHeading1">
    <w:name w:val="SWA Heading 1"/>
    <w:next w:val="Paragraph"/>
    <w:qFormat/>
    <w:rsid w:val="0075538A"/>
    <w:pPr>
      <w:pageBreakBefore/>
      <w:spacing w:before="240" w:after="120"/>
      <w:outlineLvl w:val="0"/>
    </w:pPr>
    <w:rPr>
      <w:rFonts w:ascii="Arial" w:hAnsi="Arial" w:cs="Arial"/>
      <w:b/>
      <w:bCs/>
      <w:sz w:val="40"/>
      <w:szCs w:val="40"/>
    </w:rPr>
  </w:style>
  <w:style w:type="paragraph" w:customStyle="1" w:styleId="ListParagraphh1">
    <w:name w:val="List Paragraph h1"/>
    <w:aliases w:val="SWA heading 1"/>
    <w:basedOn w:val="SWAHeading1"/>
    <w:next w:val="ListParagraphbodycopy"/>
    <w:qFormat/>
    <w:rsid w:val="0075538A"/>
    <w:pPr>
      <w:pageBreakBefore w:val="0"/>
      <w:ind w:left="709" w:hanging="709"/>
    </w:pPr>
  </w:style>
  <w:style w:type="paragraph" w:customStyle="1" w:styleId="ListParagraphbodycopy">
    <w:name w:val="List Paragraph body copy"/>
    <w:basedOn w:val="Normal"/>
    <w:qFormat/>
    <w:rsid w:val="0075538A"/>
    <w:pPr>
      <w:spacing w:before="0" w:line="264" w:lineRule="auto"/>
      <w:ind w:left="720" w:hanging="720"/>
    </w:pPr>
    <w:rPr>
      <w:rFonts w:cstheme="minorBidi"/>
      <w:szCs w:val="24"/>
    </w:rPr>
  </w:style>
  <w:style w:type="paragraph" w:customStyle="1" w:styleId="Titledate">
    <w:name w:val="Title date"/>
    <w:basedOn w:val="TOC1"/>
    <w:qFormat/>
    <w:rsid w:val="0075538A"/>
  </w:style>
  <w:style w:type="character" w:customStyle="1" w:styleId="SWADisclaimerheadingChar">
    <w:name w:val="SWA Disclaimer heading Char"/>
    <w:basedOn w:val="DefaultParagraphFont"/>
    <w:link w:val="SWADisclaimerheading"/>
    <w:locked/>
    <w:rsid w:val="0075538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75538A"/>
    <w:pPr>
      <w:spacing w:line="276" w:lineRule="auto"/>
      <w:contextualSpacing/>
    </w:pPr>
    <w:rPr>
      <w:rFonts w:eastAsiaTheme="majorEastAsia" w:cstheme="majorBidi"/>
      <w:b/>
      <w:color w:val="145B85"/>
      <w:spacing w:val="-3"/>
      <w:sz w:val="14"/>
      <w:szCs w:val="14"/>
    </w:rPr>
  </w:style>
  <w:style w:type="table" w:styleId="GridTable5Dark-Accent2">
    <w:name w:val="Grid Table 5 Dark Accent 2"/>
    <w:basedOn w:val="TableNormal"/>
    <w:uiPriority w:val="50"/>
    <w:rsid w:val="0075538A"/>
    <w:pPr>
      <w:spacing w:after="0" w:line="240" w:lineRule="auto"/>
    </w:pPr>
    <w:rPr>
      <w:rFonts w:eastAsiaTheme="minorEastAsia"/>
      <w:sz w:val="24"/>
      <w:szCs w:val="24"/>
      <w:lang w:val="en-GB"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B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9C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9C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9C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9C3A" w:themeFill="accent2"/>
      </w:tcPr>
    </w:tblStylePr>
    <w:tblStylePr w:type="band1Vert">
      <w:tblPr/>
      <w:tcPr>
        <w:shd w:val="clear" w:color="auto" w:fill="F7D7B0" w:themeFill="accent2" w:themeFillTint="66"/>
      </w:tcPr>
    </w:tblStylePr>
    <w:tblStylePr w:type="band1Horz">
      <w:tblPr/>
      <w:tcPr>
        <w:shd w:val="clear" w:color="auto" w:fill="F7D7B0" w:themeFill="accent2" w:themeFillTint="66"/>
      </w:tcPr>
    </w:tblStylePr>
  </w:style>
  <w:style w:type="paragraph" w:styleId="Revision">
    <w:name w:val="Revision"/>
    <w:hidden/>
    <w:uiPriority w:val="99"/>
    <w:semiHidden/>
    <w:rsid w:val="001F3ED4"/>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CB7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model-code-practice-managing-risks-respirable-crystalline-silica-workplace" TargetMode="External"/><Relationship Id="rId13" Type="http://schemas.openxmlformats.org/officeDocument/2006/relationships/hyperlink" Target="https://www.safeworkaustralia.gov.au/safety-topic/hazards/silica/silica-resour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feworkaustralia.gov.au/doc/model-code-practice-managing-risks-respirable-crystalline-silica-workpla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model-code-practice-managing-risks-respirable-crystalline-silica-workplace" TargetMode="External"/><Relationship Id="rId5" Type="http://schemas.openxmlformats.org/officeDocument/2006/relationships/webSettings" Target="webSettings.xml"/><Relationship Id="rId15" Type="http://schemas.openxmlformats.org/officeDocument/2006/relationships/hyperlink" Target="https://www.safeworkaustralia.gov.au/law-and-regulation/whs-regulators-and-workers-compensation-authorities-contact-information" TargetMode="External"/><Relationship Id="rId10" Type="http://schemas.openxmlformats.org/officeDocument/2006/relationships/hyperlink" Target="https://www.safeworkaustralia.gov.au/doc/model-code-practice-managing-risks-respirable-crystalline-silica-workpla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workaustralia.gov.au/safety-topic/hazards/silica/silica-resources" TargetMode="External"/><Relationship Id="rId14" Type="http://schemas.openxmlformats.org/officeDocument/2006/relationships/hyperlink" Target="https://www.safeworkaustralia.gov.au/doc/model-code-practice-managing-risks-respirable-crystalline-silica-workpla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Engineered stone prohibition: examples of permitted work with legacy engineered stone</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Engineered stone prohibition: examples of permitted work with legacy engineered stone</dc:title>
  <dc:subject/>
  <dc:creator/>
  <cp:keywords/>
  <cp:lastModifiedBy/>
  <cp:revision>1</cp:revision>
  <dcterms:created xsi:type="dcterms:W3CDTF">2025-08-27T03:32:00Z</dcterms:created>
  <dcterms:modified xsi:type="dcterms:W3CDTF">2025-08-27T03:38:00Z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2025-08-14T09:16:45Z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3a36dc33-6dfa-4786-ac5c-bd3d3db6fb0e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