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F128" w14:textId="77777777" w:rsidR="00EE2C07" w:rsidRDefault="00EE2C07" w:rsidP="00EE2C07">
      <w:pPr>
        <w:pStyle w:val="Heading1"/>
        <w:spacing w:before="120" w:after="240"/>
        <w:jc w:val="center"/>
        <w:rPr>
          <w:rFonts w:ascii="Arial" w:hAnsi="Arial" w:cs="Arial"/>
          <w:color w:val="auto"/>
        </w:rPr>
      </w:pPr>
      <w:r>
        <w:rPr>
          <w:rFonts w:ascii="Arial" w:hAnsi="Arial" w:cs="Arial"/>
          <w:color w:val="auto"/>
        </w:rPr>
        <w:t xml:space="preserve">EXPLANATORY MEMORANDUM – MODEL WORK HEALTH AND SAFETY LEGISLATION AMENDMENT (OFFENCES AND PENALTIES) 2023 – </w:t>
      </w:r>
      <w:r>
        <w:rPr>
          <w:rFonts w:ascii="Arial" w:hAnsi="Arial" w:cs="Arial"/>
          <w:color w:val="auto"/>
        </w:rPr>
        <w:br/>
        <w:t>Model Provisions</w:t>
      </w:r>
    </w:p>
    <w:p w14:paraId="7E4BEE2B" w14:textId="2CEFBEF6" w:rsidR="002D4F0F" w:rsidRPr="00C75BD7" w:rsidRDefault="00EE2C07" w:rsidP="00EE2C07">
      <w:pPr>
        <w:spacing w:before="120"/>
        <w:jc w:val="both"/>
        <w:rPr>
          <w:rFonts w:ascii="Arial" w:hAnsi="Arial" w:cs="Arial"/>
          <w:iCs/>
          <w:color w:val="000000" w:themeColor="text1"/>
        </w:rPr>
      </w:pPr>
      <w:r w:rsidRPr="00C75BD7">
        <w:rPr>
          <w:rFonts w:ascii="Arial" w:hAnsi="Arial" w:cs="Arial"/>
          <w:color w:val="000000" w:themeColor="text1"/>
        </w:rPr>
        <w:t xml:space="preserve">The </w:t>
      </w:r>
      <w:r w:rsidRPr="00C75BD7">
        <w:rPr>
          <w:rFonts w:ascii="Arial" w:hAnsi="Arial" w:cs="Arial"/>
          <w:i/>
          <w:color w:val="000000" w:themeColor="text1"/>
        </w:rPr>
        <w:t xml:space="preserve">Model Work Health and Safety Legislation Amendment (Offences and Penalties) 2023 </w:t>
      </w:r>
      <w:r w:rsidR="00CD1CD5" w:rsidRPr="00C75BD7">
        <w:rPr>
          <w:rFonts w:ascii="Arial" w:hAnsi="Arial" w:cs="Arial"/>
          <w:iCs/>
          <w:color w:val="000000" w:themeColor="text1"/>
        </w:rPr>
        <w:t>includes</w:t>
      </w:r>
      <w:r w:rsidR="00CD1CD5" w:rsidRPr="00C75BD7">
        <w:rPr>
          <w:rFonts w:ascii="Arial" w:hAnsi="Arial" w:cs="Arial"/>
          <w:i/>
          <w:color w:val="000000" w:themeColor="text1"/>
        </w:rPr>
        <w:t xml:space="preserve"> </w:t>
      </w:r>
      <w:r w:rsidR="002D4F0F" w:rsidRPr="00C75BD7">
        <w:rPr>
          <w:rFonts w:ascii="Arial" w:hAnsi="Arial" w:cs="Arial"/>
          <w:iCs/>
          <w:color w:val="000000" w:themeColor="text1"/>
        </w:rPr>
        <w:t>amend</w:t>
      </w:r>
      <w:r w:rsidR="00CD1CD5" w:rsidRPr="00C75BD7">
        <w:rPr>
          <w:rFonts w:ascii="Arial" w:hAnsi="Arial" w:cs="Arial"/>
          <w:iCs/>
          <w:color w:val="000000" w:themeColor="text1"/>
        </w:rPr>
        <w:t>ment</w:t>
      </w:r>
      <w:r w:rsidR="00C83770">
        <w:rPr>
          <w:rFonts w:ascii="Arial" w:hAnsi="Arial" w:cs="Arial"/>
          <w:iCs/>
          <w:color w:val="000000" w:themeColor="text1"/>
        </w:rPr>
        <w:t>s</w:t>
      </w:r>
      <w:r w:rsidR="00CD1CD5" w:rsidRPr="00C75BD7">
        <w:rPr>
          <w:rFonts w:ascii="Arial" w:hAnsi="Arial" w:cs="Arial"/>
          <w:iCs/>
          <w:color w:val="000000" w:themeColor="text1"/>
        </w:rPr>
        <w:t xml:space="preserve"> to</w:t>
      </w:r>
      <w:r w:rsidR="002D4F0F" w:rsidRPr="00C75BD7">
        <w:rPr>
          <w:rFonts w:ascii="Arial" w:hAnsi="Arial" w:cs="Arial"/>
          <w:iCs/>
          <w:color w:val="000000" w:themeColor="text1"/>
        </w:rPr>
        <w:t xml:space="preserve"> the model Work Health and Safety (WHS) Act and model WHS </w:t>
      </w:r>
      <w:r w:rsidR="00C83770">
        <w:rPr>
          <w:rFonts w:ascii="Arial" w:hAnsi="Arial" w:cs="Arial"/>
          <w:iCs/>
          <w:color w:val="000000" w:themeColor="text1"/>
        </w:rPr>
        <w:t xml:space="preserve">Regulations </w:t>
      </w:r>
      <w:r w:rsidR="005C41E2">
        <w:rPr>
          <w:rFonts w:ascii="Arial" w:hAnsi="Arial" w:cs="Arial"/>
          <w:iCs/>
          <w:color w:val="000000" w:themeColor="text1"/>
        </w:rPr>
        <w:t>including</w:t>
      </w:r>
      <w:r w:rsidR="009D11B8" w:rsidRPr="00C75BD7">
        <w:rPr>
          <w:rFonts w:ascii="Arial" w:hAnsi="Arial" w:cs="Arial"/>
          <w:iCs/>
          <w:color w:val="000000" w:themeColor="text1"/>
        </w:rPr>
        <w:t xml:space="preserve">: </w:t>
      </w:r>
    </w:p>
    <w:p w14:paraId="529C76E7" w14:textId="04C28B62" w:rsidR="009D11B8" w:rsidRPr="00C75BD7" w:rsidRDefault="001D0D31" w:rsidP="009D11B8">
      <w:pPr>
        <w:pStyle w:val="ListParagraph"/>
        <w:numPr>
          <w:ilvl w:val="0"/>
          <w:numId w:val="17"/>
        </w:numPr>
        <w:spacing w:before="120"/>
        <w:jc w:val="both"/>
        <w:rPr>
          <w:rFonts w:ascii="Arial" w:hAnsi="Arial" w:cs="Arial"/>
          <w:iCs/>
          <w:color w:val="000000" w:themeColor="text1"/>
        </w:rPr>
      </w:pPr>
      <w:r w:rsidRPr="00C75BD7">
        <w:rPr>
          <w:rFonts w:ascii="Arial" w:hAnsi="Arial" w:cs="Arial"/>
        </w:rPr>
        <w:t>amend</w:t>
      </w:r>
      <w:r w:rsidR="005C41E2">
        <w:rPr>
          <w:rFonts w:ascii="Arial" w:hAnsi="Arial" w:cs="Arial"/>
        </w:rPr>
        <w:t>ing</w:t>
      </w:r>
      <w:r w:rsidRPr="00C75BD7">
        <w:rPr>
          <w:rFonts w:ascii="Arial" w:hAnsi="Arial" w:cs="Arial"/>
        </w:rPr>
        <w:t xml:space="preserve"> the model WHS Act to include a jurisdictional note and model penalties for the offence of industrial </w:t>
      </w:r>
      <w:proofErr w:type="gramStart"/>
      <w:r w:rsidRPr="00C75BD7">
        <w:rPr>
          <w:rFonts w:ascii="Arial" w:hAnsi="Arial" w:cs="Arial"/>
        </w:rPr>
        <w:t>manslaughter</w:t>
      </w:r>
      <w:proofErr w:type="gramEnd"/>
      <w:r w:rsidRPr="00C75BD7">
        <w:rPr>
          <w:rFonts w:ascii="Arial" w:hAnsi="Arial" w:cs="Arial"/>
        </w:rPr>
        <w:t xml:space="preserve"> </w:t>
      </w:r>
    </w:p>
    <w:p w14:paraId="0FD46E1C" w14:textId="2C1F4387" w:rsidR="001D0D31" w:rsidRPr="00C75BD7" w:rsidRDefault="00CF21F2" w:rsidP="009D11B8">
      <w:pPr>
        <w:pStyle w:val="ListParagraph"/>
        <w:numPr>
          <w:ilvl w:val="0"/>
          <w:numId w:val="17"/>
        </w:numPr>
        <w:spacing w:before="120"/>
        <w:jc w:val="both"/>
        <w:rPr>
          <w:rFonts w:ascii="Arial" w:hAnsi="Arial" w:cs="Arial"/>
          <w:iCs/>
          <w:color w:val="000000" w:themeColor="text1"/>
        </w:rPr>
      </w:pPr>
      <w:r w:rsidRPr="00C75BD7">
        <w:rPr>
          <w:rFonts w:ascii="Arial" w:hAnsi="Arial" w:cs="Arial"/>
        </w:rPr>
        <w:t>amend</w:t>
      </w:r>
      <w:r w:rsidR="008F7957">
        <w:rPr>
          <w:rFonts w:ascii="Arial" w:hAnsi="Arial" w:cs="Arial"/>
        </w:rPr>
        <w:t>ing</w:t>
      </w:r>
      <w:r w:rsidRPr="00C75BD7">
        <w:rPr>
          <w:rFonts w:ascii="Arial" w:hAnsi="Arial" w:cs="Arial"/>
        </w:rPr>
        <w:t xml:space="preserve"> </w:t>
      </w:r>
      <w:r w:rsidR="000E5480" w:rsidRPr="00C75BD7">
        <w:rPr>
          <w:rFonts w:ascii="Arial" w:hAnsi="Arial" w:cs="Arial"/>
        </w:rPr>
        <w:t>s</w:t>
      </w:r>
      <w:r w:rsidR="00E6264A" w:rsidRPr="00C75BD7">
        <w:rPr>
          <w:rFonts w:ascii="Arial" w:hAnsi="Arial" w:cs="Arial"/>
        </w:rPr>
        <w:t>ection</w:t>
      </w:r>
      <w:r w:rsidR="000E5480" w:rsidRPr="00C75BD7">
        <w:rPr>
          <w:rFonts w:ascii="Arial" w:hAnsi="Arial" w:cs="Arial"/>
        </w:rPr>
        <w:t xml:space="preserve"> 31 of </w:t>
      </w:r>
      <w:r w:rsidRPr="00C75BD7">
        <w:rPr>
          <w:rFonts w:ascii="Arial" w:hAnsi="Arial" w:cs="Arial"/>
        </w:rPr>
        <w:t xml:space="preserve">the model </w:t>
      </w:r>
      <w:r w:rsidR="003E271C" w:rsidRPr="00C75BD7">
        <w:rPr>
          <w:rFonts w:ascii="Arial" w:hAnsi="Arial" w:cs="Arial"/>
        </w:rPr>
        <w:t xml:space="preserve">WHS </w:t>
      </w:r>
      <w:r w:rsidRPr="00C75BD7">
        <w:rPr>
          <w:rFonts w:ascii="Arial" w:hAnsi="Arial" w:cs="Arial"/>
        </w:rPr>
        <w:t xml:space="preserve">Act to </w:t>
      </w:r>
      <w:r w:rsidR="003E271C" w:rsidRPr="00C75BD7">
        <w:rPr>
          <w:rFonts w:ascii="Arial" w:hAnsi="Arial" w:cs="Arial"/>
        </w:rPr>
        <w:t xml:space="preserve">clarify that </w:t>
      </w:r>
      <w:r w:rsidR="000E5480" w:rsidRPr="00C75BD7">
        <w:rPr>
          <w:rFonts w:ascii="Arial" w:hAnsi="Arial" w:cs="Arial"/>
        </w:rPr>
        <w:t>an officer</w:t>
      </w:r>
      <w:r w:rsidR="007B7F71" w:rsidRPr="00C75BD7">
        <w:rPr>
          <w:rFonts w:ascii="Arial" w:hAnsi="Arial" w:cs="Arial"/>
        </w:rPr>
        <w:t xml:space="preserve"> may </w:t>
      </w:r>
      <w:r w:rsidR="00601EAB">
        <w:rPr>
          <w:rFonts w:ascii="Arial" w:hAnsi="Arial" w:cs="Arial"/>
        </w:rPr>
        <w:t>commit</w:t>
      </w:r>
      <w:r w:rsidR="007B7F71" w:rsidRPr="00C75BD7">
        <w:rPr>
          <w:rFonts w:ascii="Arial" w:hAnsi="Arial" w:cs="Arial"/>
        </w:rPr>
        <w:t xml:space="preserve"> a Category 1 offence under s</w:t>
      </w:r>
      <w:r w:rsidR="00E6264A" w:rsidRPr="00C75BD7">
        <w:rPr>
          <w:rFonts w:ascii="Arial" w:hAnsi="Arial" w:cs="Arial"/>
        </w:rPr>
        <w:t>ection</w:t>
      </w:r>
      <w:r w:rsidR="007B7F71" w:rsidRPr="00C75BD7">
        <w:rPr>
          <w:rFonts w:ascii="Arial" w:hAnsi="Arial" w:cs="Arial"/>
        </w:rPr>
        <w:t xml:space="preserve"> 31 of the </w:t>
      </w:r>
      <w:proofErr w:type="gramStart"/>
      <w:r w:rsidR="007B7F71" w:rsidRPr="00C75BD7">
        <w:rPr>
          <w:rFonts w:ascii="Arial" w:hAnsi="Arial" w:cs="Arial"/>
        </w:rPr>
        <w:t>Act</w:t>
      </w:r>
      <w:proofErr w:type="gramEnd"/>
    </w:p>
    <w:p w14:paraId="51A1C964" w14:textId="70958276" w:rsidR="00B1526E" w:rsidRPr="00C75BD7" w:rsidRDefault="00BF3E76" w:rsidP="00B1526E">
      <w:pPr>
        <w:pStyle w:val="ListParagraph"/>
        <w:numPr>
          <w:ilvl w:val="0"/>
          <w:numId w:val="17"/>
        </w:numPr>
        <w:spacing w:before="120"/>
        <w:jc w:val="both"/>
        <w:rPr>
          <w:rFonts w:ascii="Arial" w:hAnsi="Arial" w:cs="Arial"/>
          <w:iCs/>
          <w:color w:val="000000" w:themeColor="text1"/>
        </w:rPr>
      </w:pPr>
      <w:r w:rsidRPr="00C75BD7">
        <w:rPr>
          <w:rFonts w:ascii="Arial" w:hAnsi="Arial" w:cs="Arial"/>
        </w:rPr>
        <w:t>amend</w:t>
      </w:r>
      <w:r w:rsidR="008F7957">
        <w:rPr>
          <w:rFonts w:ascii="Arial" w:hAnsi="Arial" w:cs="Arial"/>
        </w:rPr>
        <w:t>ing</w:t>
      </w:r>
      <w:r w:rsidRPr="00C75BD7">
        <w:rPr>
          <w:rFonts w:ascii="Arial" w:hAnsi="Arial" w:cs="Arial"/>
        </w:rPr>
        <w:t xml:space="preserve"> </w:t>
      </w:r>
      <w:r w:rsidR="00C83770">
        <w:rPr>
          <w:rFonts w:ascii="Arial" w:hAnsi="Arial" w:cs="Arial"/>
        </w:rPr>
        <w:t xml:space="preserve">how </w:t>
      </w:r>
      <w:r w:rsidRPr="00C75BD7">
        <w:rPr>
          <w:rFonts w:ascii="Arial" w:hAnsi="Arial" w:cs="Arial"/>
        </w:rPr>
        <w:t xml:space="preserve">WHS penalty provisions </w:t>
      </w:r>
      <w:r w:rsidR="00C83770">
        <w:rPr>
          <w:rFonts w:ascii="Arial" w:hAnsi="Arial" w:cs="Arial"/>
        </w:rPr>
        <w:t xml:space="preserve">are expressed, increasing penalty amounts and providing for the indexation of penalty </w:t>
      </w:r>
      <w:proofErr w:type="gramStart"/>
      <w:r w:rsidR="00C83770">
        <w:rPr>
          <w:rFonts w:ascii="Arial" w:hAnsi="Arial" w:cs="Arial"/>
        </w:rPr>
        <w:t>amounts</w:t>
      </w:r>
      <w:proofErr w:type="gramEnd"/>
    </w:p>
    <w:p w14:paraId="5DABA578" w14:textId="60C832A0" w:rsidR="00B1526E" w:rsidRPr="00C75BD7" w:rsidRDefault="004C0E63" w:rsidP="00B1526E">
      <w:pPr>
        <w:pStyle w:val="ListParagraph"/>
        <w:numPr>
          <w:ilvl w:val="0"/>
          <w:numId w:val="17"/>
        </w:numPr>
        <w:spacing w:before="120"/>
        <w:jc w:val="both"/>
        <w:rPr>
          <w:rFonts w:ascii="Arial" w:hAnsi="Arial" w:cs="Arial"/>
          <w:iCs/>
          <w:color w:val="000000" w:themeColor="text1"/>
        </w:rPr>
      </w:pPr>
      <w:r w:rsidRPr="00C75BD7">
        <w:rPr>
          <w:rFonts w:ascii="Arial" w:hAnsi="Arial" w:cs="Arial"/>
          <w:iCs/>
          <w:color w:val="000000" w:themeColor="text1"/>
        </w:rPr>
        <w:t>insert</w:t>
      </w:r>
      <w:r w:rsidR="008F7957">
        <w:rPr>
          <w:rFonts w:ascii="Arial" w:hAnsi="Arial" w:cs="Arial"/>
          <w:iCs/>
          <w:color w:val="000000" w:themeColor="text1"/>
        </w:rPr>
        <w:t>ing</w:t>
      </w:r>
      <w:r w:rsidRPr="00C75BD7">
        <w:rPr>
          <w:rFonts w:ascii="Arial" w:hAnsi="Arial" w:cs="Arial"/>
          <w:iCs/>
          <w:color w:val="000000" w:themeColor="text1"/>
        </w:rPr>
        <w:t xml:space="preserve"> new provisions allow</w:t>
      </w:r>
      <w:r w:rsidR="00B1526E" w:rsidRPr="00C75BD7">
        <w:rPr>
          <w:rFonts w:ascii="Arial" w:hAnsi="Arial" w:cs="Arial"/>
          <w:iCs/>
          <w:color w:val="000000" w:themeColor="text1"/>
        </w:rPr>
        <w:t xml:space="preserve">ing </w:t>
      </w:r>
      <w:r w:rsidR="00B1526E" w:rsidRPr="00C75BD7">
        <w:rPr>
          <w:rFonts w:ascii="Arial" w:eastAsia="Times New Roman" w:hAnsi="Arial" w:cs="Arial"/>
        </w:rPr>
        <w:t>for aggregation of conduct for body corporate PCBUs</w:t>
      </w:r>
      <w:r w:rsidR="008F7957">
        <w:rPr>
          <w:rFonts w:ascii="Arial" w:eastAsia="Times New Roman" w:hAnsi="Arial" w:cs="Arial"/>
        </w:rPr>
        <w:t>, and</w:t>
      </w:r>
    </w:p>
    <w:p w14:paraId="3F302161" w14:textId="7D423FB1" w:rsidR="00AA5F08" w:rsidRPr="00D52A4C" w:rsidRDefault="00C83770" w:rsidP="00C83940">
      <w:pPr>
        <w:pStyle w:val="ListParagraph"/>
        <w:numPr>
          <w:ilvl w:val="0"/>
          <w:numId w:val="17"/>
        </w:numPr>
        <w:spacing w:before="120"/>
        <w:jc w:val="both"/>
        <w:rPr>
          <w:rFonts w:ascii="Arial" w:hAnsi="Arial" w:cs="Arial"/>
          <w:iCs/>
          <w:color w:val="000000" w:themeColor="text1"/>
        </w:rPr>
      </w:pPr>
      <w:r>
        <w:rPr>
          <w:rFonts w:ascii="Arial" w:hAnsi="Arial" w:cs="Arial"/>
        </w:rPr>
        <w:t xml:space="preserve">a </w:t>
      </w:r>
      <w:r w:rsidR="005C41E2">
        <w:rPr>
          <w:rFonts w:ascii="Arial" w:hAnsi="Arial" w:cs="Arial"/>
        </w:rPr>
        <w:t xml:space="preserve">technical </w:t>
      </w:r>
      <w:r w:rsidR="00763798" w:rsidRPr="00D52A4C">
        <w:rPr>
          <w:rFonts w:ascii="Arial" w:hAnsi="Arial" w:cs="Arial"/>
        </w:rPr>
        <w:t>amend</w:t>
      </w:r>
      <w:r w:rsidR="005C41E2">
        <w:rPr>
          <w:rFonts w:ascii="Arial" w:hAnsi="Arial" w:cs="Arial"/>
        </w:rPr>
        <w:t>ment to</w:t>
      </w:r>
      <w:r w:rsidR="00995D8E" w:rsidRPr="00D52A4C">
        <w:rPr>
          <w:rFonts w:ascii="Arial" w:hAnsi="Arial" w:cs="Arial"/>
        </w:rPr>
        <w:t xml:space="preserve"> </w:t>
      </w:r>
      <w:r w:rsidR="00AB4A17" w:rsidRPr="00D52A4C">
        <w:rPr>
          <w:rFonts w:ascii="Arial" w:hAnsi="Arial" w:cs="Arial"/>
        </w:rPr>
        <w:t>reg</w:t>
      </w:r>
      <w:r w:rsidR="00995D8E" w:rsidRPr="00D52A4C">
        <w:rPr>
          <w:rFonts w:ascii="Arial" w:hAnsi="Arial" w:cs="Arial"/>
        </w:rPr>
        <w:t>ulations</w:t>
      </w:r>
      <w:r w:rsidR="00AB4A17" w:rsidRPr="00D52A4C">
        <w:rPr>
          <w:rFonts w:ascii="Arial" w:hAnsi="Arial" w:cs="Arial"/>
        </w:rPr>
        <w:t xml:space="preserve"> 55C and 55D </w:t>
      </w:r>
      <w:r w:rsidR="00995D8E" w:rsidRPr="00D52A4C">
        <w:rPr>
          <w:rFonts w:ascii="Arial" w:hAnsi="Arial" w:cs="Arial"/>
        </w:rPr>
        <w:t>(</w:t>
      </w:r>
      <w:r w:rsidR="00D80EEC" w:rsidRPr="00D52A4C">
        <w:rPr>
          <w:rFonts w:ascii="Arial" w:hAnsi="Arial" w:cs="Arial"/>
        </w:rPr>
        <w:t>psychosocial regulations</w:t>
      </w:r>
      <w:r w:rsidR="00995D8E" w:rsidRPr="00D52A4C">
        <w:rPr>
          <w:rFonts w:ascii="Arial" w:hAnsi="Arial" w:cs="Arial"/>
        </w:rPr>
        <w:t>)</w:t>
      </w:r>
      <w:r>
        <w:rPr>
          <w:rFonts w:ascii="Arial" w:hAnsi="Arial" w:cs="Arial"/>
        </w:rPr>
        <w:t xml:space="preserve"> to correct the placement of the regulation 9 note</w:t>
      </w:r>
      <w:r w:rsidR="008F7957">
        <w:rPr>
          <w:rFonts w:ascii="Arial" w:hAnsi="Arial" w:cs="Arial"/>
        </w:rPr>
        <w:t xml:space="preserve">. </w:t>
      </w:r>
    </w:p>
    <w:p w14:paraId="1390557A" w14:textId="163D6687" w:rsidR="00EE2C07" w:rsidRDefault="00EE2C07" w:rsidP="00641A58">
      <w:pPr>
        <w:rPr>
          <w:rFonts w:ascii="Arial" w:hAnsi="Arial" w:cs="Arial"/>
          <w:b/>
          <w:bCs/>
        </w:rPr>
      </w:pPr>
      <w:r w:rsidRPr="00EE2C07">
        <w:rPr>
          <w:rFonts w:ascii="Arial" w:hAnsi="Arial" w:cs="Arial"/>
          <w:b/>
          <w:bCs/>
        </w:rPr>
        <w:t xml:space="preserve">Part 1 – </w:t>
      </w:r>
      <w:r>
        <w:rPr>
          <w:rFonts w:ascii="Arial" w:hAnsi="Arial" w:cs="Arial"/>
          <w:b/>
          <w:bCs/>
        </w:rPr>
        <w:t xml:space="preserve">Name of model provisions </w:t>
      </w:r>
    </w:p>
    <w:p w14:paraId="5827C6DF" w14:textId="1EC6ABF1" w:rsidR="00EE2C07" w:rsidRPr="00707C53" w:rsidRDefault="00EE2C07" w:rsidP="00EE2C07">
      <w:pPr>
        <w:rPr>
          <w:rFonts w:ascii="Arial" w:hAnsi="Arial" w:cs="Arial"/>
          <w:i/>
        </w:rPr>
      </w:pPr>
      <w:r w:rsidRPr="00EE2C07">
        <w:rPr>
          <w:rFonts w:ascii="Arial" w:hAnsi="Arial" w:cs="Arial"/>
          <w:bCs/>
        </w:rPr>
        <w:t xml:space="preserve">The model provisions are the </w:t>
      </w:r>
      <w:r w:rsidRPr="00EE2C07">
        <w:rPr>
          <w:rFonts w:ascii="Arial" w:hAnsi="Arial" w:cs="Arial"/>
          <w:i/>
        </w:rPr>
        <w:t>Model Work Health and Safety Legislation Amendment (Offences and Penalties) 2023</w:t>
      </w:r>
      <w:r w:rsidR="00DC1BD2">
        <w:rPr>
          <w:rFonts w:ascii="Arial" w:hAnsi="Arial" w:cs="Arial"/>
          <w:i/>
        </w:rPr>
        <w:t xml:space="preserve">. </w:t>
      </w:r>
    </w:p>
    <w:p w14:paraId="77E38DF6" w14:textId="09054882" w:rsidR="00EE2C07" w:rsidRDefault="00EE2C07" w:rsidP="00EE2C07">
      <w:pPr>
        <w:rPr>
          <w:rFonts w:ascii="Arial" w:hAnsi="Arial" w:cs="Arial"/>
          <w:b/>
          <w:bCs/>
        </w:rPr>
      </w:pPr>
      <w:r w:rsidRPr="00EE2C07">
        <w:rPr>
          <w:rFonts w:ascii="Arial" w:hAnsi="Arial" w:cs="Arial"/>
          <w:b/>
          <w:bCs/>
        </w:rPr>
        <w:t xml:space="preserve">Part 2 – Amendment of the Model Law </w:t>
      </w:r>
    </w:p>
    <w:p w14:paraId="0AEC9217" w14:textId="11C3ACD4" w:rsidR="00EE2C07" w:rsidRDefault="00EE2C07" w:rsidP="00707C53">
      <w:pPr>
        <w:spacing w:after="0" w:line="240" w:lineRule="auto"/>
        <w:rPr>
          <w:rFonts w:ascii="Arial" w:hAnsi="Arial" w:cs="Arial"/>
          <w:bCs/>
        </w:rPr>
      </w:pPr>
      <w:r w:rsidRPr="000D7585">
        <w:rPr>
          <w:rFonts w:ascii="Arial" w:hAnsi="Arial" w:cs="Arial"/>
          <w:bCs/>
        </w:rPr>
        <w:t xml:space="preserve">This </w:t>
      </w:r>
      <w:r w:rsidR="009D6373">
        <w:rPr>
          <w:rFonts w:ascii="Arial" w:hAnsi="Arial" w:cs="Arial"/>
          <w:bCs/>
        </w:rPr>
        <w:t>clause</w:t>
      </w:r>
      <w:r w:rsidR="009D6373" w:rsidRPr="000D7585">
        <w:rPr>
          <w:rFonts w:ascii="Arial" w:hAnsi="Arial" w:cs="Arial"/>
          <w:bCs/>
        </w:rPr>
        <w:t xml:space="preserve"> </w:t>
      </w:r>
      <w:r w:rsidRPr="000D7585">
        <w:rPr>
          <w:rFonts w:ascii="Arial" w:hAnsi="Arial" w:cs="Arial"/>
          <w:bCs/>
        </w:rPr>
        <w:t>provides that Schedule 1 amends the model WHS</w:t>
      </w:r>
      <w:r w:rsidR="00AE3968">
        <w:rPr>
          <w:rFonts w:ascii="Arial" w:hAnsi="Arial" w:cs="Arial"/>
          <w:bCs/>
        </w:rPr>
        <w:t xml:space="preserve"> </w:t>
      </w:r>
      <w:r w:rsidRPr="000D7585">
        <w:rPr>
          <w:rFonts w:ascii="Arial" w:hAnsi="Arial" w:cs="Arial"/>
          <w:bCs/>
        </w:rPr>
        <w:t>Act and Schedule 2 amends the model WHS Regulations.</w:t>
      </w:r>
    </w:p>
    <w:p w14:paraId="4E99D339" w14:textId="77777777" w:rsidR="00EE2C07" w:rsidRPr="00EE2C07" w:rsidRDefault="00EE2C07" w:rsidP="00EE2C07">
      <w:pPr>
        <w:pStyle w:val="Heading3"/>
        <w:spacing w:before="240"/>
        <w:rPr>
          <w:rFonts w:ascii="Arial" w:hAnsi="Arial" w:cs="Arial"/>
          <w:b/>
          <w:color w:val="auto"/>
          <w:sz w:val="22"/>
          <w:szCs w:val="22"/>
        </w:rPr>
      </w:pPr>
      <w:r w:rsidRPr="00EE2C07">
        <w:rPr>
          <w:rFonts w:ascii="Arial" w:hAnsi="Arial" w:cs="Arial"/>
          <w:b/>
          <w:color w:val="auto"/>
          <w:sz w:val="22"/>
          <w:szCs w:val="22"/>
        </w:rPr>
        <w:t>Schedule 1 – Amendments to the model WHS Act</w:t>
      </w:r>
    </w:p>
    <w:p w14:paraId="42F1BAD8" w14:textId="4C92FDCB" w:rsidR="00EE2C07" w:rsidRDefault="00EE2C07" w:rsidP="00EE2C07">
      <w:pPr>
        <w:rPr>
          <w:rFonts w:ascii="Arial" w:hAnsi="Arial" w:cs="Arial"/>
          <w:b/>
          <w:bCs/>
        </w:rPr>
      </w:pPr>
    </w:p>
    <w:p w14:paraId="29145703" w14:textId="4846C8A6" w:rsidR="00641A58" w:rsidRPr="00641A58" w:rsidRDefault="00641A58" w:rsidP="00641A58">
      <w:pPr>
        <w:rPr>
          <w:rFonts w:ascii="Arial" w:hAnsi="Arial" w:cs="Arial"/>
          <w:b/>
          <w:bCs/>
        </w:rPr>
      </w:pPr>
      <w:r w:rsidRPr="00641A58">
        <w:rPr>
          <w:rFonts w:ascii="Arial" w:hAnsi="Arial" w:cs="Arial"/>
          <w:b/>
          <w:bCs/>
        </w:rPr>
        <w:t xml:space="preserve">Item [1] </w:t>
      </w:r>
      <w:r>
        <w:rPr>
          <w:rFonts w:ascii="Arial" w:hAnsi="Arial" w:cs="Arial"/>
          <w:b/>
          <w:bCs/>
        </w:rPr>
        <w:t>Section 4 Definitions</w:t>
      </w:r>
      <w:r w:rsidRPr="00641A58">
        <w:rPr>
          <w:rFonts w:ascii="Arial" w:hAnsi="Arial" w:cs="Arial"/>
          <w:b/>
          <w:bCs/>
        </w:rPr>
        <w:t xml:space="preserve"> </w:t>
      </w:r>
    </w:p>
    <w:p w14:paraId="4B116254" w14:textId="1AC9EA9A" w:rsidR="00641A58" w:rsidRDefault="00641A58" w:rsidP="00641A58">
      <w:pPr>
        <w:rPr>
          <w:rFonts w:ascii="Arial" w:hAnsi="Arial" w:cs="Arial"/>
        </w:rPr>
      </w:pPr>
      <w:r w:rsidRPr="00953735">
        <w:rPr>
          <w:rFonts w:ascii="Arial" w:hAnsi="Arial" w:cs="Arial"/>
        </w:rPr>
        <w:t xml:space="preserve">This item </w:t>
      </w:r>
      <w:r>
        <w:rPr>
          <w:rFonts w:ascii="Arial" w:hAnsi="Arial" w:cs="Arial"/>
        </w:rPr>
        <w:t xml:space="preserve">inserts the following </w:t>
      </w:r>
      <w:r w:rsidR="00F703AB">
        <w:rPr>
          <w:rFonts w:ascii="Arial" w:hAnsi="Arial" w:cs="Arial"/>
        </w:rPr>
        <w:t xml:space="preserve">terms </w:t>
      </w:r>
      <w:r>
        <w:rPr>
          <w:rFonts w:ascii="Arial" w:hAnsi="Arial" w:cs="Arial"/>
        </w:rPr>
        <w:t>into the definition</w:t>
      </w:r>
      <w:r w:rsidR="009D6373">
        <w:rPr>
          <w:rFonts w:ascii="Arial" w:hAnsi="Arial" w:cs="Arial"/>
        </w:rPr>
        <w:t xml:space="preserve"> section</w:t>
      </w:r>
      <w:r>
        <w:rPr>
          <w:rFonts w:ascii="Arial" w:hAnsi="Arial" w:cs="Arial"/>
        </w:rPr>
        <w:t xml:space="preserve">, and signals where the terms are defined in another section of the Act: </w:t>
      </w:r>
    </w:p>
    <w:p w14:paraId="74F5FE4A" w14:textId="11277479" w:rsidR="00641A58" w:rsidRDefault="00641A58" w:rsidP="00641A58">
      <w:pPr>
        <w:ind w:left="720"/>
        <w:rPr>
          <w:rFonts w:ascii="Arial" w:hAnsi="Arial" w:cs="Arial"/>
          <w:i/>
          <w:iCs/>
        </w:rPr>
      </w:pPr>
      <w:r w:rsidRPr="00DD58FB">
        <w:rPr>
          <w:rFonts w:ascii="Arial" w:hAnsi="Arial" w:cs="Arial"/>
          <w:b/>
          <w:bCs/>
          <w:i/>
          <w:iCs/>
        </w:rPr>
        <w:t>authorised person</w:t>
      </w:r>
      <w:r>
        <w:rPr>
          <w:rFonts w:ascii="Arial" w:hAnsi="Arial" w:cs="Arial"/>
          <w:i/>
          <w:iCs/>
        </w:rPr>
        <w:t xml:space="preserve">, in </w:t>
      </w:r>
      <w:r w:rsidR="00C83770">
        <w:rPr>
          <w:rFonts w:ascii="Arial" w:hAnsi="Arial" w:cs="Arial"/>
          <w:i/>
          <w:iCs/>
        </w:rPr>
        <w:t>P</w:t>
      </w:r>
      <w:r>
        <w:rPr>
          <w:rFonts w:ascii="Arial" w:hAnsi="Arial" w:cs="Arial"/>
          <w:i/>
          <w:iCs/>
        </w:rPr>
        <w:t>art 13, Division 4 – see section 244</w:t>
      </w:r>
      <w:r w:rsidR="008276E3">
        <w:rPr>
          <w:rFonts w:ascii="Arial" w:hAnsi="Arial" w:cs="Arial"/>
          <w:i/>
          <w:iCs/>
        </w:rPr>
        <w:t>.</w:t>
      </w:r>
    </w:p>
    <w:p w14:paraId="1C294B8E" w14:textId="1E9471E6" w:rsidR="00641A58" w:rsidRDefault="00641A58" w:rsidP="00641A58">
      <w:pPr>
        <w:ind w:left="720"/>
        <w:rPr>
          <w:rFonts w:ascii="Arial" w:hAnsi="Arial" w:cs="Arial"/>
          <w:i/>
          <w:iCs/>
        </w:rPr>
      </w:pPr>
      <w:r w:rsidRPr="00DD58FB">
        <w:rPr>
          <w:rFonts w:ascii="Arial" w:hAnsi="Arial" w:cs="Arial"/>
          <w:b/>
          <w:bCs/>
          <w:i/>
          <w:iCs/>
        </w:rPr>
        <w:t>board of directors</w:t>
      </w:r>
      <w:r>
        <w:rPr>
          <w:rFonts w:ascii="Arial" w:hAnsi="Arial" w:cs="Arial"/>
          <w:i/>
          <w:iCs/>
        </w:rPr>
        <w:t xml:space="preserve">, in </w:t>
      </w:r>
      <w:r w:rsidR="00C83770">
        <w:rPr>
          <w:rFonts w:ascii="Arial" w:hAnsi="Arial" w:cs="Arial"/>
          <w:i/>
          <w:iCs/>
        </w:rPr>
        <w:t>P</w:t>
      </w:r>
      <w:r>
        <w:rPr>
          <w:rFonts w:ascii="Arial" w:hAnsi="Arial" w:cs="Arial"/>
          <w:i/>
          <w:iCs/>
        </w:rPr>
        <w:t>art 13, Division 4 – see section 244</w:t>
      </w:r>
      <w:r w:rsidR="008276E3">
        <w:rPr>
          <w:rFonts w:ascii="Arial" w:hAnsi="Arial" w:cs="Arial"/>
          <w:i/>
          <w:iCs/>
        </w:rPr>
        <w:t>.</w:t>
      </w:r>
    </w:p>
    <w:p w14:paraId="5E31139D" w14:textId="582D75AF" w:rsidR="007F44B7" w:rsidRDefault="007F44B7" w:rsidP="00641A58">
      <w:pPr>
        <w:ind w:left="720"/>
        <w:rPr>
          <w:rFonts w:ascii="Arial" w:hAnsi="Arial" w:cs="Arial"/>
          <w:b/>
          <w:bCs/>
          <w:i/>
          <w:iCs/>
        </w:rPr>
      </w:pPr>
      <w:r w:rsidRPr="00DD58FB">
        <w:rPr>
          <w:rFonts w:ascii="Arial" w:hAnsi="Arial" w:cs="Arial"/>
          <w:b/>
          <w:bCs/>
          <w:i/>
          <w:iCs/>
        </w:rPr>
        <w:t xml:space="preserve">category 1 monetary penalty, category 2 monetary penalty and category 3 monetary penalty </w:t>
      </w:r>
      <w:r>
        <w:rPr>
          <w:rFonts w:ascii="Arial" w:hAnsi="Arial" w:cs="Arial"/>
          <w:i/>
          <w:iCs/>
        </w:rPr>
        <w:t>– see Schedule 4, clause 1 for the relevant maximum amounts.</w:t>
      </w:r>
    </w:p>
    <w:p w14:paraId="77444500" w14:textId="3C7E8E97" w:rsidR="00641A58" w:rsidRDefault="00641A58" w:rsidP="00641A58">
      <w:pPr>
        <w:ind w:left="720"/>
        <w:rPr>
          <w:rFonts w:ascii="Arial" w:hAnsi="Arial" w:cs="Arial"/>
          <w:i/>
          <w:iCs/>
        </w:rPr>
      </w:pPr>
      <w:r w:rsidRPr="00DD58FB">
        <w:rPr>
          <w:rFonts w:ascii="Arial" w:hAnsi="Arial" w:cs="Arial"/>
          <w:b/>
          <w:bCs/>
          <w:i/>
          <w:iCs/>
        </w:rPr>
        <w:t>Commonwealth Criminal Code</w:t>
      </w:r>
      <w:r>
        <w:rPr>
          <w:rFonts w:ascii="Arial" w:hAnsi="Arial" w:cs="Arial"/>
          <w:i/>
          <w:iCs/>
        </w:rPr>
        <w:t xml:space="preserve">, in </w:t>
      </w:r>
      <w:r w:rsidR="00C83770">
        <w:rPr>
          <w:rFonts w:ascii="Arial" w:hAnsi="Arial" w:cs="Arial"/>
          <w:i/>
          <w:iCs/>
        </w:rPr>
        <w:t>P</w:t>
      </w:r>
      <w:r>
        <w:rPr>
          <w:rFonts w:ascii="Arial" w:hAnsi="Arial" w:cs="Arial"/>
          <w:i/>
          <w:iCs/>
        </w:rPr>
        <w:t>art 13, Division 4 – see section 244</w:t>
      </w:r>
      <w:r w:rsidR="008276E3">
        <w:rPr>
          <w:rFonts w:ascii="Arial" w:hAnsi="Arial" w:cs="Arial"/>
          <w:i/>
          <w:iCs/>
        </w:rPr>
        <w:t>.</w:t>
      </w:r>
    </w:p>
    <w:p w14:paraId="13B44B73" w14:textId="52D8A2F9" w:rsidR="00C40B4E" w:rsidRPr="00DD58FB" w:rsidRDefault="00641A58" w:rsidP="00C40B4E">
      <w:pPr>
        <w:ind w:left="720"/>
        <w:rPr>
          <w:rFonts w:ascii="Arial" w:hAnsi="Arial" w:cs="Arial"/>
          <w:b/>
          <w:bCs/>
          <w:i/>
          <w:iCs/>
        </w:rPr>
      </w:pPr>
      <w:r w:rsidRPr="00DD58FB">
        <w:rPr>
          <w:rFonts w:ascii="Arial" w:hAnsi="Arial" w:cs="Arial"/>
          <w:b/>
          <w:bCs/>
          <w:i/>
          <w:iCs/>
        </w:rPr>
        <w:t>industrial manslaughter monetary penalty</w:t>
      </w:r>
      <w:r w:rsidR="00C40B4E">
        <w:rPr>
          <w:rFonts w:ascii="Arial" w:hAnsi="Arial" w:cs="Arial"/>
          <w:b/>
          <w:bCs/>
          <w:i/>
          <w:iCs/>
        </w:rPr>
        <w:t xml:space="preserve"> </w:t>
      </w:r>
      <w:r w:rsidR="00C40B4E" w:rsidRPr="00C40B4E">
        <w:rPr>
          <w:rFonts w:ascii="Arial" w:hAnsi="Arial" w:cs="Arial"/>
          <w:i/>
          <w:iCs/>
        </w:rPr>
        <w:t>– see</w:t>
      </w:r>
      <w:r w:rsidR="00601EAB">
        <w:rPr>
          <w:rFonts w:ascii="Arial" w:hAnsi="Arial" w:cs="Arial"/>
          <w:i/>
          <w:iCs/>
        </w:rPr>
        <w:t xml:space="preserve"> the</w:t>
      </w:r>
      <w:r w:rsidR="00C40B4E" w:rsidRPr="00C40B4E">
        <w:rPr>
          <w:rFonts w:ascii="Arial" w:hAnsi="Arial" w:cs="Arial"/>
          <w:i/>
          <w:iCs/>
        </w:rPr>
        <w:t xml:space="preserve"> jurisdictional note in </w:t>
      </w:r>
      <w:r w:rsidR="00C83770">
        <w:rPr>
          <w:rFonts w:ascii="Arial" w:hAnsi="Arial" w:cs="Arial"/>
          <w:i/>
          <w:iCs/>
        </w:rPr>
        <w:t xml:space="preserve">the </w:t>
      </w:r>
      <w:r w:rsidR="00C40B4E" w:rsidRPr="00C40B4E">
        <w:rPr>
          <w:rFonts w:ascii="Arial" w:hAnsi="Arial" w:cs="Arial"/>
          <w:i/>
          <w:iCs/>
        </w:rPr>
        <w:t xml:space="preserve">Appendix. </w:t>
      </w:r>
    </w:p>
    <w:p w14:paraId="041EF9A3" w14:textId="798F487E" w:rsidR="00641A58" w:rsidRDefault="00867ACD" w:rsidP="00641A58">
      <w:pPr>
        <w:ind w:left="720"/>
        <w:rPr>
          <w:rFonts w:ascii="Arial" w:hAnsi="Arial" w:cs="Arial"/>
          <w:i/>
          <w:iCs/>
        </w:rPr>
      </w:pPr>
      <w:r w:rsidRPr="00C40B4E">
        <w:rPr>
          <w:rFonts w:ascii="Arial" w:hAnsi="Arial" w:cs="Arial"/>
          <w:b/>
          <w:bCs/>
          <w:i/>
          <w:iCs/>
        </w:rPr>
        <w:t>p</w:t>
      </w:r>
      <w:r w:rsidR="00641A58" w:rsidRPr="00C40B4E">
        <w:rPr>
          <w:rFonts w:ascii="Arial" w:hAnsi="Arial" w:cs="Arial"/>
          <w:b/>
          <w:bCs/>
          <w:i/>
          <w:iCs/>
        </w:rPr>
        <w:t>hysical element</w:t>
      </w:r>
      <w:r w:rsidR="00641A58">
        <w:rPr>
          <w:rFonts w:ascii="Arial" w:hAnsi="Arial" w:cs="Arial"/>
          <w:i/>
          <w:iCs/>
        </w:rPr>
        <w:t>, in Part 13, Division 4 – see section 244.</w:t>
      </w:r>
    </w:p>
    <w:p w14:paraId="08C8272D" w14:textId="78377FC5" w:rsidR="00641A58" w:rsidRDefault="00641A58" w:rsidP="00C17C4C">
      <w:pPr>
        <w:ind w:left="720"/>
        <w:rPr>
          <w:rFonts w:ascii="Arial" w:hAnsi="Arial" w:cs="Arial"/>
          <w:i/>
          <w:iCs/>
        </w:rPr>
      </w:pPr>
      <w:r w:rsidRPr="00C40B4E">
        <w:rPr>
          <w:rFonts w:ascii="Arial" w:hAnsi="Arial" w:cs="Arial"/>
          <w:b/>
          <w:bCs/>
          <w:i/>
          <w:iCs/>
        </w:rPr>
        <w:t>tier A monetary penalty</w:t>
      </w:r>
      <w:r w:rsidR="00892317" w:rsidRPr="00C40B4E">
        <w:rPr>
          <w:rFonts w:ascii="Arial" w:hAnsi="Arial" w:cs="Arial"/>
          <w:b/>
          <w:bCs/>
          <w:i/>
          <w:iCs/>
        </w:rPr>
        <w:t>, tier B monetary penalty, tier C monetary penalty</w:t>
      </w:r>
      <w:r w:rsidR="007005A2" w:rsidRPr="00C40B4E">
        <w:rPr>
          <w:rFonts w:ascii="Arial" w:hAnsi="Arial" w:cs="Arial"/>
          <w:b/>
          <w:bCs/>
          <w:i/>
          <w:iCs/>
        </w:rPr>
        <w:t xml:space="preserve">, tier D monetary penalty, tier E monetary penalty, tier F monetary penalty, tier G </w:t>
      </w:r>
      <w:r w:rsidR="007005A2" w:rsidRPr="00C40B4E">
        <w:rPr>
          <w:rFonts w:ascii="Arial" w:hAnsi="Arial" w:cs="Arial"/>
          <w:b/>
          <w:bCs/>
          <w:i/>
          <w:iCs/>
        </w:rPr>
        <w:lastRenderedPageBreak/>
        <w:t>monetary penalty, tier H monetary penalty, tier I monetary penalty</w:t>
      </w:r>
      <w:r w:rsidR="00C17C4C">
        <w:rPr>
          <w:rFonts w:ascii="Arial" w:hAnsi="Arial" w:cs="Arial"/>
          <w:i/>
          <w:iCs/>
        </w:rPr>
        <w:t xml:space="preserve"> –see Schedule 4, clause 2 for the relevant maximum amounts.</w:t>
      </w:r>
    </w:p>
    <w:p w14:paraId="3E1F3828" w14:textId="7DE784B6" w:rsidR="00641A58" w:rsidRPr="005A24F0" w:rsidRDefault="00403E18" w:rsidP="005A24F0">
      <w:pPr>
        <w:ind w:left="720"/>
        <w:rPr>
          <w:rFonts w:ascii="Arial" w:hAnsi="Arial" w:cs="Arial"/>
          <w:i/>
          <w:iCs/>
        </w:rPr>
      </w:pPr>
      <w:r>
        <w:rPr>
          <w:rFonts w:ascii="Arial" w:hAnsi="Arial" w:cs="Arial"/>
          <w:b/>
          <w:bCs/>
          <w:i/>
          <w:iCs/>
        </w:rPr>
        <w:t>WHS civil penalty provision tier 1, WHS civil penalty provision tier 2, WHS civil penalty provision tier 3, WHS civil penalty provision tier 4</w:t>
      </w:r>
      <w:r w:rsidR="005107E8">
        <w:rPr>
          <w:rFonts w:ascii="Arial" w:hAnsi="Arial" w:cs="Arial"/>
          <w:b/>
          <w:bCs/>
          <w:i/>
          <w:iCs/>
        </w:rPr>
        <w:t xml:space="preserve"> </w:t>
      </w:r>
      <w:r w:rsidR="005107E8" w:rsidRPr="00D522FD">
        <w:rPr>
          <w:rFonts w:ascii="Arial" w:hAnsi="Arial" w:cs="Arial"/>
          <w:i/>
          <w:iCs/>
        </w:rPr>
        <w:t>–</w:t>
      </w:r>
      <w:r w:rsidR="005107E8">
        <w:rPr>
          <w:rFonts w:ascii="Arial" w:hAnsi="Arial" w:cs="Arial"/>
          <w:b/>
          <w:bCs/>
          <w:i/>
          <w:iCs/>
        </w:rPr>
        <w:t xml:space="preserve"> </w:t>
      </w:r>
      <w:r w:rsidR="005107E8">
        <w:rPr>
          <w:rFonts w:ascii="Arial" w:hAnsi="Arial" w:cs="Arial"/>
          <w:i/>
          <w:iCs/>
        </w:rPr>
        <w:t xml:space="preserve">see </w:t>
      </w:r>
      <w:r w:rsidR="00C83770">
        <w:rPr>
          <w:rFonts w:ascii="Arial" w:hAnsi="Arial" w:cs="Arial"/>
          <w:i/>
          <w:iCs/>
        </w:rPr>
        <w:t>S</w:t>
      </w:r>
      <w:r w:rsidR="005107E8">
        <w:rPr>
          <w:rFonts w:ascii="Arial" w:hAnsi="Arial" w:cs="Arial"/>
          <w:i/>
          <w:iCs/>
        </w:rPr>
        <w:t xml:space="preserve">chedule 4, clause 3 for the relevant maximum amounts. </w:t>
      </w:r>
    </w:p>
    <w:p w14:paraId="49CB2672" w14:textId="6F565495" w:rsidR="00641A58" w:rsidRDefault="00641A58" w:rsidP="00641A58">
      <w:pPr>
        <w:rPr>
          <w:rFonts w:ascii="Arial" w:hAnsi="Arial" w:cs="Arial"/>
          <w:b/>
          <w:bCs/>
          <w:u w:val="single"/>
        </w:rPr>
      </w:pPr>
      <w:r>
        <w:rPr>
          <w:rFonts w:ascii="Arial" w:hAnsi="Arial" w:cs="Arial"/>
          <w:b/>
          <w:bCs/>
          <w:u w:val="single"/>
        </w:rPr>
        <w:t>Item [2] Section 30A</w:t>
      </w:r>
    </w:p>
    <w:p w14:paraId="0B64AB88" w14:textId="3E3370A8" w:rsidR="00B34255" w:rsidRPr="0009062A" w:rsidRDefault="00FE521E" w:rsidP="00641A58">
      <w:pPr>
        <w:rPr>
          <w:rFonts w:ascii="Arial" w:hAnsi="Arial" w:cs="Arial"/>
          <w:i/>
          <w:iCs/>
          <w:u w:val="single"/>
        </w:rPr>
      </w:pPr>
      <w:r w:rsidRPr="0009062A">
        <w:rPr>
          <w:rFonts w:ascii="Arial" w:hAnsi="Arial" w:cs="Arial"/>
          <w:i/>
          <w:iCs/>
          <w:u w:val="single"/>
        </w:rPr>
        <w:t xml:space="preserve">Background </w:t>
      </w:r>
      <w:r w:rsidR="0009062A">
        <w:rPr>
          <w:rFonts w:ascii="Arial" w:hAnsi="Arial" w:cs="Arial"/>
          <w:i/>
          <w:iCs/>
          <w:u w:val="single"/>
        </w:rPr>
        <w:t xml:space="preserve">– Industrial manslaughter </w:t>
      </w:r>
    </w:p>
    <w:p w14:paraId="383EC41F" w14:textId="7DFD7A4A" w:rsidR="00E5767A" w:rsidRDefault="00FE521E" w:rsidP="0018363F">
      <w:pPr>
        <w:spacing w:before="120"/>
        <w:jc w:val="both"/>
        <w:rPr>
          <w:rFonts w:ascii="Arial" w:hAnsi="Arial" w:cs="Arial"/>
        </w:rPr>
      </w:pPr>
      <w:r w:rsidRPr="00452992">
        <w:rPr>
          <w:rFonts w:ascii="Arial" w:hAnsi="Arial" w:cs="Arial"/>
        </w:rPr>
        <w:t xml:space="preserve">Recommendation 23b of the 2018 Review </w:t>
      </w:r>
      <w:r w:rsidR="00806169">
        <w:rPr>
          <w:rFonts w:ascii="Arial" w:hAnsi="Arial" w:cs="Arial"/>
        </w:rPr>
        <w:t xml:space="preserve">of the model WHS laws </w:t>
      </w:r>
      <w:r w:rsidRPr="00452992">
        <w:rPr>
          <w:rFonts w:ascii="Arial" w:hAnsi="Arial" w:cs="Arial"/>
        </w:rPr>
        <w:t>was to include an industrial manslaughter offence in the model WHS Act</w:t>
      </w:r>
      <w:r w:rsidR="000B38BF">
        <w:rPr>
          <w:rFonts w:ascii="Arial" w:hAnsi="Arial" w:cs="Arial"/>
        </w:rPr>
        <w:t>. H</w:t>
      </w:r>
      <w:r w:rsidRPr="00452992">
        <w:rPr>
          <w:rFonts w:ascii="Arial" w:hAnsi="Arial" w:cs="Arial"/>
        </w:rPr>
        <w:t xml:space="preserve">owever, the Decision Regulation Impact </w:t>
      </w:r>
      <w:r w:rsidR="00046B72" w:rsidRPr="00452992">
        <w:rPr>
          <w:rFonts w:ascii="Arial" w:hAnsi="Arial" w:cs="Arial"/>
        </w:rPr>
        <w:t>Statement</w:t>
      </w:r>
      <w:r w:rsidR="00046B72">
        <w:rPr>
          <w:rFonts w:ascii="Arial" w:hAnsi="Arial" w:cs="Arial"/>
        </w:rPr>
        <w:t xml:space="preserve"> to</w:t>
      </w:r>
      <w:r w:rsidR="00E5767A">
        <w:rPr>
          <w:rFonts w:ascii="Arial" w:hAnsi="Arial" w:cs="Arial"/>
        </w:rPr>
        <w:t xml:space="preserve"> the 2018 Review </w:t>
      </w:r>
      <w:r w:rsidR="00C83770">
        <w:rPr>
          <w:rFonts w:ascii="Arial" w:hAnsi="Arial" w:cs="Arial"/>
        </w:rPr>
        <w:t>(D</w:t>
      </w:r>
      <w:r w:rsidR="00E5767A">
        <w:rPr>
          <w:rFonts w:ascii="Arial" w:hAnsi="Arial" w:cs="Arial"/>
        </w:rPr>
        <w:t xml:space="preserve">ecision </w:t>
      </w:r>
      <w:r w:rsidR="00C83770">
        <w:rPr>
          <w:rFonts w:ascii="Arial" w:hAnsi="Arial" w:cs="Arial"/>
        </w:rPr>
        <w:t xml:space="preserve">RIS) </w:t>
      </w:r>
      <w:r w:rsidRPr="00452992">
        <w:rPr>
          <w:rFonts w:ascii="Arial" w:hAnsi="Arial" w:cs="Arial"/>
        </w:rPr>
        <w:t>did not recommend implement</w:t>
      </w:r>
      <w:r w:rsidR="00C83770">
        <w:rPr>
          <w:rFonts w:ascii="Arial" w:hAnsi="Arial" w:cs="Arial"/>
        </w:rPr>
        <w:t xml:space="preserve">ing </w:t>
      </w:r>
      <w:r w:rsidRPr="00452992">
        <w:rPr>
          <w:rFonts w:ascii="Arial" w:hAnsi="Arial" w:cs="Arial"/>
        </w:rPr>
        <w:t xml:space="preserve">Recommendation 23b.  </w:t>
      </w:r>
    </w:p>
    <w:p w14:paraId="45E7AB89" w14:textId="06981F48" w:rsidR="00FE521E" w:rsidRDefault="00FE521E" w:rsidP="0018363F">
      <w:pPr>
        <w:spacing w:before="120"/>
        <w:jc w:val="both"/>
        <w:rPr>
          <w:rFonts w:ascii="Arial" w:hAnsi="Arial" w:cs="Arial"/>
        </w:rPr>
      </w:pPr>
      <w:r w:rsidRPr="00452992">
        <w:rPr>
          <w:rFonts w:ascii="Arial" w:hAnsi="Arial" w:cs="Arial"/>
        </w:rPr>
        <w:t xml:space="preserve">At the meeting of WHS </w:t>
      </w:r>
      <w:r w:rsidR="00941AB0">
        <w:rPr>
          <w:rFonts w:ascii="Arial" w:hAnsi="Arial" w:cs="Arial"/>
        </w:rPr>
        <w:t>m</w:t>
      </w:r>
      <w:r w:rsidRPr="00452992">
        <w:rPr>
          <w:rFonts w:ascii="Arial" w:hAnsi="Arial" w:cs="Arial"/>
        </w:rPr>
        <w:t xml:space="preserve">inisters on 20 May 2021 which considered the recommendations of the Review, the required two thirds majority of </w:t>
      </w:r>
      <w:r w:rsidR="00941AB0">
        <w:rPr>
          <w:rFonts w:ascii="Arial" w:hAnsi="Arial" w:cs="Arial"/>
        </w:rPr>
        <w:t>m</w:t>
      </w:r>
      <w:r w:rsidRPr="00452992">
        <w:rPr>
          <w:rFonts w:ascii="Arial" w:hAnsi="Arial" w:cs="Arial"/>
        </w:rPr>
        <w:t>inisters did not support amending the model WHS Act to include an industrial manslaughter offence.</w:t>
      </w:r>
    </w:p>
    <w:p w14:paraId="645D77A1" w14:textId="35576D05" w:rsidR="00A92816" w:rsidRDefault="00D32F5F" w:rsidP="00A92816">
      <w:pPr>
        <w:rPr>
          <w:rFonts w:ascii="Arial" w:hAnsi="Arial" w:cs="Arial"/>
        </w:rPr>
      </w:pPr>
      <w:r>
        <w:rPr>
          <w:rFonts w:ascii="Arial" w:hAnsi="Arial" w:cs="Arial"/>
        </w:rPr>
        <w:t>Subsequently, a</w:t>
      </w:r>
      <w:r w:rsidR="00A92816" w:rsidRPr="006C6CD5">
        <w:rPr>
          <w:rFonts w:ascii="Arial" w:hAnsi="Arial" w:cs="Arial"/>
        </w:rPr>
        <w:t xml:space="preserve">t the </w:t>
      </w:r>
      <w:r w:rsidR="00CE2389">
        <w:rPr>
          <w:rFonts w:ascii="Arial" w:hAnsi="Arial" w:cs="Arial"/>
        </w:rPr>
        <w:t xml:space="preserve">meeting of </w:t>
      </w:r>
      <w:r w:rsidR="00A92816" w:rsidRPr="006C6CD5">
        <w:rPr>
          <w:rFonts w:ascii="Arial" w:hAnsi="Arial" w:cs="Arial"/>
        </w:rPr>
        <w:t xml:space="preserve">WHS </w:t>
      </w:r>
      <w:r w:rsidR="00941AB0">
        <w:rPr>
          <w:rFonts w:ascii="Arial" w:hAnsi="Arial" w:cs="Arial"/>
        </w:rPr>
        <w:t>m</w:t>
      </w:r>
      <w:r w:rsidR="00A92816" w:rsidRPr="006C6CD5">
        <w:rPr>
          <w:rFonts w:ascii="Arial" w:hAnsi="Arial" w:cs="Arial"/>
        </w:rPr>
        <w:t xml:space="preserve">inisters on 28 February 2023, </w:t>
      </w:r>
      <w:r w:rsidR="00297F0D">
        <w:rPr>
          <w:rFonts w:ascii="Arial" w:hAnsi="Arial" w:cs="Arial"/>
        </w:rPr>
        <w:t>m</w:t>
      </w:r>
      <w:r w:rsidR="00A92816" w:rsidRPr="006C6CD5">
        <w:rPr>
          <w:rFonts w:ascii="Arial" w:hAnsi="Arial" w:cs="Arial"/>
        </w:rPr>
        <w:t>inisters by majority agreed to amend the model WHS Act to include a jurisdictional note and model penalt</w:t>
      </w:r>
      <w:r w:rsidR="00A92816">
        <w:rPr>
          <w:rFonts w:ascii="Arial" w:hAnsi="Arial" w:cs="Arial"/>
        </w:rPr>
        <w:t>y amounts</w:t>
      </w:r>
      <w:r w:rsidR="00A92816" w:rsidRPr="006C6CD5">
        <w:rPr>
          <w:rFonts w:ascii="Arial" w:hAnsi="Arial" w:cs="Arial"/>
        </w:rPr>
        <w:t xml:space="preserve"> for the offence of industrial manslaughter.</w:t>
      </w:r>
      <w:r w:rsidR="00A92816" w:rsidRPr="004A77DF">
        <w:rPr>
          <w:rFonts w:ascii="Arial" w:hAnsi="Arial" w:cs="Arial"/>
        </w:rPr>
        <w:t xml:space="preserve"> The model penalties agreed by </w:t>
      </w:r>
      <w:r w:rsidR="00E5767A">
        <w:rPr>
          <w:rFonts w:ascii="Arial" w:hAnsi="Arial" w:cs="Arial"/>
        </w:rPr>
        <w:t xml:space="preserve">WHS </w:t>
      </w:r>
      <w:r w:rsidR="00941AB0">
        <w:rPr>
          <w:rFonts w:ascii="Arial" w:hAnsi="Arial" w:cs="Arial"/>
        </w:rPr>
        <w:t>m</w:t>
      </w:r>
      <w:r w:rsidR="00A92816" w:rsidRPr="004A77DF">
        <w:rPr>
          <w:rFonts w:ascii="Arial" w:hAnsi="Arial" w:cs="Arial"/>
        </w:rPr>
        <w:t>inisters were $18 million for a body corporate and 20 years’ imprisonment for an individual</w:t>
      </w:r>
      <w:r w:rsidR="00A92816">
        <w:rPr>
          <w:rFonts w:ascii="Arial" w:hAnsi="Arial" w:cs="Arial"/>
        </w:rPr>
        <w:t xml:space="preserve">. </w:t>
      </w:r>
    </w:p>
    <w:p w14:paraId="6C666BCC" w14:textId="74BC76EF" w:rsidR="00A92816" w:rsidRDefault="00E5767A" w:rsidP="00A92816">
      <w:pPr>
        <w:rPr>
          <w:rFonts w:ascii="Arial" w:hAnsi="Arial" w:cs="Arial"/>
        </w:rPr>
      </w:pPr>
      <w:r>
        <w:rPr>
          <w:rFonts w:ascii="Arial" w:hAnsi="Arial" w:cs="Arial"/>
        </w:rPr>
        <w:t>The amendments will enable jurisdictions to</w:t>
      </w:r>
      <w:r w:rsidR="00CE6241">
        <w:rPr>
          <w:rFonts w:ascii="Arial" w:hAnsi="Arial" w:cs="Arial"/>
        </w:rPr>
        <w:t xml:space="preserve"> create </w:t>
      </w:r>
      <w:r w:rsidR="004E25F7">
        <w:rPr>
          <w:rFonts w:ascii="Arial" w:hAnsi="Arial" w:cs="Arial"/>
        </w:rPr>
        <w:t xml:space="preserve">or retain an existing </w:t>
      </w:r>
      <w:r w:rsidR="00CE6241">
        <w:rPr>
          <w:rFonts w:ascii="Arial" w:hAnsi="Arial" w:cs="Arial"/>
        </w:rPr>
        <w:t>offence of industrial manslaughter</w:t>
      </w:r>
      <w:r w:rsidR="00784D51">
        <w:rPr>
          <w:rFonts w:ascii="Arial" w:hAnsi="Arial" w:cs="Arial"/>
        </w:rPr>
        <w:t xml:space="preserve">. </w:t>
      </w:r>
      <w:r w:rsidR="00066832">
        <w:rPr>
          <w:rFonts w:ascii="Arial" w:hAnsi="Arial" w:cs="Arial"/>
        </w:rPr>
        <w:t xml:space="preserve">The </w:t>
      </w:r>
      <w:r w:rsidR="002D471A">
        <w:rPr>
          <w:rFonts w:ascii="Arial" w:hAnsi="Arial" w:cs="Arial"/>
        </w:rPr>
        <w:t>amendments</w:t>
      </w:r>
      <w:r w:rsidR="009C2B64">
        <w:rPr>
          <w:rFonts w:ascii="Arial" w:hAnsi="Arial" w:cs="Arial"/>
        </w:rPr>
        <w:t xml:space="preserve"> </w:t>
      </w:r>
      <w:r w:rsidR="000D47A4">
        <w:rPr>
          <w:rFonts w:ascii="Arial" w:hAnsi="Arial" w:cs="Arial"/>
        </w:rPr>
        <w:t xml:space="preserve">also </w:t>
      </w:r>
      <w:r w:rsidR="009A64FE">
        <w:rPr>
          <w:rFonts w:ascii="Arial" w:hAnsi="Arial" w:cs="Arial"/>
        </w:rPr>
        <w:t xml:space="preserve">address community expectations </w:t>
      </w:r>
      <w:r w:rsidR="00A42362">
        <w:rPr>
          <w:rFonts w:ascii="Arial" w:hAnsi="Arial" w:cs="Arial"/>
        </w:rPr>
        <w:t xml:space="preserve">that </w:t>
      </w:r>
      <w:r w:rsidR="000D47A4">
        <w:rPr>
          <w:rFonts w:ascii="Arial" w:hAnsi="Arial" w:cs="Arial"/>
        </w:rPr>
        <w:t xml:space="preserve">duty holders should be subject to </w:t>
      </w:r>
      <w:r w:rsidR="00A42362">
        <w:rPr>
          <w:rFonts w:ascii="Arial" w:hAnsi="Arial" w:cs="Arial"/>
        </w:rPr>
        <w:t xml:space="preserve">greater accountability and high penalties </w:t>
      </w:r>
      <w:r w:rsidR="002B7794">
        <w:rPr>
          <w:rFonts w:ascii="Arial" w:hAnsi="Arial" w:cs="Arial"/>
        </w:rPr>
        <w:t xml:space="preserve">where a death has occurred. </w:t>
      </w:r>
    </w:p>
    <w:p w14:paraId="0FEC06C4" w14:textId="785407BB" w:rsidR="00FE521E" w:rsidRPr="005A24F0" w:rsidRDefault="00FE521E" w:rsidP="00FE521E">
      <w:pPr>
        <w:rPr>
          <w:rFonts w:ascii="Arial" w:hAnsi="Arial" w:cs="Arial"/>
          <w:u w:val="single"/>
        </w:rPr>
      </w:pPr>
      <w:r w:rsidRPr="005A24F0">
        <w:rPr>
          <w:rFonts w:ascii="Arial" w:hAnsi="Arial" w:cs="Arial"/>
          <w:u w:val="single"/>
        </w:rPr>
        <w:t xml:space="preserve">Item </w:t>
      </w:r>
      <w:r w:rsidR="000154E9" w:rsidRPr="005A24F0">
        <w:rPr>
          <w:rFonts w:ascii="Arial" w:hAnsi="Arial" w:cs="Arial"/>
          <w:u w:val="single"/>
        </w:rPr>
        <w:t>[2]</w:t>
      </w:r>
      <w:r w:rsidRPr="005A24F0">
        <w:rPr>
          <w:rFonts w:ascii="Arial" w:hAnsi="Arial" w:cs="Arial"/>
          <w:u w:val="single"/>
        </w:rPr>
        <w:t xml:space="preserve"> Section 30A</w:t>
      </w:r>
    </w:p>
    <w:p w14:paraId="427678A7" w14:textId="1C9D67D7" w:rsidR="00376F7C" w:rsidRDefault="00641A58" w:rsidP="00641A58">
      <w:pPr>
        <w:rPr>
          <w:rFonts w:ascii="Arial" w:hAnsi="Arial" w:cs="Arial"/>
        </w:rPr>
      </w:pPr>
      <w:r w:rsidRPr="00543268">
        <w:rPr>
          <w:rFonts w:ascii="Arial" w:hAnsi="Arial" w:cs="Arial"/>
        </w:rPr>
        <w:t xml:space="preserve">This item inserts a </w:t>
      </w:r>
      <w:r>
        <w:rPr>
          <w:rFonts w:ascii="Arial" w:hAnsi="Arial" w:cs="Arial"/>
        </w:rPr>
        <w:t>new s</w:t>
      </w:r>
      <w:r w:rsidR="00E6264A">
        <w:rPr>
          <w:rFonts w:ascii="Arial" w:hAnsi="Arial" w:cs="Arial"/>
        </w:rPr>
        <w:t>ection</w:t>
      </w:r>
      <w:r>
        <w:rPr>
          <w:rFonts w:ascii="Arial" w:hAnsi="Arial" w:cs="Arial"/>
        </w:rPr>
        <w:t xml:space="preserve"> 30A </w:t>
      </w:r>
      <w:r w:rsidR="00DC7B20">
        <w:rPr>
          <w:rFonts w:ascii="Arial" w:hAnsi="Arial" w:cs="Arial"/>
        </w:rPr>
        <w:t>to include</w:t>
      </w:r>
      <w:r>
        <w:rPr>
          <w:rFonts w:ascii="Arial" w:hAnsi="Arial" w:cs="Arial"/>
        </w:rPr>
        <w:t xml:space="preserve"> a jurisdictional note for the offence of industrial manslaughter and specifies model penalties for the offence. </w:t>
      </w:r>
    </w:p>
    <w:p w14:paraId="4234DB9D" w14:textId="31CA4069" w:rsidR="003E1376" w:rsidRDefault="00641A58" w:rsidP="00641A58">
      <w:pPr>
        <w:rPr>
          <w:rFonts w:ascii="Arial" w:hAnsi="Arial" w:cs="Arial"/>
        </w:rPr>
      </w:pPr>
      <w:r>
        <w:rPr>
          <w:rFonts w:ascii="Arial" w:hAnsi="Arial" w:cs="Arial"/>
        </w:rPr>
        <w:t>The new s</w:t>
      </w:r>
      <w:r w:rsidR="00E6264A">
        <w:rPr>
          <w:rFonts w:ascii="Arial" w:hAnsi="Arial" w:cs="Arial"/>
        </w:rPr>
        <w:t>ection</w:t>
      </w:r>
      <w:r>
        <w:rPr>
          <w:rFonts w:ascii="Arial" w:hAnsi="Arial" w:cs="Arial"/>
        </w:rPr>
        <w:t xml:space="preserve"> 30A does not create an industrial manslaughter offence </w:t>
      </w:r>
      <w:r w:rsidR="00601EAB">
        <w:rPr>
          <w:rFonts w:ascii="Arial" w:hAnsi="Arial" w:cs="Arial"/>
        </w:rPr>
        <w:t xml:space="preserve">in the model WHS Act </w:t>
      </w:r>
      <w:r>
        <w:rPr>
          <w:rFonts w:ascii="Arial" w:hAnsi="Arial" w:cs="Arial"/>
        </w:rPr>
        <w:t xml:space="preserve">or set out the elements of such an offence. </w:t>
      </w:r>
      <w:r w:rsidR="00F65CDD">
        <w:rPr>
          <w:rFonts w:ascii="Arial" w:hAnsi="Arial" w:cs="Arial"/>
        </w:rPr>
        <w:t>Section 30A</w:t>
      </w:r>
      <w:r>
        <w:rPr>
          <w:rFonts w:ascii="Arial" w:hAnsi="Arial" w:cs="Arial"/>
        </w:rPr>
        <w:t xml:space="preserve"> </w:t>
      </w:r>
      <w:r w:rsidR="00B55A64">
        <w:rPr>
          <w:rFonts w:ascii="Arial" w:hAnsi="Arial" w:cs="Arial"/>
        </w:rPr>
        <w:t>refers to a</w:t>
      </w:r>
      <w:r>
        <w:rPr>
          <w:rFonts w:ascii="Arial" w:hAnsi="Arial" w:cs="Arial"/>
        </w:rPr>
        <w:t xml:space="preserve"> jurisdictional note in the Appendix, which provides that each jurisdiction may insert local provisions to create an offence of industrial manslaughter. </w:t>
      </w:r>
    </w:p>
    <w:p w14:paraId="119896B2" w14:textId="18BB3A7B" w:rsidR="00641A58" w:rsidRPr="00562D0A" w:rsidRDefault="00641A58" w:rsidP="00641A58">
      <w:pPr>
        <w:rPr>
          <w:rFonts w:ascii="Arial" w:hAnsi="Arial" w:cs="Arial"/>
          <w:color w:val="000000" w:themeColor="text1"/>
        </w:rPr>
      </w:pPr>
      <w:r w:rsidRPr="00562D0A">
        <w:rPr>
          <w:rFonts w:ascii="Arial" w:hAnsi="Arial" w:cs="Arial"/>
          <w:color w:val="000000" w:themeColor="text1"/>
        </w:rPr>
        <w:t xml:space="preserve">The jurisdictional note in the </w:t>
      </w:r>
      <w:r w:rsidR="00C83770">
        <w:rPr>
          <w:rFonts w:ascii="Arial" w:hAnsi="Arial" w:cs="Arial"/>
          <w:color w:val="000000" w:themeColor="text1"/>
        </w:rPr>
        <w:t>A</w:t>
      </w:r>
      <w:r w:rsidRPr="00562D0A">
        <w:rPr>
          <w:rFonts w:ascii="Arial" w:hAnsi="Arial" w:cs="Arial"/>
          <w:color w:val="000000" w:themeColor="text1"/>
        </w:rPr>
        <w:t>ppendix clarifies that the offence of industrial manslaughter is in addition to the existing offence under s</w:t>
      </w:r>
      <w:r w:rsidR="00E6264A">
        <w:rPr>
          <w:rFonts w:ascii="Arial" w:hAnsi="Arial" w:cs="Arial"/>
          <w:color w:val="000000" w:themeColor="text1"/>
        </w:rPr>
        <w:t>ection</w:t>
      </w:r>
      <w:r w:rsidRPr="00562D0A">
        <w:rPr>
          <w:rFonts w:ascii="Arial" w:hAnsi="Arial" w:cs="Arial"/>
          <w:color w:val="000000" w:themeColor="text1"/>
        </w:rPr>
        <w:t xml:space="preserve"> 31 (Gross negligence or reckless conduct – Category 1) and addresses conduct by a person that represents a gross deviation from the reasonable standard of care resulting in a work-related fatality. </w:t>
      </w:r>
    </w:p>
    <w:p w14:paraId="76F2FBC1" w14:textId="47C93613" w:rsidR="00D03EF4" w:rsidRPr="00423833" w:rsidRDefault="00641A58" w:rsidP="00D03EF4">
      <w:pPr>
        <w:spacing w:after="0" w:line="240" w:lineRule="auto"/>
        <w:rPr>
          <w:rFonts w:ascii="Arial" w:hAnsi="Arial" w:cs="Arial"/>
          <w:color w:val="FF0000"/>
        </w:rPr>
      </w:pPr>
      <w:r w:rsidRPr="00D03EF4">
        <w:rPr>
          <w:rFonts w:ascii="Arial" w:hAnsi="Arial" w:cs="Arial"/>
        </w:rPr>
        <w:t xml:space="preserve">The jurisdictional note recommends that the maximum penalty for the offence is 20 years imprisonment for an individual, and a </w:t>
      </w:r>
      <w:r w:rsidR="00D12CDE">
        <w:rPr>
          <w:rFonts w:ascii="Arial" w:hAnsi="Arial" w:cs="Arial"/>
        </w:rPr>
        <w:t>Category 1</w:t>
      </w:r>
      <w:r w:rsidRPr="00D03EF4">
        <w:rPr>
          <w:rFonts w:ascii="Arial" w:hAnsi="Arial" w:cs="Arial"/>
        </w:rPr>
        <w:t xml:space="preserve"> monetary penalty </w:t>
      </w:r>
      <w:r w:rsidR="00601EAB">
        <w:rPr>
          <w:rFonts w:ascii="Arial" w:hAnsi="Arial" w:cs="Arial"/>
        </w:rPr>
        <w:t xml:space="preserve">($18 million) </w:t>
      </w:r>
      <w:r w:rsidRPr="00D03EF4">
        <w:rPr>
          <w:rFonts w:ascii="Arial" w:hAnsi="Arial" w:cs="Arial"/>
        </w:rPr>
        <w:t>for a body corporate.</w:t>
      </w:r>
      <w:r w:rsidR="005B3066">
        <w:rPr>
          <w:rFonts w:ascii="Arial" w:hAnsi="Arial" w:cs="Arial"/>
        </w:rPr>
        <w:t xml:space="preserve"> </w:t>
      </w:r>
      <w:r w:rsidR="0063459D">
        <w:rPr>
          <w:rFonts w:ascii="Arial" w:hAnsi="Arial" w:cs="Arial"/>
        </w:rPr>
        <w:t xml:space="preserve"> </w:t>
      </w:r>
    </w:p>
    <w:p w14:paraId="25D9E8A2" w14:textId="62B12415" w:rsidR="00641A58" w:rsidRDefault="00641A58" w:rsidP="00641A58">
      <w:pPr>
        <w:rPr>
          <w:rFonts w:ascii="Arial" w:hAnsi="Arial" w:cs="Arial"/>
        </w:rPr>
      </w:pPr>
    </w:p>
    <w:p w14:paraId="4E7510D7" w14:textId="1E90511A" w:rsidR="00664D98" w:rsidRPr="00D307D7" w:rsidRDefault="00641A58" w:rsidP="002D1BAB">
      <w:pPr>
        <w:rPr>
          <w:rFonts w:ascii="Arial" w:hAnsi="Arial" w:cs="Arial"/>
          <w:b/>
          <w:bCs/>
        </w:rPr>
      </w:pPr>
      <w:r w:rsidRPr="00A92467">
        <w:rPr>
          <w:rFonts w:ascii="Arial" w:hAnsi="Arial" w:cs="Arial"/>
          <w:b/>
          <w:bCs/>
        </w:rPr>
        <w:t>Item [3] Section 31 (Gross negligence or reckless conduct – Category 1)</w:t>
      </w:r>
    </w:p>
    <w:p w14:paraId="5F90B8A7" w14:textId="43C252D9" w:rsidR="00A5108A" w:rsidRPr="00941AB0" w:rsidRDefault="00BD3BE2" w:rsidP="00941AB0">
      <w:pPr>
        <w:rPr>
          <w:rFonts w:ascii="Arial" w:hAnsi="Arial" w:cs="Arial"/>
        </w:rPr>
      </w:pPr>
      <w:r w:rsidRPr="00E324E2">
        <w:rPr>
          <w:rFonts w:ascii="Arial" w:hAnsi="Arial" w:cs="Arial"/>
        </w:rPr>
        <w:t xml:space="preserve">This is a technical amendment to </w:t>
      </w:r>
      <w:r w:rsidR="00C83770">
        <w:rPr>
          <w:rFonts w:ascii="Arial" w:hAnsi="Arial" w:cs="Arial"/>
        </w:rPr>
        <w:t>paragraph</w:t>
      </w:r>
      <w:r w:rsidR="00D307D7" w:rsidRPr="00543268">
        <w:rPr>
          <w:rFonts w:ascii="Arial" w:hAnsi="Arial" w:cs="Arial"/>
        </w:rPr>
        <w:t xml:space="preserve"> 31</w:t>
      </w:r>
      <w:r w:rsidR="00D307D7">
        <w:rPr>
          <w:rFonts w:ascii="Arial" w:hAnsi="Arial" w:cs="Arial"/>
        </w:rPr>
        <w:t>(1)(b)</w:t>
      </w:r>
      <w:r w:rsidR="00D307D7" w:rsidRPr="00543268">
        <w:rPr>
          <w:rFonts w:ascii="Arial" w:hAnsi="Arial" w:cs="Arial"/>
        </w:rPr>
        <w:t xml:space="preserve"> </w:t>
      </w:r>
      <w:r w:rsidR="00D307D7">
        <w:rPr>
          <w:rFonts w:ascii="Arial" w:hAnsi="Arial" w:cs="Arial"/>
        </w:rPr>
        <w:t xml:space="preserve">to </w:t>
      </w:r>
      <w:r w:rsidR="00D307D7" w:rsidRPr="00A5108A">
        <w:rPr>
          <w:rFonts w:ascii="Arial" w:hAnsi="Arial" w:cs="Arial"/>
        </w:rPr>
        <w:t>clarify</w:t>
      </w:r>
      <w:r w:rsidR="00D307D7">
        <w:rPr>
          <w:rFonts w:ascii="Arial" w:hAnsi="Arial" w:cs="Arial"/>
        </w:rPr>
        <w:t xml:space="preserve"> that an officer may </w:t>
      </w:r>
      <w:r w:rsidR="00601EAB">
        <w:rPr>
          <w:rFonts w:ascii="Arial" w:hAnsi="Arial" w:cs="Arial"/>
        </w:rPr>
        <w:t>commit</w:t>
      </w:r>
      <w:r w:rsidR="00D307D7">
        <w:rPr>
          <w:rFonts w:ascii="Arial" w:hAnsi="Arial" w:cs="Arial"/>
        </w:rPr>
        <w:t xml:space="preserve"> a Category 1 offence under section 31 of the Act. </w:t>
      </w:r>
      <w:r w:rsidR="00D307D7" w:rsidRPr="00941AB0">
        <w:rPr>
          <w:rFonts w:ascii="Arial" w:hAnsi="Arial" w:cs="Arial"/>
        </w:rPr>
        <w:t xml:space="preserve">An </w:t>
      </w:r>
      <w:r w:rsidR="00C83770" w:rsidRPr="00941AB0">
        <w:rPr>
          <w:rFonts w:ascii="Arial" w:hAnsi="Arial" w:cs="Arial"/>
        </w:rPr>
        <w:t>o</w:t>
      </w:r>
      <w:r w:rsidR="00D307D7" w:rsidRPr="00941AB0">
        <w:rPr>
          <w:rFonts w:ascii="Arial" w:hAnsi="Arial" w:cs="Arial"/>
        </w:rPr>
        <w:t xml:space="preserve">fficer’s duty in </w:t>
      </w:r>
      <w:r w:rsidR="00C83770" w:rsidRPr="00941AB0">
        <w:rPr>
          <w:rFonts w:ascii="Arial" w:hAnsi="Arial" w:cs="Arial"/>
        </w:rPr>
        <w:t xml:space="preserve">clause </w:t>
      </w:r>
      <w:r w:rsidR="00D307D7" w:rsidRPr="00941AB0">
        <w:rPr>
          <w:rFonts w:ascii="Arial" w:hAnsi="Arial" w:cs="Arial"/>
        </w:rPr>
        <w:t>27 of the Act is expressed as being owed to a PCBU</w:t>
      </w:r>
      <w:r w:rsidR="00C83770" w:rsidRPr="00941AB0">
        <w:rPr>
          <w:rFonts w:ascii="Arial" w:hAnsi="Arial" w:cs="Arial"/>
        </w:rPr>
        <w:t xml:space="preserve"> (to ensure the PCBU’s compliance with its WHS duties)</w:t>
      </w:r>
      <w:r w:rsidR="00D307D7" w:rsidRPr="00941AB0">
        <w:rPr>
          <w:rFonts w:ascii="Arial" w:hAnsi="Arial" w:cs="Arial"/>
        </w:rPr>
        <w:t xml:space="preserve">, rather than to an individual (as required by section 31). </w:t>
      </w:r>
      <w:r w:rsidR="00601EAB" w:rsidRPr="00941AB0">
        <w:rPr>
          <w:rFonts w:ascii="Arial" w:hAnsi="Arial" w:cs="Arial"/>
        </w:rPr>
        <w:t>However, t</w:t>
      </w:r>
      <w:r w:rsidR="00C83770" w:rsidRPr="00941AB0">
        <w:rPr>
          <w:rFonts w:ascii="Arial" w:hAnsi="Arial" w:cs="Arial"/>
        </w:rPr>
        <w:t xml:space="preserve">he penalties for </w:t>
      </w:r>
      <w:r w:rsidR="00280244" w:rsidRPr="00941AB0">
        <w:rPr>
          <w:rFonts w:ascii="Arial" w:hAnsi="Arial" w:cs="Arial"/>
        </w:rPr>
        <w:t xml:space="preserve">a breach of </w:t>
      </w:r>
      <w:r w:rsidR="00C83770" w:rsidRPr="00941AB0">
        <w:rPr>
          <w:rFonts w:ascii="Arial" w:hAnsi="Arial" w:cs="Arial"/>
        </w:rPr>
        <w:t xml:space="preserve">s 31 have always included a penalty for a breach of the duty by an officer of a PCBU. </w:t>
      </w:r>
      <w:r w:rsidR="00A5108A" w:rsidRPr="00941AB0">
        <w:rPr>
          <w:rFonts w:ascii="Arial" w:hAnsi="Arial" w:cs="Arial"/>
        </w:rPr>
        <w:t xml:space="preserve">This amendment makes it clear that an officer may </w:t>
      </w:r>
      <w:r w:rsidR="00601EAB" w:rsidRPr="00941AB0">
        <w:rPr>
          <w:rFonts w:ascii="Arial" w:hAnsi="Arial" w:cs="Arial"/>
        </w:rPr>
        <w:t>commit</w:t>
      </w:r>
      <w:r w:rsidR="00A5108A" w:rsidRPr="00941AB0">
        <w:rPr>
          <w:rFonts w:ascii="Arial" w:hAnsi="Arial" w:cs="Arial"/>
        </w:rPr>
        <w:t xml:space="preserve"> a Category 1 offence </w:t>
      </w:r>
      <w:r w:rsidR="00A5108A" w:rsidRPr="00941AB0">
        <w:rPr>
          <w:rFonts w:ascii="Arial" w:hAnsi="Arial" w:cs="Arial"/>
        </w:rPr>
        <w:lastRenderedPageBreak/>
        <w:t>under section 31 of the Act</w:t>
      </w:r>
      <w:r w:rsidR="00C83770" w:rsidRPr="00941AB0">
        <w:rPr>
          <w:rFonts w:ascii="Arial" w:hAnsi="Arial" w:cs="Arial"/>
        </w:rPr>
        <w:t xml:space="preserve"> by specifying that the offence is committed if the officer of a PCBU exposes an individual (to whom the PCBU owes a health and safety duty) to a risk of death or serious illness or injury.</w:t>
      </w:r>
    </w:p>
    <w:p w14:paraId="34C05A9A" w14:textId="7A9CB68E" w:rsidR="00641A58" w:rsidRPr="00543268" w:rsidRDefault="00245ED8" w:rsidP="00A5108A">
      <w:pPr>
        <w:spacing w:after="120" w:line="256" w:lineRule="auto"/>
        <w:rPr>
          <w:rFonts w:ascii="Arial" w:hAnsi="Arial" w:cs="Arial"/>
        </w:rPr>
      </w:pPr>
      <w:r w:rsidRPr="00E324E2">
        <w:rPr>
          <w:rFonts w:ascii="Arial" w:hAnsi="Arial" w:cs="Arial"/>
        </w:rPr>
        <w:t>On 7 April 2022, Safe Work Australia Members (Members) agreed to amend the Act to clarify that officers can be convicted of a Category 1 offence.</w:t>
      </w:r>
      <w:r>
        <w:rPr>
          <w:rFonts w:ascii="Arial" w:hAnsi="Arial" w:cs="Arial"/>
        </w:rPr>
        <w:t xml:space="preserve"> </w:t>
      </w:r>
    </w:p>
    <w:p w14:paraId="2D43BDF1" w14:textId="77777777" w:rsidR="00117D03" w:rsidRPr="00A92467" w:rsidRDefault="00117D03" w:rsidP="00117D03">
      <w:pPr>
        <w:rPr>
          <w:rFonts w:ascii="Arial" w:hAnsi="Arial" w:cs="Arial"/>
          <w:b/>
          <w:bCs/>
        </w:rPr>
      </w:pPr>
      <w:r w:rsidRPr="009B701E">
        <w:rPr>
          <w:rFonts w:ascii="Arial" w:hAnsi="Arial" w:cs="Arial"/>
          <w:b/>
          <w:bCs/>
        </w:rPr>
        <w:t>Items [4] – [17], [</w:t>
      </w:r>
      <w:r w:rsidRPr="00181671">
        <w:rPr>
          <w:rFonts w:ascii="Arial" w:hAnsi="Arial" w:cs="Arial"/>
          <w:b/>
          <w:bCs/>
        </w:rPr>
        <w:t>19</w:t>
      </w:r>
      <w:r w:rsidRPr="009B701E">
        <w:rPr>
          <w:rFonts w:ascii="Arial" w:hAnsi="Arial" w:cs="Arial"/>
          <w:b/>
          <w:bCs/>
        </w:rPr>
        <w:t xml:space="preserve">]-[22] </w:t>
      </w:r>
    </w:p>
    <w:p w14:paraId="6502E78A" w14:textId="05AF93A9" w:rsidR="007039C8" w:rsidRPr="007039C8" w:rsidRDefault="007039C8" w:rsidP="00117D03">
      <w:pPr>
        <w:rPr>
          <w:rFonts w:ascii="Arial" w:hAnsi="Arial" w:cs="Arial"/>
          <w:i/>
          <w:iCs/>
          <w:u w:val="single"/>
        </w:rPr>
      </w:pPr>
      <w:r w:rsidRPr="00FE521E">
        <w:rPr>
          <w:rFonts w:ascii="Arial" w:hAnsi="Arial" w:cs="Arial"/>
          <w:i/>
          <w:iCs/>
          <w:u w:val="single"/>
        </w:rPr>
        <w:t>Background</w:t>
      </w:r>
      <w:r>
        <w:rPr>
          <w:rFonts w:ascii="Arial" w:hAnsi="Arial" w:cs="Arial"/>
          <w:i/>
          <w:iCs/>
          <w:u w:val="single"/>
        </w:rPr>
        <w:t xml:space="preserve"> – Penalties </w:t>
      </w:r>
    </w:p>
    <w:p w14:paraId="1ADA8053" w14:textId="796CFBC0" w:rsidR="00117D03" w:rsidRDefault="00117D03" w:rsidP="00117D03">
      <w:pPr>
        <w:rPr>
          <w:rFonts w:ascii="Arial" w:hAnsi="Arial" w:cs="Arial"/>
        </w:rPr>
      </w:pPr>
      <w:r w:rsidRPr="00573E74">
        <w:rPr>
          <w:rFonts w:ascii="Arial" w:hAnsi="Arial" w:cs="Arial"/>
        </w:rPr>
        <w:t>Items 4 –17</w:t>
      </w:r>
      <w:r>
        <w:rPr>
          <w:rFonts w:ascii="Arial" w:hAnsi="Arial" w:cs="Arial"/>
        </w:rPr>
        <w:t xml:space="preserve"> and</w:t>
      </w:r>
      <w:r w:rsidRPr="00573E74">
        <w:rPr>
          <w:rFonts w:ascii="Arial" w:hAnsi="Arial" w:cs="Arial"/>
        </w:rPr>
        <w:t xml:space="preserve"> </w:t>
      </w:r>
      <w:r>
        <w:rPr>
          <w:rFonts w:ascii="Arial" w:hAnsi="Arial" w:cs="Arial"/>
        </w:rPr>
        <w:t>19</w:t>
      </w:r>
      <w:r w:rsidRPr="00573E74">
        <w:rPr>
          <w:rFonts w:ascii="Arial" w:hAnsi="Arial" w:cs="Arial"/>
        </w:rPr>
        <w:t xml:space="preserve">-22 give effect to recommendation 22 of the 2018 Review. </w:t>
      </w:r>
    </w:p>
    <w:p w14:paraId="4B79A55A" w14:textId="77777777" w:rsidR="00117D03" w:rsidRPr="004A6C15" w:rsidRDefault="00117D03" w:rsidP="00117D03">
      <w:pPr>
        <w:spacing w:before="120" w:after="0" w:line="264" w:lineRule="auto"/>
        <w:rPr>
          <w:rFonts w:ascii="Arial" w:hAnsi="Arial" w:cs="Arial"/>
          <w:iCs/>
        </w:rPr>
      </w:pPr>
      <w:r w:rsidRPr="004A6C15">
        <w:rPr>
          <w:rFonts w:ascii="Arial" w:hAnsi="Arial" w:cs="Arial"/>
        </w:rPr>
        <w:t>Recommendation 22 of the 2018 Review recommended:</w:t>
      </w:r>
    </w:p>
    <w:p w14:paraId="14C94630" w14:textId="77777777" w:rsidR="00117D03" w:rsidRPr="004A6C15" w:rsidRDefault="00117D03" w:rsidP="00117D03">
      <w:pPr>
        <w:pStyle w:val="ListParagraph"/>
        <w:numPr>
          <w:ilvl w:val="1"/>
          <w:numId w:val="14"/>
        </w:numPr>
        <w:spacing w:before="120" w:after="0" w:line="264" w:lineRule="auto"/>
        <w:contextualSpacing w:val="0"/>
        <w:rPr>
          <w:rFonts w:ascii="Arial" w:hAnsi="Arial" w:cs="Arial"/>
        </w:rPr>
      </w:pPr>
      <w:r w:rsidRPr="004A6C15">
        <w:rPr>
          <w:rFonts w:ascii="Arial" w:hAnsi="Arial" w:cs="Arial"/>
        </w:rPr>
        <w:t>amending the penalty levels in the model WHS Act to reflect increases in CPI and in the value of penalty units in participating jurisdictions since 2011; and</w:t>
      </w:r>
    </w:p>
    <w:p w14:paraId="089666C6" w14:textId="5E5408D7" w:rsidR="00117D03" w:rsidRPr="004A6C15" w:rsidRDefault="00117D03" w:rsidP="00117D03">
      <w:pPr>
        <w:pStyle w:val="ListParagraph"/>
        <w:numPr>
          <w:ilvl w:val="1"/>
          <w:numId w:val="14"/>
        </w:numPr>
        <w:spacing w:before="120" w:after="0" w:line="264" w:lineRule="auto"/>
        <w:contextualSpacing w:val="0"/>
        <w:rPr>
          <w:rFonts w:ascii="Arial" w:hAnsi="Arial" w:cs="Arial"/>
        </w:rPr>
      </w:pPr>
      <w:r w:rsidRPr="004A6C15">
        <w:rPr>
          <w:rFonts w:ascii="Arial" w:hAnsi="Arial" w:cs="Arial"/>
        </w:rPr>
        <w:t>reviewing the increased penalty levels as part of future reviews of the model WHS Act and model WHS Regulations to ensure the</w:t>
      </w:r>
      <w:r w:rsidR="00E66C70">
        <w:rPr>
          <w:rFonts w:ascii="Arial" w:hAnsi="Arial" w:cs="Arial"/>
        </w:rPr>
        <w:t xml:space="preserve"> levels</w:t>
      </w:r>
      <w:r w:rsidRPr="004A6C15">
        <w:rPr>
          <w:rFonts w:ascii="Arial" w:hAnsi="Arial" w:cs="Arial"/>
        </w:rPr>
        <w:t xml:space="preserve"> remain effective and appropriate.</w:t>
      </w:r>
    </w:p>
    <w:p w14:paraId="640C2240" w14:textId="17E4B3A3" w:rsidR="00AB0AAA" w:rsidRDefault="00117D03" w:rsidP="00117D03">
      <w:pPr>
        <w:spacing w:before="120" w:after="0" w:line="264" w:lineRule="auto"/>
        <w:rPr>
          <w:rFonts w:ascii="Arial" w:hAnsi="Arial" w:cs="Arial"/>
        </w:rPr>
      </w:pPr>
      <w:r w:rsidRPr="003B7AFE">
        <w:rPr>
          <w:rFonts w:ascii="Arial" w:hAnsi="Arial" w:cs="Arial"/>
        </w:rPr>
        <w:t xml:space="preserve">On 20 May 2021, WHS </w:t>
      </w:r>
      <w:r w:rsidR="00941AB0">
        <w:rPr>
          <w:rFonts w:ascii="Arial" w:hAnsi="Arial" w:cs="Arial"/>
        </w:rPr>
        <w:t>m</w:t>
      </w:r>
      <w:r w:rsidRPr="003B7AFE">
        <w:rPr>
          <w:rFonts w:ascii="Arial" w:hAnsi="Arial" w:cs="Arial"/>
        </w:rPr>
        <w:t xml:space="preserve">inisters agreed to Option 2 in the </w:t>
      </w:r>
      <w:r w:rsidRPr="00542549">
        <w:rPr>
          <w:rFonts w:ascii="Arial" w:hAnsi="Arial" w:cs="Arial"/>
        </w:rPr>
        <w:t>DRIS</w:t>
      </w:r>
      <w:r w:rsidRPr="003B7AFE">
        <w:rPr>
          <w:rFonts w:ascii="Arial" w:hAnsi="Arial" w:cs="Arial"/>
        </w:rPr>
        <w:t xml:space="preserve"> to increase penalty levels in the model WHS Act, and to review penalty levels as part of future reviews of the model WHS Act</w:t>
      </w:r>
      <w:r w:rsidR="00046B72">
        <w:rPr>
          <w:rFonts w:ascii="Arial" w:hAnsi="Arial" w:cs="Arial"/>
        </w:rPr>
        <w:t xml:space="preserve">. </w:t>
      </w:r>
      <w:r w:rsidR="00AB0AAA">
        <w:rPr>
          <w:rFonts w:ascii="Arial" w:hAnsi="Arial" w:cs="Arial"/>
          <w:color w:val="000000" w:themeColor="text1"/>
        </w:rPr>
        <w:t>Th</w:t>
      </w:r>
      <w:r w:rsidR="00522467">
        <w:rPr>
          <w:rFonts w:ascii="Arial" w:hAnsi="Arial" w:cs="Arial"/>
          <w:color w:val="000000" w:themeColor="text1"/>
        </w:rPr>
        <w:t xml:space="preserve">is decision </w:t>
      </w:r>
      <w:r w:rsidR="00230526">
        <w:rPr>
          <w:rFonts w:ascii="Arial" w:hAnsi="Arial" w:cs="Arial"/>
          <w:color w:val="000000" w:themeColor="text1"/>
        </w:rPr>
        <w:t xml:space="preserve">also </w:t>
      </w:r>
      <w:r w:rsidR="00BE0084">
        <w:rPr>
          <w:rFonts w:ascii="Arial" w:hAnsi="Arial" w:cs="Arial"/>
          <w:color w:val="000000" w:themeColor="text1"/>
        </w:rPr>
        <w:t xml:space="preserve">extends to </w:t>
      </w:r>
      <w:r w:rsidR="00522467">
        <w:rPr>
          <w:rFonts w:ascii="Arial" w:hAnsi="Arial" w:cs="Arial"/>
          <w:color w:val="000000" w:themeColor="text1"/>
        </w:rPr>
        <w:t>penalty levels for o</w:t>
      </w:r>
      <w:r w:rsidR="00EC06FC">
        <w:rPr>
          <w:rFonts w:ascii="Arial" w:hAnsi="Arial" w:cs="Arial"/>
          <w:color w:val="000000" w:themeColor="text1"/>
        </w:rPr>
        <w:t xml:space="preserve">ffences in the model WHS Regulations. </w:t>
      </w:r>
      <w:r w:rsidR="005C00DF" w:rsidDel="0000476C">
        <w:rPr>
          <w:rFonts w:ascii="Arial" w:hAnsi="Arial" w:cs="Arial"/>
        </w:rPr>
        <w:t xml:space="preserve">The penalty levels </w:t>
      </w:r>
      <w:r w:rsidR="00BA437A" w:rsidDel="0000476C">
        <w:rPr>
          <w:rFonts w:ascii="Arial" w:hAnsi="Arial" w:cs="Arial"/>
        </w:rPr>
        <w:t xml:space="preserve">for offences </w:t>
      </w:r>
      <w:r w:rsidR="005C00DF" w:rsidDel="0000476C">
        <w:rPr>
          <w:rFonts w:ascii="Arial" w:hAnsi="Arial" w:cs="Arial"/>
        </w:rPr>
        <w:t xml:space="preserve">in the model WHS laws had not been increased </w:t>
      </w:r>
      <w:r w:rsidR="00BA437A" w:rsidDel="0000476C">
        <w:rPr>
          <w:rFonts w:ascii="Arial" w:hAnsi="Arial" w:cs="Arial"/>
        </w:rPr>
        <w:t xml:space="preserve">since </w:t>
      </w:r>
      <w:r w:rsidR="00B00DC4">
        <w:rPr>
          <w:rFonts w:ascii="Arial" w:hAnsi="Arial" w:cs="Arial"/>
        </w:rPr>
        <w:t>their</w:t>
      </w:r>
      <w:r w:rsidR="00B00DC4" w:rsidDel="0000476C">
        <w:rPr>
          <w:rFonts w:ascii="Arial" w:hAnsi="Arial" w:cs="Arial"/>
        </w:rPr>
        <w:t xml:space="preserve"> </w:t>
      </w:r>
      <w:r w:rsidR="005C00DF" w:rsidDel="0000476C">
        <w:rPr>
          <w:rFonts w:ascii="Arial" w:hAnsi="Arial" w:cs="Arial"/>
        </w:rPr>
        <w:t>introduc</w:t>
      </w:r>
      <w:r w:rsidR="00FB14D7" w:rsidDel="0000476C">
        <w:rPr>
          <w:rFonts w:ascii="Arial" w:hAnsi="Arial" w:cs="Arial"/>
        </w:rPr>
        <w:t xml:space="preserve">tion </w:t>
      </w:r>
      <w:r w:rsidR="005C00DF" w:rsidDel="0000476C">
        <w:rPr>
          <w:rFonts w:ascii="Arial" w:hAnsi="Arial" w:cs="Arial"/>
        </w:rPr>
        <w:t xml:space="preserve">in 2011. </w:t>
      </w:r>
    </w:p>
    <w:p w14:paraId="0CF16A69" w14:textId="1DBDF1F3" w:rsidR="00117D03" w:rsidRDefault="00117D03" w:rsidP="00117D03">
      <w:pPr>
        <w:spacing w:before="120" w:after="0" w:line="264" w:lineRule="auto"/>
        <w:rPr>
          <w:rFonts w:ascii="Arial" w:hAnsi="Arial" w:cs="Arial"/>
          <w:color w:val="000000" w:themeColor="text1"/>
        </w:rPr>
      </w:pPr>
      <w:r w:rsidRPr="003B7AFE">
        <w:rPr>
          <w:rFonts w:ascii="Arial" w:hAnsi="Arial" w:cs="Arial"/>
        </w:rPr>
        <w:t xml:space="preserve">WHS </w:t>
      </w:r>
      <w:r w:rsidR="00941AB0">
        <w:rPr>
          <w:rFonts w:ascii="Arial" w:hAnsi="Arial" w:cs="Arial"/>
        </w:rPr>
        <w:t>m</w:t>
      </w:r>
      <w:r w:rsidRPr="003B7AFE">
        <w:rPr>
          <w:rFonts w:ascii="Arial" w:hAnsi="Arial" w:cs="Arial"/>
        </w:rPr>
        <w:t xml:space="preserve">inisters also agreed to further consider significant increases to penalties under the model WHS Act in relation to </w:t>
      </w:r>
      <w:r w:rsidRPr="00986346">
        <w:rPr>
          <w:rFonts w:ascii="Arial" w:hAnsi="Arial" w:cs="Arial"/>
          <w:color w:val="000000" w:themeColor="text1"/>
        </w:rPr>
        <w:t xml:space="preserve">Category 1 offences. </w:t>
      </w:r>
    </w:p>
    <w:p w14:paraId="248C05A1" w14:textId="1DEAA533" w:rsidR="00117D03" w:rsidRPr="00127209" w:rsidRDefault="00117D03" w:rsidP="00117D03">
      <w:pPr>
        <w:spacing w:before="120" w:after="0" w:line="264" w:lineRule="auto"/>
        <w:rPr>
          <w:rFonts w:ascii="Arial" w:hAnsi="Arial" w:cs="Arial"/>
          <w:iCs/>
        </w:rPr>
      </w:pPr>
      <w:r w:rsidRPr="00127209">
        <w:rPr>
          <w:rFonts w:ascii="Arial" w:hAnsi="Arial" w:cs="Arial"/>
        </w:rPr>
        <w:t xml:space="preserve">On </w:t>
      </w:r>
      <w:r w:rsidRPr="00127209">
        <w:rPr>
          <w:rFonts w:ascii="Arial" w:hAnsi="Arial" w:cs="Arial"/>
          <w:iCs/>
        </w:rPr>
        <w:t xml:space="preserve">30 June 2022, Members agreed the following actions to give effect to the WHS ministers’ decision </w:t>
      </w:r>
      <w:r w:rsidR="00FB14D7">
        <w:rPr>
          <w:rFonts w:ascii="Arial" w:hAnsi="Arial" w:cs="Arial"/>
          <w:iCs/>
        </w:rPr>
        <w:t>on</w:t>
      </w:r>
      <w:r w:rsidR="00FB14D7" w:rsidRPr="00127209">
        <w:rPr>
          <w:rFonts w:ascii="Arial" w:hAnsi="Arial" w:cs="Arial"/>
          <w:iCs/>
        </w:rPr>
        <w:t xml:space="preserve"> </w:t>
      </w:r>
      <w:r w:rsidRPr="00127209">
        <w:rPr>
          <w:rFonts w:ascii="Arial" w:hAnsi="Arial" w:cs="Arial"/>
          <w:iCs/>
        </w:rPr>
        <w:t xml:space="preserve">Recommendation 22: </w:t>
      </w:r>
    </w:p>
    <w:p w14:paraId="2AC0AFE8" w14:textId="22B9F6FB" w:rsidR="00117D03" w:rsidRPr="00127209" w:rsidRDefault="00117D03" w:rsidP="00117D03">
      <w:pPr>
        <w:pStyle w:val="ListParagraph"/>
        <w:numPr>
          <w:ilvl w:val="0"/>
          <w:numId w:val="15"/>
        </w:numPr>
        <w:spacing w:before="120" w:after="0" w:line="264" w:lineRule="auto"/>
        <w:contextualSpacing w:val="0"/>
        <w:rPr>
          <w:rFonts w:ascii="Arial" w:hAnsi="Arial" w:cs="Arial"/>
          <w:iCs/>
        </w:rPr>
      </w:pPr>
      <w:r w:rsidRPr="00127209">
        <w:rPr>
          <w:rFonts w:ascii="Arial" w:hAnsi="Arial" w:cs="Arial"/>
          <w:iCs/>
        </w:rPr>
        <w:t>to amend the model WHS Act to insert a mechanism to increase penalties annually in line with national CPI so that penalties maintain their real value</w:t>
      </w:r>
      <w:r w:rsidR="00FB14D7">
        <w:rPr>
          <w:rFonts w:ascii="Arial" w:hAnsi="Arial" w:cs="Arial"/>
          <w:iCs/>
        </w:rPr>
        <w:t xml:space="preserve"> over time</w:t>
      </w:r>
      <w:r>
        <w:rPr>
          <w:rFonts w:ascii="Arial" w:hAnsi="Arial" w:cs="Arial"/>
          <w:iCs/>
        </w:rPr>
        <w:t xml:space="preserve">; </w:t>
      </w:r>
    </w:p>
    <w:p w14:paraId="3D291685" w14:textId="21F4AEFC" w:rsidR="00117D03" w:rsidRDefault="00117D03" w:rsidP="00117D03">
      <w:pPr>
        <w:pStyle w:val="ListParagraph"/>
        <w:numPr>
          <w:ilvl w:val="0"/>
          <w:numId w:val="15"/>
        </w:numPr>
        <w:spacing w:before="120" w:after="0" w:line="264" w:lineRule="auto"/>
        <w:contextualSpacing w:val="0"/>
        <w:rPr>
          <w:rFonts w:ascii="Arial" w:hAnsi="Arial" w:cs="Arial"/>
          <w:iCs/>
        </w:rPr>
      </w:pPr>
      <w:r w:rsidRPr="00127209">
        <w:rPr>
          <w:rFonts w:ascii="Arial" w:hAnsi="Arial" w:cs="Arial"/>
          <w:iCs/>
        </w:rPr>
        <w:t>to amend the model WHS Act to immediately increase monetary penalties by 39.03%</w:t>
      </w:r>
      <w:r>
        <w:rPr>
          <w:rFonts w:ascii="Arial" w:hAnsi="Arial" w:cs="Arial"/>
          <w:iCs/>
        </w:rPr>
        <w:t xml:space="preserve">. </w:t>
      </w:r>
    </w:p>
    <w:p w14:paraId="5B8D57C1" w14:textId="33AD526C" w:rsidR="002F4A23" w:rsidRDefault="00DA2CBB" w:rsidP="003D4C00">
      <w:pPr>
        <w:spacing w:before="120" w:after="0" w:line="264" w:lineRule="auto"/>
        <w:rPr>
          <w:rFonts w:ascii="Arial" w:hAnsi="Arial" w:cs="Arial"/>
          <w:iCs/>
        </w:rPr>
      </w:pPr>
      <w:r>
        <w:rPr>
          <w:rFonts w:ascii="Arial" w:hAnsi="Arial" w:cs="Arial"/>
          <w:iCs/>
        </w:rPr>
        <w:t xml:space="preserve">The 39.03% increase </w:t>
      </w:r>
      <w:r w:rsidR="00542982">
        <w:rPr>
          <w:rFonts w:ascii="Arial" w:hAnsi="Arial" w:cs="Arial"/>
          <w:iCs/>
        </w:rPr>
        <w:t xml:space="preserve">in monetary penalty amounts </w:t>
      </w:r>
      <w:r w:rsidR="00440E79">
        <w:rPr>
          <w:rFonts w:ascii="Arial" w:hAnsi="Arial" w:cs="Arial"/>
          <w:iCs/>
        </w:rPr>
        <w:t xml:space="preserve">represents the </w:t>
      </w:r>
      <w:r w:rsidR="00993140">
        <w:rPr>
          <w:rFonts w:ascii="Arial" w:hAnsi="Arial" w:cs="Arial"/>
          <w:iCs/>
        </w:rPr>
        <w:t xml:space="preserve">average increase in penalty units </w:t>
      </w:r>
      <w:r w:rsidR="001F3A4B">
        <w:rPr>
          <w:rFonts w:ascii="Arial" w:hAnsi="Arial" w:cs="Arial"/>
          <w:iCs/>
        </w:rPr>
        <w:t xml:space="preserve">for non-WHS offences </w:t>
      </w:r>
      <w:r w:rsidR="00A762BB">
        <w:rPr>
          <w:rFonts w:ascii="Arial" w:hAnsi="Arial" w:cs="Arial"/>
          <w:iCs/>
        </w:rPr>
        <w:t>across</w:t>
      </w:r>
      <w:r w:rsidR="005D26D3">
        <w:rPr>
          <w:rFonts w:ascii="Arial" w:hAnsi="Arial" w:cs="Arial"/>
          <w:iCs/>
        </w:rPr>
        <w:t xml:space="preserve"> </w:t>
      </w:r>
      <w:r w:rsidR="002F6241">
        <w:rPr>
          <w:rFonts w:ascii="Arial" w:hAnsi="Arial" w:cs="Arial"/>
          <w:iCs/>
        </w:rPr>
        <w:t xml:space="preserve">all </w:t>
      </w:r>
      <w:r w:rsidR="005D26D3">
        <w:rPr>
          <w:rFonts w:ascii="Arial" w:hAnsi="Arial" w:cs="Arial"/>
          <w:iCs/>
        </w:rPr>
        <w:t>jurisdiction</w:t>
      </w:r>
      <w:r w:rsidR="00A762BB">
        <w:rPr>
          <w:rFonts w:ascii="Arial" w:hAnsi="Arial" w:cs="Arial"/>
          <w:iCs/>
        </w:rPr>
        <w:t>s since 2011 (when the model WHS law was introduced)</w:t>
      </w:r>
      <w:r w:rsidR="00542982">
        <w:rPr>
          <w:rFonts w:ascii="Arial" w:hAnsi="Arial" w:cs="Arial"/>
          <w:iCs/>
        </w:rPr>
        <w:t>.</w:t>
      </w:r>
      <w:r w:rsidR="00411931">
        <w:rPr>
          <w:rFonts w:ascii="Arial" w:hAnsi="Arial" w:cs="Arial"/>
          <w:iCs/>
        </w:rPr>
        <w:t xml:space="preserve"> </w:t>
      </w:r>
      <w:r w:rsidR="00CE1DDD">
        <w:rPr>
          <w:rFonts w:ascii="Arial" w:hAnsi="Arial" w:cs="Arial"/>
          <w:iCs/>
        </w:rPr>
        <w:t xml:space="preserve"> </w:t>
      </w:r>
    </w:p>
    <w:p w14:paraId="42E9C1EE" w14:textId="19236230" w:rsidR="00240B14" w:rsidRDefault="002D5D41" w:rsidP="003D4C00">
      <w:pPr>
        <w:spacing w:before="120" w:after="0" w:line="264" w:lineRule="auto"/>
        <w:rPr>
          <w:rFonts w:ascii="Arial" w:hAnsi="Arial" w:cs="Arial"/>
          <w:iCs/>
        </w:rPr>
      </w:pPr>
      <w:r>
        <w:rPr>
          <w:rFonts w:ascii="Arial" w:hAnsi="Arial" w:cs="Arial"/>
          <w:iCs/>
        </w:rPr>
        <w:t xml:space="preserve">On </w:t>
      </w:r>
      <w:r w:rsidR="00A560EE">
        <w:rPr>
          <w:rFonts w:ascii="Arial" w:hAnsi="Arial" w:cs="Arial"/>
          <w:iCs/>
        </w:rPr>
        <w:t>23 March 2023,</w:t>
      </w:r>
      <w:r w:rsidR="00601EAB">
        <w:rPr>
          <w:rFonts w:ascii="Arial" w:hAnsi="Arial" w:cs="Arial"/>
          <w:iCs/>
        </w:rPr>
        <w:t xml:space="preserve"> </w:t>
      </w:r>
      <w:r w:rsidR="00A560EE">
        <w:rPr>
          <w:rFonts w:ascii="Arial" w:hAnsi="Arial" w:cs="Arial"/>
          <w:iCs/>
        </w:rPr>
        <w:t>Members agreed to sign</w:t>
      </w:r>
      <w:r w:rsidR="00E07421">
        <w:rPr>
          <w:rFonts w:ascii="Arial" w:hAnsi="Arial" w:cs="Arial"/>
          <w:iCs/>
        </w:rPr>
        <w:t>ificantly increase</w:t>
      </w:r>
      <w:r w:rsidR="00851DFD">
        <w:rPr>
          <w:rFonts w:ascii="Arial" w:hAnsi="Arial" w:cs="Arial"/>
          <w:iCs/>
        </w:rPr>
        <w:t xml:space="preserve"> penalties for the Category 1 offence</w:t>
      </w:r>
      <w:r w:rsidR="00BE591E">
        <w:rPr>
          <w:rFonts w:ascii="Arial" w:hAnsi="Arial" w:cs="Arial"/>
          <w:iCs/>
        </w:rPr>
        <w:t xml:space="preserve"> to</w:t>
      </w:r>
      <w:r w:rsidR="0035694F">
        <w:rPr>
          <w:rFonts w:ascii="Arial" w:hAnsi="Arial" w:cs="Arial"/>
          <w:iCs/>
        </w:rPr>
        <w:t xml:space="preserve">: </w:t>
      </w:r>
    </w:p>
    <w:p w14:paraId="22DB41FA" w14:textId="77777777" w:rsidR="00432CA4" w:rsidRPr="00986346" w:rsidRDefault="0035694F" w:rsidP="00432CA4">
      <w:pPr>
        <w:pStyle w:val="ListParagraph"/>
        <w:numPr>
          <w:ilvl w:val="0"/>
          <w:numId w:val="19"/>
        </w:numPr>
        <w:spacing w:before="120" w:after="0" w:line="264" w:lineRule="auto"/>
        <w:rPr>
          <w:rFonts w:ascii="Arial" w:hAnsi="Arial" w:cs="Arial"/>
          <w:iCs/>
        </w:rPr>
      </w:pPr>
      <w:r w:rsidRPr="00986346">
        <w:rPr>
          <w:rFonts w:ascii="Arial" w:hAnsi="Arial" w:cs="Arial"/>
        </w:rPr>
        <w:t xml:space="preserve"> in the case of an offence committed by bodies corporate - $10,425,000</w:t>
      </w:r>
    </w:p>
    <w:p w14:paraId="77C2A2D1" w14:textId="77777777" w:rsidR="00432CA4" w:rsidRPr="00986346" w:rsidRDefault="0035694F" w:rsidP="00432CA4">
      <w:pPr>
        <w:pStyle w:val="ListParagraph"/>
        <w:numPr>
          <w:ilvl w:val="0"/>
          <w:numId w:val="19"/>
        </w:numPr>
        <w:spacing w:before="120" w:after="0" w:line="264" w:lineRule="auto"/>
        <w:rPr>
          <w:rFonts w:ascii="Arial" w:hAnsi="Arial" w:cs="Arial"/>
          <w:iCs/>
        </w:rPr>
      </w:pPr>
      <w:r w:rsidRPr="00986346">
        <w:rPr>
          <w:rFonts w:ascii="Arial" w:hAnsi="Arial" w:cs="Arial"/>
        </w:rPr>
        <w:t xml:space="preserve"> in the case of an offence committed by an individual as a PCBU or as an officer of a PCBU - $2,085,000 or 10 years’ imprisonment or both</w:t>
      </w:r>
    </w:p>
    <w:p w14:paraId="7E54407D" w14:textId="424A7FDE" w:rsidR="00432CA4" w:rsidRPr="00536CAD" w:rsidRDefault="0035694F" w:rsidP="00432CA4">
      <w:pPr>
        <w:pStyle w:val="ListParagraph"/>
        <w:numPr>
          <w:ilvl w:val="0"/>
          <w:numId w:val="19"/>
        </w:numPr>
        <w:spacing w:before="120" w:after="0" w:line="264" w:lineRule="auto"/>
        <w:rPr>
          <w:rFonts w:ascii="Arial" w:hAnsi="Arial" w:cs="Arial"/>
          <w:iCs/>
        </w:rPr>
      </w:pPr>
      <w:r w:rsidRPr="00986346">
        <w:rPr>
          <w:rFonts w:ascii="Arial" w:hAnsi="Arial" w:cs="Arial"/>
        </w:rPr>
        <w:t xml:space="preserve"> in the case of an offence committed by an individual (other than as a PCBU or as an officer of a PCBU) - $1,042,000 or 10 years’ imprisonment or both.</w:t>
      </w:r>
    </w:p>
    <w:p w14:paraId="19EC2A08" w14:textId="70785069" w:rsidR="00117D03" w:rsidRDefault="00432CA4" w:rsidP="00911E73">
      <w:pPr>
        <w:spacing w:before="120" w:after="0" w:line="264" w:lineRule="auto"/>
        <w:rPr>
          <w:rFonts w:ascii="Arial" w:hAnsi="Arial" w:cs="Arial"/>
        </w:rPr>
      </w:pPr>
      <w:r w:rsidRPr="00432CA4">
        <w:rPr>
          <w:rFonts w:ascii="Arial" w:hAnsi="Arial" w:cs="Arial"/>
        </w:rPr>
        <w:t xml:space="preserve">These items give effect to </w:t>
      </w:r>
      <w:r>
        <w:rPr>
          <w:rFonts w:ascii="Arial" w:hAnsi="Arial" w:cs="Arial"/>
        </w:rPr>
        <w:t>these</w:t>
      </w:r>
      <w:r w:rsidRPr="00432CA4">
        <w:rPr>
          <w:rFonts w:ascii="Arial" w:hAnsi="Arial" w:cs="Arial"/>
        </w:rPr>
        <w:t xml:space="preserve"> </w:t>
      </w:r>
      <w:r w:rsidR="00FB14D7">
        <w:rPr>
          <w:rFonts w:ascii="Arial" w:hAnsi="Arial" w:cs="Arial"/>
        </w:rPr>
        <w:t>decisions</w:t>
      </w:r>
      <w:r w:rsidRPr="00432CA4">
        <w:rPr>
          <w:rFonts w:ascii="Arial" w:hAnsi="Arial" w:cs="Arial"/>
        </w:rPr>
        <w:t xml:space="preserve">, by amending the </w:t>
      </w:r>
      <w:r w:rsidRPr="00432CA4">
        <w:rPr>
          <w:rFonts w:ascii="Arial" w:hAnsi="Arial" w:cs="Arial"/>
          <w:iCs/>
        </w:rPr>
        <w:t>model</w:t>
      </w:r>
      <w:r w:rsidRPr="00432CA4">
        <w:rPr>
          <w:rFonts w:ascii="Arial" w:hAnsi="Arial" w:cs="Arial"/>
        </w:rPr>
        <w:t xml:space="preserve"> WHS Act </w:t>
      </w:r>
      <w:r w:rsidR="00A336AE">
        <w:rPr>
          <w:rFonts w:ascii="Arial" w:hAnsi="Arial" w:cs="Arial"/>
        </w:rPr>
        <w:t>to significant</w:t>
      </w:r>
      <w:r w:rsidR="00F2502D">
        <w:rPr>
          <w:rFonts w:ascii="Arial" w:hAnsi="Arial" w:cs="Arial"/>
        </w:rPr>
        <w:t>ly</w:t>
      </w:r>
      <w:r w:rsidR="00A336AE">
        <w:rPr>
          <w:rFonts w:ascii="Arial" w:hAnsi="Arial" w:cs="Arial"/>
        </w:rPr>
        <w:t xml:space="preserve"> increase </w:t>
      </w:r>
      <w:r w:rsidR="00F2502D">
        <w:rPr>
          <w:rFonts w:ascii="Arial" w:hAnsi="Arial" w:cs="Arial"/>
        </w:rPr>
        <w:t xml:space="preserve">the </w:t>
      </w:r>
      <w:r w:rsidR="00A336AE">
        <w:rPr>
          <w:rFonts w:ascii="Arial" w:hAnsi="Arial" w:cs="Arial"/>
        </w:rPr>
        <w:t xml:space="preserve">penalties for the Category 1 offence, </w:t>
      </w:r>
      <w:r w:rsidRPr="00432CA4">
        <w:rPr>
          <w:rFonts w:ascii="Arial" w:hAnsi="Arial" w:cs="Arial"/>
        </w:rPr>
        <w:t>to increase</w:t>
      </w:r>
      <w:r w:rsidR="00996CE6">
        <w:rPr>
          <w:rFonts w:ascii="Arial" w:hAnsi="Arial" w:cs="Arial"/>
        </w:rPr>
        <w:t xml:space="preserve"> the</w:t>
      </w:r>
      <w:r w:rsidRPr="00432CA4">
        <w:rPr>
          <w:rFonts w:ascii="Arial" w:hAnsi="Arial" w:cs="Arial"/>
        </w:rPr>
        <w:t xml:space="preserve"> monetary penalties </w:t>
      </w:r>
      <w:r w:rsidR="00F2502D">
        <w:rPr>
          <w:rFonts w:ascii="Arial" w:hAnsi="Arial" w:cs="Arial"/>
        </w:rPr>
        <w:t xml:space="preserve">in the model WHS laws </w:t>
      </w:r>
      <w:r w:rsidRPr="00432CA4">
        <w:rPr>
          <w:rFonts w:ascii="Arial" w:hAnsi="Arial" w:cs="Arial"/>
        </w:rPr>
        <w:t>by 39.03%</w:t>
      </w:r>
      <w:r w:rsidR="00A336AE">
        <w:rPr>
          <w:rFonts w:ascii="Arial" w:hAnsi="Arial" w:cs="Arial"/>
        </w:rPr>
        <w:t xml:space="preserve"> and</w:t>
      </w:r>
      <w:r w:rsidRPr="00432CA4">
        <w:rPr>
          <w:rFonts w:ascii="Arial" w:hAnsi="Arial" w:cs="Arial"/>
        </w:rPr>
        <w:t xml:space="preserve"> </w:t>
      </w:r>
      <w:r w:rsidR="00996CE6">
        <w:rPr>
          <w:rFonts w:ascii="Arial" w:hAnsi="Arial" w:cs="Arial"/>
        </w:rPr>
        <w:t xml:space="preserve">introduce annual indexation of penalty amounts </w:t>
      </w:r>
      <w:r w:rsidRPr="00432CA4">
        <w:rPr>
          <w:rFonts w:ascii="Arial" w:hAnsi="Arial" w:cs="Arial"/>
        </w:rPr>
        <w:t xml:space="preserve">to reflect the </w:t>
      </w:r>
      <w:r w:rsidR="00996CE6">
        <w:rPr>
          <w:rFonts w:ascii="Arial" w:hAnsi="Arial" w:cs="Arial"/>
        </w:rPr>
        <w:t xml:space="preserve">movement in the </w:t>
      </w:r>
      <w:r w:rsidRPr="00432CA4">
        <w:rPr>
          <w:rFonts w:ascii="Arial" w:hAnsi="Arial" w:cs="Arial"/>
        </w:rPr>
        <w:t>Australian Consumer Price Index (‘CPI’)</w:t>
      </w:r>
      <w:r w:rsidR="00630E67">
        <w:rPr>
          <w:rFonts w:ascii="Arial" w:hAnsi="Arial" w:cs="Arial"/>
        </w:rPr>
        <w:t xml:space="preserve">. </w:t>
      </w:r>
    </w:p>
    <w:p w14:paraId="0C355FB4" w14:textId="0776D031" w:rsidR="00FF7B60" w:rsidRDefault="00FF7B60" w:rsidP="00117D03">
      <w:pPr>
        <w:rPr>
          <w:rFonts w:ascii="Arial" w:hAnsi="Arial" w:cs="Arial"/>
        </w:rPr>
      </w:pPr>
      <w:r w:rsidRPr="00911E73">
        <w:rPr>
          <w:rFonts w:ascii="Arial" w:hAnsi="Arial" w:cs="Arial"/>
        </w:rPr>
        <w:lastRenderedPageBreak/>
        <w:t xml:space="preserve">There are </w:t>
      </w:r>
      <w:r>
        <w:rPr>
          <w:rFonts w:ascii="Arial" w:hAnsi="Arial" w:cs="Arial"/>
        </w:rPr>
        <w:t xml:space="preserve">13 different penalty amounts in </w:t>
      </w:r>
      <w:r w:rsidR="00601EAB">
        <w:rPr>
          <w:rFonts w:ascii="Arial" w:hAnsi="Arial" w:cs="Arial"/>
        </w:rPr>
        <w:t>the model WHS laws</w:t>
      </w:r>
      <w:r w:rsidR="007C37C2">
        <w:rPr>
          <w:rFonts w:ascii="Arial" w:hAnsi="Arial" w:cs="Arial"/>
        </w:rPr>
        <w:t>. T</w:t>
      </w:r>
      <w:r w:rsidR="00601EAB">
        <w:rPr>
          <w:rFonts w:ascii="Arial" w:hAnsi="Arial" w:cs="Arial"/>
        </w:rPr>
        <w:t xml:space="preserve">here are </w:t>
      </w:r>
      <w:r w:rsidR="00542982">
        <w:rPr>
          <w:rFonts w:ascii="Arial" w:hAnsi="Arial" w:cs="Arial"/>
        </w:rPr>
        <w:t xml:space="preserve">also </w:t>
      </w:r>
      <w:r w:rsidR="00601EAB">
        <w:rPr>
          <w:rFonts w:ascii="Arial" w:hAnsi="Arial" w:cs="Arial"/>
        </w:rPr>
        <w:t xml:space="preserve">more than 600 provisions of the model WHS Act and model WHS Regulations </w:t>
      </w:r>
      <w:r w:rsidR="007C37C2">
        <w:rPr>
          <w:rFonts w:ascii="Arial" w:hAnsi="Arial" w:cs="Arial"/>
        </w:rPr>
        <w:t xml:space="preserve">that </w:t>
      </w:r>
      <w:r w:rsidR="004D5780">
        <w:rPr>
          <w:rFonts w:ascii="Arial" w:hAnsi="Arial" w:cs="Arial"/>
        </w:rPr>
        <w:t>creat</w:t>
      </w:r>
      <w:r w:rsidR="007C37C2">
        <w:rPr>
          <w:rFonts w:ascii="Arial" w:hAnsi="Arial" w:cs="Arial"/>
        </w:rPr>
        <w:t>e an</w:t>
      </w:r>
      <w:r w:rsidR="004D5780">
        <w:rPr>
          <w:rFonts w:ascii="Arial" w:hAnsi="Arial" w:cs="Arial"/>
        </w:rPr>
        <w:t xml:space="preserve"> offence or civil penalty provision </w:t>
      </w:r>
      <w:r w:rsidR="00876972">
        <w:rPr>
          <w:rFonts w:ascii="Arial" w:hAnsi="Arial" w:cs="Arial"/>
        </w:rPr>
        <w:t>and for</w:t>
      </w:r>
      <w:r w:rsidR="004D5780">
        <w:rPr>
          <w:rFonts w:ascii="Arial" w:hAnsi="Arial" w:cs="Arial"/>
        </w:rPr>
        <w:t xml:space="preserve"> which individual</w:t>
      </w:r>
      <w:r w:rsidR="007C37C2">
        <w:rPr>
          <w:rFonts w:ascii="Arial" w:hAnsi="Arial" w:cs="Arial"/>
        </w:rPr>
        <w:t xml:space="preserve"> monetary</w:t>
      </w:r>
      <w:r w:rsidR="004D5780">
        <w:rPr>
          <w:rFonts w:ascii="Arial" w:hAnsi="Arial" w:cs="Arial"/>
        </w:rPr>
        <w:t xml:space="preserve"> </w:t>
      </w:r>
      <w:r w:rsidR="00601EAB">
        <w:rPr>
          <w:rFonts w:ascii="Arial" w:hAnsi="Arial" w:cs="Arial"/>
        </w:rPr>
        <w:t xml:space="preserve">penalty amounts </w:t>
      </w:r>
      <w:r w:rsidR="004D5780">
        <w:rPr>
          <w:rFonts w:ascii="Arial" w:hAnsi="Arial" w:cs="Arial"/>
        </w:rPr>
        <w:t xml:space="preserve">are </w:t>
      </w:r>
      <w:r w:rsidR="007C37C2">
        <w:rPr>
          <w:rFonts w:ascii="Arial" w:hAnsi="Arial" w:cs="Arial"/>
        </w:rPr>
        <w:t>specified</w:t>
      </w:r>
      <w:r w:rsidR="00601EAB">
        <w:rPr>
          <w:rFonts w:ascii="Arial" w:hAnsi="Arial" w:cs="Arial"/>
        </w:rPr>
        <w:t xml:space="preserve">. Given the number of </w:t>
      </w:r>
      <w:r w:rsidR="007C37C2">
        <w:rPr>
          <w:rFonts w:ascii="Arial" w:hAnsi="Arial" w:cs="Arial"/>
        </w:rPr>
        <w:t xml:space="preserve">individual </w:t>
      </w:r>
      <w:r w:rsidR="00601EAB">
        <w:rPr>
          <w:rFonts w:ascii="Arial" w:hAnsi="Arial" w:cs="Arial"/>
        </w:rPr>
        <w:t>penalty provisions,</w:t>
      </w:r>
      <w:r w:rsidR="007C37C2">
        <w:rPr>
          <w:rFonts w:ascii="Arial" w:hAnsi="Arial" w:cs="Arial"/>
        </w:rPr>
        <w:t xml:space="preserve"> the</w:t>
      </w:r>
      <w:r w:rsidR="00601EAB">
        <w:rPr>
          <w:rFonts w:ascii="Arial" w:hAnsi="Arial" w:cs="Arial"/>
        </w:rPr>
        <w:t xml:space="preserve"> introduction of </w:t>
      </w:r>
      <w:r w:rsidR="00876972">
        <w:rPr>
          <w:rFonts w:ascii="Arial" w:hAnsi="Arial" w:cs="Arial"/>
        </w:rPr>
        <w:t xml:space="preserve">annual </w:t>
      </w:r>
      <w:r w:rsidR="00601EAB">
        <w:rPr>
          <w:rFonts w:ascii="Arial" w:hAnsi="Arial" w:cs="Arial"/>
        </w:rPr>
        <w:t xml:space="preserve">indexation to adjust penalty amounts in the model WHS law for </w:t>
      </w:r>
      <w:r w:rsidR="007C37C2">
        <w:rPr>
          <w:rFonts w:ascii="Arial" w:hAnsi="Arial" w:cs="Arial"/>
        </w:rPr>
        <w:t xml:space="preserve">future </w:t>
      </w:r>
      <w:r w:rsidR="00601EAB">
        <w:rPr>
          <w:rFonts w:ascii="Arial" w:hAnsi="Arial" w:cs="Arial"/>
        </w:rPr>
        <w:t>movements in national CPI necessitates a different drafting approach to the specification of penalties.</w:t>
      </w:r>
    </w:p>
    <w:p w14:paraId="1023C718" w14:textId="54D8AF53" w:rsidR="00921DB0" w:rsidRDefault="00601EAB" w:rsidP="00117D03">
      <w:pPr>
        <w:rPr>
          <w:rFonts w:ascii="Arial" w:hAnsi="Arial" w:cs="Arial"/>
        </w:rPr>
      </w:pPr>
      <w:r>
        <w:rPr>
          <w:rFonts w:ascii="Arial" w:hAnsi="Arial" w:cs="Arial"/>
        </w:rPr>
        <w:t>At present, every offence/civil penalty provision includes the</w:t>
      </w:r>
      <w:r w:rsidR="008304EB">
        <w:rPr>
          <w:rFonts w:ascii="Arial" w:hAnsi="Arial" w:cs="Arial"/>
        </w:rPr>
        <w:t xml:space="preserve"> maximum monetary</w:t>
      </w:r>
      <w:r>
        <w:rPr>
          <w:rFonts w:ascii="Arial" w:hAnsi="Arial" w:cs="Arial"/>
        </w:rPr>
        <w:t xml:space="preserve"> penalty at the foot of the provision expressed as a dollar amount</w:t>
      </w:r>
      <w:r w:rsidR="009137BA">
        <w:rPr>
          <w:rFonts w:ascii="Arial" w:hAnsi="Arial" w:cs="Arial"/>
        </w:rPr>
        <w:t xml:space="preserve">. </w:t>
      </w:r>
    </w:p>
    <w:p w14:paraId="705CD408" w14:textId="167225C3" w:rsidR="00601EAB" w:rsidRDefault="00601EAB" w:rsidP="00117D03">
      <w:pPr>
        <w:rPr>
          <w:rFonts w:ascii="Arial" w:hAnsi="Arial" w:cs="Arial"/>
        </w:rPr>
      </w:pPr>
      <w:r>
        <w:rPr>
          <w:rFonts w:ascii="Arial" w:hAnsi="Arial" w:cs="Arial"/>
        </w:rPr>
        <w:t>Therefore, each year following indexation, over 600 separate amendments would need to be made to vary the dollar amounts. This would create an unduly burdensome drafting exercise</w:t>
      </w:r>
      <w:r w:rsidR="006528E1">
        <w:rPr>
          <w:rFonts w:ascii="Arial" w:hAnsi="Arial" w:cs="Arial"/>
        </w:rPr>
        <w:t xml:space="preserve"> </w:t>
      </w:r>
      <w:r w:rsidR="00D221A5">
        <w:rPr>
          <w:rFonts w:ascii="Arial" w:hAnsi="Arial" w:cs="Arial"/>
        </w:rPr>
        <w:t xml:space="preserve">both </w:t>
      </w:r>
      <w:r w:rsidR="006528E1">
        <w:rPr>
          <w:rFonts w:ascii="Arial" w:hAnsi="Arial" w:cs="Arial"/>
        </w:rPr>
        <w:t xml:space="preserve">for the Parliamentary Counsel’s Committee </w:t>
      </w:r>
      <w:r w:rsidR="00D221A5">
        <w:rPr>
          <w:rFonts w:ascii="Arial" w:hAnsi="Arial" w:cs="Arial"/>
        </w:rPr>
        <w:t xml:space="preserve">that is responsible for maintaining the model WHS law </w:t>
      </w:r>
      <w:r w:rsidR="006528E1">
        <w:rPr>
          <w:rFonts w:ascii="Arial" w:hAnsi="Arial" w:cs="Arial"/>
        </w:rPr>
        <w:t xml:space="preserve">and </w:t>
      </w:r>
      <w:r w:rsidR="00D221A5">
        <w:rPr>
          <w:rFonts w:ascii="Arial" w:hAnsi="Arial" w:cs="Arial"/>
        </w:rPr>
        <w:t xml:space="preserve">for </w:t>
      </w:r>
      <w:r w:rsidR="006528E1">
        <w:rPr>
          <w:rFonts w:ascii="Arial" w:hAnsi="Arial" w:cs="Arial"/>
        </w:rPr>
        <w:t>individual model law jurisdictions</w:t>
      </w:r>
      <w:r>
        <w:rPr>
          <w:rFonts w:ascii="Arial" w:hAnsi="Arial" w:cs="Arial"/>
        </w:rPr>
        <w:t>.</w:t>
      </w:r>
    </w:p>
    <w:p w14:paraId="15F6AA0C" w14:textId="0FA9EFF2" w:rsidR="00601EAB" w:rsidRDefault="00601EAB" w:rsidP="00117D03">
      <w:pPr>
        <w:rPr>
          <w:rFonts w:ascii="Arial" w:hAnsi="Arial" w:cs="Arial"/>
        </w:rPr>
      </w:pPr>
      <w:r>
        <w:rPr>
          <w:rFonts w:ascii="Arial" w:hAnsi="Arial" w:cs="Arial"/>
        </w:rPr>
        <w:t xml:space="preserve">As a result, this instrument replaces each individual penalty amount with a reference to the relevant penalty tier. </w:t>
      </w:r>
      <w:r w:rsidR="001352CF">
        <w:rPr>
          <w:rFonts w:ascii="Arial" w:hAnsi="Arial" w:cs="Arial"/>
        </w:rPr>
        <w:t xml:space="preserve"> </w:t>
      </w:r>
      <w:r w:rsidR="00921DB0">
        <w:rPr>
          <w:rFonts w:ascii="Arial" w:hAnsi="Arial" w:cs="Arial"/>
        </w:rPr>
        <w:t>For example, reg</w:t>
      </w:r>
      <w:r w:rsidR="00AF3241">
        <w:rPr>
          <w:rFonts w:ascii="Arial" w:hAnsi="Arial" w:cs="Arial"/>
        </w:rPr>
        <w:t>ulation</w:t>
      </w:r>
      <w:r w:rsidR="00921DB0">
        <w:rPr>
          <w:rFonts w:ascii="Arial" w:hAnsi="Arial" w:cs="Arial"/>
        </w:rPr>
        <w:t xml:space="preserve"> 337 makes it an offence for a supplier of a hazardous chemical to supply the chemical for use at another workplace if the supplier knows or ought reasonably to know that the chemical is not correctly packed</w:t>
      </w:r>
      <w:r w:rsidR="002B43B2">
        <w:rPr>
          <w:rFonts w:ascii="Arial" w:hAnsi="Arial" w:cs="Arial"/>
        </w:rPr>
        <w:t xml:space="preserve">. The </w:t>
      </w:r>
      <w:r w:rsidR="00921DB0">
        <w:rPr>
          <w:rFonts w:ascii="Arial" w:hAnsi="Arial" w:cs="Arial"/>
        </w:rPr>
        <w:t xml:space="preserve">maximum penalty </w:t>
      </w:r>
      <w:r w:rsidR="002B43B2">
        <w:rPr>
          <w:rFonts w:ascii="Arial" w:hAnsi="Arial" w:cs="Arial"/>
        </w:rPr>
        <w:t xml:space="preserve">for an </w:t>
      </w:r>
      <w:r w:rsidR="00AF3241">
        <w:rPr>
          <w:rFonts w:ascii="Arial" w:hAnsi="Arial" w:cs="Arial"/>
        </w:rPr>
        <w:t>offence against regulation 337 is currently</w:t>
      </w:r>
      <w:r w:rsidR="00921DB0">
        <w:rPr>
          <w:rFonts w:ascii="Arial" w:hAnsi="Arial" w:cs="Arial"/>
        </w:rPr>
        <w:t xml:space="preserve"> $3000 (for an individual) and $18,000 (for a body corporate).</w:t>
      </w:r>
      <w:r w:rsidR="00A82128">
        <w:rPr>
          <w:rFonts w:ascii="Arial" w:hAnsi="Arial" w:cs="Arial"/>
        </w:rPr>
        <w:t xml:space="preserve"> These maximum </w:t>
      </w:r>
      <w:r w:rsidR="001352CF">
        <w:rPr>
          <w:rFonts w:ascii="Arial" w:hAnsi="Arial" w:cs="Arial"/>
        </w:rPr>
        <w:t xml:space="preserve">monetary amounts will be omitted </w:t>
      </w:r>
      <w:r w:rsidR="00A82128">
        <w:rPr>
          <w:rFonts w:ascii="Arial" w:hAnsi="Arial" w:cs="Arial"/>
        </w:rPr>
        <w:t>from the foot of reg</w:t>
      </w:r>
      <w:r w:rsidR="00D465CC">
        <w:rPr>
          <w:rFonts w:ascii="Arial" w:hAnsi="Arial" w:cs="Arial"/>
        </w:rPr>
        <w:t>ulation</w:t>
      </w:r>
      <w:r w:rsidR="00A82128">
        <w:rPr>
          <w:rFonts w:ascii="Arial" w:hAnsi="Arial" w:cs="Arial"/>
        </w:rPr>
        <w:t xml:space="preserve"> 337 </w:t>
      </w:r>
      <w:r w:rsidR="001352CF">
        <w:rPr>
          <w:rFonts w:ascii="Arial" w:hAnsi="Arial" w:cs="Arial"/>
        </w:rPr>
        <w:t>and instead the provision will state that the maximum monetary penalty</w:t>
      </w:r>
      <w:r w:rsidR="00C070AB">
        <w:rPr>
          <w:rFonts w:ascii="Arial" w:hAnsi="Arial" w:cs="Arial"/>
        </w:rPr>
        <w:t xml:space="preserve"> for an offence under reg</w:t>
      </w:r>
      <w:r w:rsidR="00D465CC">
        <w:rPr>
          <w:rFonts w:ascii="Arial" w:hAnsi="Arial" w:cs="Arial"/>
        </w:rPr>
        <w:t>ulation</w:t>
      </w:r>
      <w:r w:rsidR="00C070AB">
        <w:rPr>
          <w:rFonts w:ascii="Arial" w:hAnsi="Arial" w:cs="Arial"/>
        </w:rPr>
        <w:t xml:space="preserve"> 337</w:t>
      </w:r>
      <w:r w:rsidR="001352CF">
        <w:rPr>
          <w:rFonts w:ascii="Arial" w:hAnsi="Arial" w:cs="Arial"/>
        </w:rPr>
        <w:t xml:space="preserve"> will be the Tier E monetary penalty.</w:t>
      </w:r>
    </w:p>
    <w:p w14:paraId="0758E07C" w14:textId="2D7F1D68" w:rsidR="001352CF" w:rsidRPr="00911E73" w:rsidRDefault="001352CF" w:rsidP="001352CF">
      <w:pPr>
        <w:rPr>
          <w:rFonts w:ascii="Arial" w:hAnsi="Arial" w:cs="Arial"/>
        </w:rPr>
      </w:pPr>
      <w:r>
        <w:rPr>
          <w:rFonts w:ascii="Arial" w:hAnsi="Arial" w:cs="Arial"/>
        </w:rPr>
        <w:t xml:space="preserve">Indexation will be applied to the penalty tier amounts and </w:t>
      </w:r>
      <w:r w:rsidR="00C070AB">
        <w:rPr>
          <w:rFonts w:ascii="Arial" w:hAnsi="Arial" w:cs="Arial"/>
        </w:rPr>
        <w:t>as a result</w:t>
      </w:r>
      <w:r w:rsidR="001D534E">
        <w:rPr>
          <w:rFonts w:ascii="Arial" w:hAnsi="Arial" w:cs="Arial"/>
        </w:rPr>
        <w:t xml:space="preserve"> </w:t>
      </w:r>
      <w:r w:rsidR="0060642E">
        <w:rPr>
          <w:rFonts w:ascii="Arial" w:hAnsi="Arial" w:cs="Arial"/>
        </w:rPr>
        <w:t xml:space="preserve">apply </w:t>
      </w:r>
      <w:r w:rsidR="00C070AB">
        <w:rPr>
          <w:rFonts w:ascii="Arial" w:hAnsi="Arial" w:cs="Arial"/>
        </w:rPr>
        <w:t xml:space="preserve">automatically </w:t>
      </w:r>
      <w:r w:rsidR="0060642E">
        <w:rPr>
          <w:rFonts w:ascii="Arial" w:hAnsi="Arial" w:cs="Arial"/>
        </w:rPr>
        <w:t>to</w:t>
      </w:r>
      <w:r>
        <w:rPr>
          <w:rFonts w:ascii="Arial" w:hAnsi="Arial" w:cs="Arial"/>
        </w:rPr>
        <w:t xml:space="preserve"> each provision that specifies that penalty tier as the maximum </w:t>
      </w:r>
      <w:r w:rsidR="0060642E">
        <w:rPr>
          <w:rFonts w:ascii="Arial" w:hAnsi="Arial" w:cs="Arial"/>
        </w:rPr>
        <w:t xml:space="preserve">penalty </w:t>
      </w:r>
      <w:r w:rsidR="007F0E07">
        <w:rPr>
          <w:rFonts w:ascii="Arial" w:hAnsi="Arial" w:cs="Arial"/>
        </w:rPr>
        <w:t>amount for that offence or civil penalty provision.</w:t>
      </w:r>
    </w:p>
    <w:p w14:paraId="52D61F23" w14:textId="77777777" w:rsidR="00C070AB" w:rsidRDefault="00601EAB" w:rsidP="00117D03">
      <w:pPr>
        <w:rPr>
          <w:rFonts w:ascii="Arial" w:hAnsi="Arial" w:cs="Arial"/>
        </w:rPr>
      </w:pPr>
      <w:r>
        <w:rPr>
          <w:rFonts w:ascii="Arial" w:hAnsi="Arial" w:cs="Arial"/>
        </w:rPr>
        <w:t xml:space="preserve">There </w:t>
      </w:r>
      <w:r w:rsidR="00C070AB">
        <w:rPr>
          <w:rFonts w:ascii="Arial" w:hAnsi="Arial" w:cs="Arial"/>
        </w:rPr>
        <w:t>will be</w:t>
      </w:r>
      <w:r>
        <w:rPr>
          <w:rFonts w:ascii="Arial" w:hAnsi="Arial" w:cs="Arial"/>
        </w:rPr>
        <w:t xml:space="preserve"> 3 different kinds of penalty tier</w:t>
      </w:r>
      <w:r w:rsidR="001352CF">
        <w:rPr>
          <w:rFonts w:ascii="Arial" w:hAnsi="Arial" w:cs="Arial"/>
        </w:rPr>
        <w:t>s</w:t>
      </w:r>
      <w:r>
        <w:rPr>
          <w:rFonts w:ascii="Arial" w:hAnsi="Arial" w:cs="Arial"/>
        </w:rPr>
        <w:t xml:space="preserve">. </w:t>
      </w:r>
    </w:p>
    <w:p w14:paraId="654B807C" w14:textId="52ED4844" w:rsidR="00601EAB" w:rsidRDefault="00601EAB" w:rsidP="00117D03">
      <w:pPr>
        <w:rPr>
          <w:rFonts w:ascii="Arial" w:hAnsi="Arial" w:cs="Arial"/>
        </w:rPr>
      </w:pPr>
      <w:r>
        <w:rPr>
          <w:rFonts w:ascii="Arial" w:hAnsi="Arial" w:cs="Arial"/>
        </w:rPr>
        <w:t xml:space="preserve">First, category monetary penalties </w:t>
      </w:r>
      <w:r w:rsidR="00341DD0">
        <w:rPr>
          <w:rFonts w:ascii="Arial" w:hAnsi="Arial" w:cs="Arial"/>
        </w:rPr>
        <w:t>will be</w:t>
      </w:r>
      <w:r>
        <w:rPr>
          <w:rFonts w:ascii="Arial" w:hAnsi="Arial" w:cs="Arial"/>
        </w:rPr>
        <w:t xml:space="preserve"> the penalties set for the </w:t>
      </w:r>
      <w:r w:rsidR="001C1B32">
        <w:rPr>
          <w:rFonts w:ascii="Arial" w:hAnsi="Arial" w:cs="Arial"/>
        </w:rPr>
        <w:t>3 c</w:t>
      </w:r>
      <w:r>
        <w:rPr>
          <w:rFonts w:ascii="Arial" w:hAnsi="Arial" w:cs="Arial"/>
        </w:rPr>
        <w:t>ategory offences in Part 2 of the model Act</w:t>
      </w:r>
      <w:r w:rsidR="006866A8">
        <w:rPr>
          <w:rFonts w:ascii="Arial" w:hAnsi="Arial" w:cs="Arial"/>
        </w:rPr>
        <w:t xml:space="preserve"> (</w:t>
      </w:r>
      <w:r w:rsidR="001C1B32">
        <w:rPr>
          <w:rFonts w:ascii="Arial" w:hAnsi="Arial" w:cs="Arial"/>
        </w:rPr>
        <w:t xml:space="preserve">in </w:t>
      </w:r>
      <w:r w:rsidR="006866A8">
        <w:rPr>
          <w:rFonts w:ascii="Arial" w:hAnsi="Arial" w:cs="Arial"/>
        </w:rPr>
        <w:t>sections 31 – 33)</w:t>
      </w:r>
      <w:r>
        <w:rPr>
          <w:rFonts w:ascii="Arial" w:hAnsi="Arial" w:cs="Arial"/>
        </w:rPr>
        <w:t xml:space="preserve">. </w:t>
      </w:r>
    </w:p>
    <w:p w14:paraId="3D7809FB" w14:textId="0EC0D75A" w:rsidR="001352CF" w:rsidRDefault="001352CF" w:rsidP="00117D03">
      <w:pPr>
        <w:rPr>
          <w:rFonts w:ascii="Arial" w:hAnsi="Arial" w:cs="Arial"/>
        </w:rPr>
      </w:pPr>
      <w:r>
        <w:rPr>
          <w:rFonts w:ascii="Arial" w:hAnsi="Arial" w:cs="Arial"/>
        </w:rPr>
        <w:t xml:space="preserve">Second, there </w:t>
      </w:r>
      <w:r w:rsidR="00341DD0">
        <w:rPr>
          <w:rFonts w:ascii="Arial" w:hAnsi="Arial" w:cs="Arial"/>
        </w:rPr>
        <w:t>will be</w:t>
      </w:r>
      <w:r w:rsidR="00537E0F">
        <w:rPr>
          <w:rFonts w:ascii="Arial" w:hAnsi="Arial" w:cs="Arial"/>
        </w:rPr>
        <w:t xml:space="preserve"> 4</w:t>
      </w:r>
      <w:r>
        <w:rPr>
          <w:rFonts w:ascii="Arial" w:hAnsi="Arial" w:cs="Arial"/>
        </w:rPr>
        <w:t xml:space="preserve"> </w:t>
      </w:r>
      <w:r w:rsidR="00601EAB">
        <w:rPr>
          <w:rFonts w:ascii="Arial" w:hAnsi="Arial" w:cs="Arial"/>
        </w:rPr>
        <w:t>WHS civil penalty</w:t>
      </w:r>
      <w:r w:rsidR="001C1B32">
        <w:rPr>
          <w:rFonts w:ascii="Arial" w:hAnsi="Arial" w:cs="Arial"/>
        </w:rPr>
        <w:t xml:space="preserve"> provision</w:t>
      </w:r>
      <w:r w:rsidR="00601EAB">
        <w:rPr>
          <w:rFonts w:ascii="Arial" w:hAnsi="Arial" w:cs="Arial"/>
        </w:rPr>
        <w:t xml:space="preserve"> tiers for the 4 different </w:t>
      </w:r>
      <w:r>
        <w:rPr>
          <w:rFonts w:ascii="Arial" w:hAnsi="Arial" w:cs="Arial"/>
        </w:rPr>
        <w:t xml:space="preserve">civil </w:t>
      </w:r>
      <w:r w:rsidR="00601EAB">
        <w:rPr>
          <w:rFonts w:ascii="Arial" w:hAnsi="Arial" w:cs="Arial"/>
        </w:rPr>
        <w:t>penalty amounts used in Part 7 of the Act</w:t>
      </w:r>
      <w:r>
        <w:rPr>
          <w:rFonts w:ascii="Arial" w:hAnsi="Arial" w:cs="Arial"/>
        </w:rPr>
        <w:t xml:space="preserve"> (workplace entry</w:t>
      </w:r>
      <w:r w:rsidR="006866A8">
        <w:rPr>
          <w:rFonts w:ascii="Arial" w:hAnsi="Arial" w:cs="Arial"/>
        </w:rPr>
        <w:t xml:space="preserve"> by WHS entry permit holders</w:t>
      </w:r>
      <w:r>
        <w:rPr>
          <w:rFonts w:ascii="Arial" w:hAnsi="Arial" w:cs="Arial"/>
        </w:rPr>
        <w:t>).</w:t>
      </w:r>
    </w:p>
    <w:p w14:paraId="49176724" w14:textId="7F2616CB" w:rsidR="00601EAB" w:rsidRDefault="001352CF" w:rsidP="00117D03">
      <w:pPr>
        <w:rPr>
          <w:rFonts w:ascii="Arial" w:hAnsi="Arial" w:cs="Arial"/>
        </w:rPr>
      </w:pPr>
      <w:r>
        <w:rPr>
          <w:rFonts w:ascii="Arial" w:hAnsi="Arial" w:cs="Arial"/>
        </w:rPr>
        <w:t xml:space="preserve">Last, there </w:t>
      </w:r>
      <w:r w:rsidR="00341DD0">
        <w:rPr>
          <w:rFonts w:ascii="Arial" w:hAnsi="Arial" w:cs="Arial"/>
        </w:rPr>
        <w:t>will be</w:t>
      </w:r>
      <w:r>
        <w:rPr>
          <w:rFonts w:ascii="Arial" w:hAnsi="Arial" w:cs="Arial"/>
        </w:rPr>
        <w:t xml:space="preserve"> 9 different</w:t>
      </w:r>
      <w:r w:rsidR="00537E0F">
        <w:rPr>
          <w:rFonts w:ascii="Arial" w:hAnsi="Arial" w:cs="Arial"/>
        </w:rPr>
        <w:t xml:space="preserve"> </w:t>
      </w:r>
      <w:r w:rsidR="00126935">
        <w:rPr>
          <w:rFonts w:ascii="Arial" w:hAnsi="Arial" w:cs="Arial"/>
        </w:rPr>
        <w:t>monetary</w:t>
      </w:r>
      <w:r>
        <w:rPr>
          <w:rFonts w:ascii="Arial" w:hAnsi="Arial" w:cs="Arial"/>
        </w:rPr>
        <w:t xml:space="preserve"> penalty tiers used for the general offences in the model WHS Act and Regulations</w:t>
      </w:r>
      <w:r w:rsidR="00311271">
        <w:rPr>
          <w:rFonts w:ascii="Arial" w:hAnsi="Arial" w:cs="Arial"/>
        </w:rPr>
        <w:t xml:space="preserve"> for the </w:t>
      </w:r>
      <w:r w:rsidR="004F3B5D">
        <w:rPr>
          <w:rFonts w:ascii="Arial" w:hAnsi="Arial" w:cs="Arial"/>
        </w:rPr>
        <w:t>9 different</w:t>
      </w:r>
      <w:r w:rsidR="00311271">
        <w:rPr>
          <w:rFonts w:ascii="Arial" w:hAnsi="Arial" w:cs="Arial"/>
        </w:rPr>
        <w:t xml:space="preserve"> penalty levels</w:t>
      </w:r>
      <w:r w:rsidR="00827269">
        <w:rPr>
          <w:rFonts w:ascii="Arial" w:hAnsi="Arial" w:cs="Arial"/>
        </w:rPr>
        <w:t xml:space="preserve"> </w:t>
      </w:r>
      <w:r w:rsidR="00537E0F">
        <w:rPr>
          <w:rFonts w:ascii="Arial" w:hAnsi="Arial" w:cs="Arial"/>
        </w:rPr>
        <w:t xml:space="preserve">used in the Act and Regulations </w:t>
      </w:r>
      <w:r w:rsidR="00827269">
        <w:rPr>
          <w:rFonts w:ascii="Arial" w:hAnsi="Arial" w:cs="Arial"/>
        </w:rPr>
        <w:t xml:space="preserve">that currently </w:t>
      </w:r>
      <w:r w:rsidR="00311271">
        <w:rPr>
          <w:rFonts w:ascii="Arial" w:hAnsi="Arial" w:cs="Arial"/>
        </w:rPr>
        <w:t>rang</w:t>
      </w:r>
      <w:r w:rsidR="00827269">
        <w:rPr>
          <w:rFonts w:ascii="Arial" w:hAnsi="Arial" w:cs="Arial"/>
        </w:rPr>
        <w:t>e</w:t>
      </w:r>
      <w:r w:rsidR="00311271">
        <w:rPr>
          <w:rFonts w:ascii="Arial" w:hAnsi="Arial" w:cs="Arial"/>
        </w:rPr>
        <w:t xml:space="preserve"> from</w:t>
      </w:r>
      <w:r w:rsidR="00182229">
        <w:rPr>
          <w:rFonts w:ascii="Arial" w:hAnsi="Arial" w:cs="Arial"/>
        </w:rPr>
        <w:t xml:space="preserve"> </w:t>
      </w:r>
      <w:r w:rsidR="006866A8">
        <w:rPr>
          <w:rFonts w:ascii="Arial" w:hAnsi="Arial" w:cs="Arial"/>
        </w:rPr>
        <w:t>$139,000/$695,000 (which wil</w:t>
      </w:r>
      <w:r w:rsidR="00D465CC">
        <w:rPr>
          <w:rFonts w:ascii="Arial" w:hAnsi="Arial" w:cs="Arial"/>
        </w:rPr>
        <w:t>l</w:t>
      </w:r>
      <w:r w:rsidR="004F72DA">
        <w:rPr>
          <w:rFonts w:ascii="Arial" w:hAnsi="Arial" w:cs="Arial"/>
        </w:rPr>
        <w:t xml:space="preserve"> </w:t>
      </w:r>
      <w:r w:rsidR="006866A8">
        <w:rPr>
          <w:rFonts w:ascii="Arial" w:hAnsi="Arial" w:cs="Arial"/>
        </w:rPr>
        <w:t>become tier A)</w:t>
      </w:r>
      <w:r w:rsidR="00311271">
        <w:rPr>
          <w:rFonts w:ascii="Arial" w:hAnsi="Arial" w:cs="Arial"/>
        </w:rPr>
        <w:t xml:space="preserve"> </w:t>
      </w:r>
      <w:r w:rsidR="006866A8">
        <w:rPr>
          <w:rFonts w:ascii="Arial" w:hAnsi="Arial" w:cs="Arial"/>
        </w:rPr>
        <w:t xml:space="preserve">to </w:t>
      </w:r>
      <w:r w:rsidR="00311271">
        <w:rPr>
          <w:rFonts w:ascii="Arial" w:hAnsi="Arial" w:cs="Arial"/>
        </w:rPr>
        <w:t>$</w:t>
      </w:r>
      <w:r w:rsidR="006A20B4">
        <w:rPr>
          <w:rFonts w:ascii="Arial" w:hAnsi="Arial" w:cs="Arial"/>
        </w:rPr>
        <w:t>1</w:t>
      </w:r>
      <w:r w:rsidR="001854AE">
        <w:rPr>
          <w:rFonts w:ascii="Arial" w:hAnsi="Arial" w:cs="Arial"/>
        </w:rPr>
        <w:t>700</w:t>
      </w:r>
      <w:r w:rsidR="00B122CA">
        <w:rPr>
          <w:rFonts w:ascii="Arial" w:hAnsi="Arial" w:cs="Arial"/>
        </w:rPr>
        <w:t>/$</w:t>
      </w:r>
      <w:r w:rsidR="001854AE">
        <w:rPr>
          <w:rFonts w:ascii="Arial" w:hAnsi="Arial" w:cs="Arial"/>
        </w:rPr>
        <w:t>8500</w:t>
      </w:r>
      <w:r w:rsidR="00B122CA">
        <w:rPr>
          <w:rFonts w:ascii="Arial" w:hAnsi="Arial" w:cs="Arial"/>
        </w:rPr>
        <w:t xml:space="preserve"> (which will become tier I)</w:t>
      </w:r>
      <w:r w:rsidR="006866A8">
        <w:rPr>
          <w:rFonts w:ascii="Arial" w:hAnsi="Arial" w:cs="Arial"/>
        </w:rPr>
        <w:t>.</w:t>
      </w:r>
      <w:r w:rsidR="00B122CA">
        <w:rPr>
          <w:rFonts w:ascii="Arial" w:hAnsi="Arial" w:cs="Arial"/>
        </w:rPr>
        <w:t xml:space="preserve"> </w:t>
      </w:r>
    </w:p>
    <w:p w14:paraId="14153160" w14:textId="77777777" w:rsidR="00117D03" w:rsidRPr="00A92467" w:rsidRDefault="00117D03" w:rsidP="00117D03">
      <w:pPr>
        <w:rPr>
          <w:rFonts w:ascii="Arial" w:hAnsi="Arial" w:cs="Arial"/>
          <w:b/>
          <w:bCs/>
        </w:rPr>
      </w:pPr>
      <w:r w:rsidRPr="00A92467">
        <w:rPr>
          <w:rFonts w:ascii="Arial" w:hAnsi="Arial" w:cs="Arial"/>
          <w:b/>
          <w:bCs/>
        </w:rPr>
        <w:t xml:space="preserve">Item [4] Section 31(1) </w:t>
      </w:r>
    </w:p>
    <w:p w14:paraId="0C13F9C2" w14:textId="59B82645" w:rsidR="00117D03" w:rsidRDefault="00117D03" w:rsidP="00117D03">
      <w:pPr>
        <w:spacing w:after="0" w:line="240" w:lineRule="auto"/>
        <w:rPr>
          <w:rFonts w:ascii="Arial" w:hAnsi="Arial" w:cs="Arial"/>
        </w:rPr>
      </w:pPr>
      <w:r w:rsidRPr="00543268">
        <w:rPr>
          <w:rFonts w:ascii="Arial" w:hAnsi="Arial" w:cs="Arial"/>
        </w:rPr>
        <w:t xml:space="preserve">This item </w:t>
      </w:r>
      <w:r>
        <w:rPr>
          <w:rFonts w:ascii="Arial" w:hAnsi="Arial" w:cs="Arial"/>
        </w:rPr>
        <w:t xml:space="preserve">amends section 31(1) to </w:t>
      </w:r>
      <w:r w:rsidR="009776C8">
        <w:rPr>
          <w:rFonts w:ascii="Arial" w:hAnsi="Arial" w:cs="Arial"/>
        </w:rPr>
        <w:t xml:space="preserve">specify </w:t>
      </w:r>
      <w:r w:rsidR="00391A05">
        <w:rPr>
          <w:rFonts w:ascii="Arial" w:hAnsi="Arial" w:cs="Arial"/>
        </w:rPr>
        <w:t>a maximum</w:t>
      </w:r>
      <w:r>
        <w:rPr>
          <w:rFonts w:ascii="Arial" w:hAnsi="Arial" w:cs="Arial"/>
        </w:rPr>
        <w:t xml:space="preserve"> Category 1 monetary penalty for</w:t>
      </w:r>
      <w:r w:rsidR="00BB7277">
        <w:rPr>
          <w:rFonts w:ascii="Arial" w:hAnsi="Arial" w:cs="Arial"/>
        </w:rPr>
        <w:t xml:space="preserve"> Category 1 </w:t>
      </w:r>
      <w:r w:rsidR="00C42ADF">
        <w:rPr>
          <w:rFonts w:ascii="Arial" w:hAnsi="Arial" w:cs="Arial"/>
        </w:rPr>
        <w:t>offences</w:t>
      </w:r>
      <w:r w:rsidR="00BB7277">
        <w:rPr>
          <w:rFonts w:ascii="Arial" w:hAnsi="Arial" w:cs="Arial"/>
        </w:rPr>
        <w:t xml:space="preserve"> for</w:t>
      </w:r>
      <w:r>
        <w:rPr>
          <w:rFonts w:ascii="Arial" w:hAnsi="Arial" w:cs="Arial"/>
        </w:rPr>
        <w:t xml:space="preserve"> both an individual</w:t>
      </w:r>
      <w:r w:rsidR="0029075E">
        <w:rPr>
          <w:rFonts w:ascii="Arial" w:hAnsi="Arial" w:cs="Arial"/>
        </w:rPr>
        <w:t xml:space="preserve"> (as a PCBU or as an officer of a PCBU), and individual (otherwise)</w:t>
      </w:r>
      <w:r>
        <w:rPr>
          <w:rFonts w:ascii="Arial" w:hAnsi="Arial" w:cs="Arial"/>
        </w:rPr>
        <w:t xml:space="preserve"> and a body corporate. </w:t>
      </w:r>
    </w:p>
    <w:p w14:paraId="1D7E3992" w14:textId="77777777" w:rsidR="00B00DC4" w:rsidRDefault="00B00DC4" w:rsidP="00117D03">
      <w:pPr>
        <w:spacing w:after="0" w:line="240" w:lineRule="auto"/>
        <w:rPr>
          <w:rFonts w:ascii="Arial" w:hAnsi="Arial" w:cs="Arial"/>
        </w:rPr>
      </w:pPr>
    </w:p>
    <w:p w14:paraId="681CBA6E" w14:textId="24A8E73C" w:rsidR="00B00DC4" w:rsidRPr="006C300E" w:rsidRDefault="00B00DC4" w:rsidP="00117D03">
      <w:pPr>
        <w:spacing w:after="0" w:line="240" w:lineRule="auto"/>
        <w:rPr>
          <w:rFonts w:ascii="Arial" w:hAnsi="Arial" w:cs="Arial"/>
        </w:rPr>
      </w:pPr>
      <w:r>
        <w:rPr>
          <w:rFonts w:ascii="Arial" w:hAnsi="Arial" w:cs="Arial"/>
        </w:rPr>
        <w:t>The amounts of the category monetary penalties are set out in the table in clause 1 of Schedule 4.</w:t>
      </w:r>
    </w:p>
    <w:p w14:paraId="75613EB2" w14:textId="77777777" w:rsidR="00117D03" w:rsidRPr="00543268" w:rsidRDefault="00117D03" w:rsidP="00117D03">
      <w:pPr>
        <w:rPr>
          <w:rFonts w:ascii="Arial" w:hAnsi="Arial" w:cs="Arial"/>
        </w:rPr>
      </w:pPr>
    </w:p>
    <w:p w14:paraId="2EAF2DD9" w14:textId="77777777" w:rsidR="00117D03" w:rsidRPr="00A92467" w:rsidRDefault="00117D03" w:rsidP="00117D03">
      <w:pPr>
        <w:rPr>
          <w:rFonts w:ascii="Arial" w:hAnsi="Arial" w:cs="Arial"/>
          <w:b/>
          <w:bCs/>
        </w:rPr>
      </w:pPr>
      <w:r w:rsidRPr="00A92467">
        <w:rPr>
          <w:rFonts w:ascii="Arial" w:hAnsi="Arial" w:cs="Arial"/>
          <w:b/>
          <w:bCs/>
        </w:rPr>
        <w:t xml:space="preserve">Item [5] Section 32 (Failure to comply with health and safety duty – Category 2) </w:t>
      </w:r>
    </w:p>
    <w:p w14:paraId="117EA8FD" w14:textId="00A6CF4D" w:rsidR="00117D03" w:rsidRPr="00790303" w:rsidRDefault="00117D03" w:rsidP="00117D03">
      <w:pPr>
        <w:rPr>
          <w:rFonts w:ascii="Arial" w:hAnsi="Arial" w:cs="Arial"/>
        </w:rPr>
      </w:pPr>
      <w:r w:rsidRPr="00790303">
        <w:rPr>
          <w:rFonts w:ascii="Arial" w:hAnsi="Arial" w:cs="Arial"/>
        </w:rPr>
        <w:t xml:space="preserve">This item </w:t>
      </w:r>
      <w:r>
        <w:rPr>
          <w:rFonts w:ascii="Arial" w:hAnsi="Arial" w:cs="Arial"/>
        </w:rPr>
        <w:t>amends section 32 to have a maximum Category 2 monetary penalty</w:t>
      </w:r>
      <w:r w:rsidR="00391A05">
        <w:rPr>
          <w:rFonts w:ascii="Arial" w:hAnsi="Arial" w:cs="Arial"/>
        </w:rPr>
        <w:t xml:space="preserve"> for Category 2 offences</w:t>
      </w:r>
      <w:r>
        <w:rPr>
          <w:rFonts w:ascii="Arial" w:hAnsi="Arial" w:cs="Arial"/>
        </w:rPr>
        <w:t xml:space="preserve">. </w:t>
      </w:r>
    </w:p>
    <w:p w14:paraId="65756CC2" w14:textId="77777777" w:rsidR="00DB7B44" w:rsidRDefault="00DB7B44">
      <w:pPr>
        <w:rPr>
          <w:rFonts w:ascii="Arial" w:hAnsi="Arial" w:cs="Arial"/>
          <w:b/>
          <w:bCs/>
        </w:rPr>
      </w:pPr>
      <w:r>
        <w:rPr>
          <w:rFonts w:ascii="Arial" w:hAnsi="Arial" w:cs="Arial"/>
          <w:b/>
          <w:bCs/>
        </w:rPr>
        <w:br w:type="page"/>
      </w:r>
    </w:p>
    <w:p w14:paraId="4325AC81" w14:textId="07ABD0C9" w:rsidR="00117D03" w:rsidRPr="00A92467" w:rsidRDefault="00117D03" w:rsidP="00117D03">
      <w:pPr>
        <w:rPr>
          <w:rFonts w:ascii="Arial" w:hAnsi="Arial" w:cs="Arial"/>
          <w:b/>
          <w:bCs/>
        </w:rPr>
      </w:pPr>
      <w:r w:rsidRPr="00A92467">
        <w:rPr>
          <w:rFonts w:ascii="Arial" w:hAnsi="Arial" w:cs="Arial"/>
          <w:b/>
          <w:bCs/>
        </w:rPr>
        <w:lastRenderedPageBreak/>
        <w:t>Item [6] Section 33 (Failure to comply with health and safety duty – Category 3)</w:t>
      </w:r>
    </w:p>
    <w:p w14:paraId="1757AC5B" w14:textId="5E423F98" w:rsidR="00117D03" w:rsidRPr="00551EE4" w:rsidRDefault="00117D03" w:rsidP="00117D03">
      <w:pPr>
        <w:rPr>
          <w:rFonts w:ascii="Arial" w:hAnsi="Arial" w:cs="Arial"/>
        </w:rPr>
      </w:pPr>
      <w:r w:rsidRPr="00790303">
        <w:rPr>
          <w:rFonts w:ascii="Arial" w:hAnsi="Arial" w:cs="Arial"/>
        </w:rPr>
        <w:t xml:space="preserve">This item </w:t>
      </w:r>
      <w:r>
        <w:rPr>
          <w:rFonts w:ascii="Arial" w:hAnsi="Arial" w:cs="Arial"/>
        </w:rPr>
        <w:t>amends section 33 to have a maximum Category 3 monetary penalty</w:t>
      </w:r>
      <w:r w:rsidR="00391A05">
        <w:rPr>
          <w:rFonts w:ascii="Arial" w:hAnsi="Arial" w:cs="Arial"/>
        </w:rPr>
        <w:t xml:space="preserve"> for Category 3 offences</w:t>
      </w:r>
      <w:r>
        <w:rPr>
          <w:rFonts w:ascii="Arial" w:hAnsi="Arial" w:cs="Arial"/>
        </w:rPr>
        <w:t xml:space="preserve">. </w:t>
      </w:r>
    </w:p>
    <w:p w14:paraId="197BCA38" w14:textId="77777777" w:rsidR="00117D03" w:rsidRPr="00A92467" w:rsidRDefault="00117D03" w:rsidP="00117D03">
      <w:pPr>
        <w:rPr>
          <w:rFonts w:ascii="Arial" w:hAnsi="Arial" w:cs="Arial"/>
          <w:b/>
          <w:bCs/>
        </w:rPr>
      </w:pPr>
      <w:r w:rsidRPr="00A92467">
        <w:rPr>
          <w:rFonts w:ascii="Arial" w:hAnsi="Arial" w:cs="Arial"/>
          <w:b/>
          <w:bCs/>
        </w:rPr>
        <w:t xml:space="preserve">Item [7] </w:t>
      </w:r>
      <w:r w:rsidRPr="000B305C">
        <w:rPr>
          <w:rFonts w:ascii="Arial" w:hAnsi="Arial" w:cs="Arial"/>
          <w:b/>
          <w:bCs/>
        </w:rPr>
        <w:t>Sections 38(1), 39(1), 52(5), 56(2), 61(4), 70(1) and (2), 71(2), 72(7), 79(1), (3) and (4), 155(5), 165(2), 171(6), 177(2) and (6), 185(4), 188, 189, 268(1) and (2)</w:t>
      </w:r>
      <w:r>
        <w:rPr>
          <w:rFonts w:ascii="Arial" w:hAnsi="Arial" w:cs="Arial"/>
          <w:b/>
          <w:bCs/>
        </w:rPr>
        <w:t>,</w:t>
      </w:r>
      <w:r w:rsidRPr="000B305C">
        <w:rPr>
          <w:rFonts w:ascii="Arial" w:hAnsi="Arial" w:cs="Arial"/>
          <w:b/>
          <w:bCs/>
        </w:rPr>
        <w:t xml:space="preserve"> and 271(2) and (4)</w:t>
      </w:r>
    </w:p>
    <w:p w14:paraId="3D0991CC" w14:textId="77777777" w:rsidR="00117D03" w:rsidRPr="00551EE4" w:rsidRDefault="00117D03" w:rsidP="00117D03">
      <w:pPr>
        <w:rPr>
          <w:rFonts w:ascii="Arial" w:hAnsi="Arial" w:cs="Arial"/>
          <w:b/>
          <w:bCs/>
          <w:u w:val="single"/>
        </w:rPr>
      </w:pPr>
      <w:r w:rsidRPr="00543268">
        <w:rPr>
          <w:rFonts w:ascii="Arial" w:hAnsi="Arial" w:cs="Arial"/>
        </w:rPr>
        <w:t xml:space="preserve">This item </w:t>
      </w:r>
      <w:r>
        <w:rPr>
          <w:rFonts w:ascii="Arial" w:hAnsi="Arial" w:cs="Arial"/>
        </w:rPr>
        <w:t xml:space="preserve">amends sections </w:t>
      </w:r>
      <w:r w:rsidRPr="00551EE4">
        <w:rPr>
          <w:rFonts w:ascii="Arial" w:hAnsi="Arial" w:cs="Arial"/>
        </w:rPr>
        <w:t>38(1), 39(1), 52(5), 56(2), 61(4), 70(1) and (2), 71(2), 72(7), 79(1), (3) and (4), 155(5), 165(2), 171(6), 177(2) and (6), 185(4), 188, 189, 268(1) and (2)</w:t>
      </w:r>
      <w:r>
        <w:rPr>
          <w:rFonts w:ascii="Arial" w:hAnsi="Arial" w:cs="Arial"/>
        </w:rPr>
        <w:t>,</w:t>
      </w:r>
      <w:r w:rsidRPr="00551EE4">
        <w:rPr>
          <w:rFonts w:ascii="Arial" w:hAnsi="Arial" w:cs="Arial"/>
        </w:rPr>
        <w:t xml:space="preserve"> and 271(2) and (4) </w:t>
      </w:r>
      <w:r>
        <w:rPr>
          <w:rFonts w:ascii="Arial" w:hAnsi="Arial" w:cs="Arial"/>
        </w:rPr>
        <w:t xml:space="preserve">to have a maximum tier D monetary penalty. </w:t>
      </w:r>
    </w:p>
    <w:p w14:paraId="332B1594" w14:textId="642B29D2" w:rsidR="00117D03" w:rsidRPr="00A92467" w:rsidRDefault="00117D03" w:rsidP="00117D03">
      <w:pPr>
        <w:rPr>
          <w:rFonts w:ascii="Arial" w:hAnsi="Arial" w:cs="Arial"/>
          <w:b/>
          <w:bCs/>
        </w:rPr>
      </w:pPr>
      <w:r w:rsidRPr="00A92467">
        <w:rPr>
          <w:rFonts w:ascii="Arial" w:hAnsi="Arial" w:cs="Arial"/>
          <w:b/>
          <w:bCs/>
        </w:rPr>
        <w:t>Item [8] Sections 38(7), 75(1), 97, 210and 273</w:t>
      </w:r>
    </w:p>
    <w:p w14:paraId="16E799C6" w14:textId="2AB32550" w:rsidR="00117D03" w:rsidRPr="00543268"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sections </w:t>
      </w:r>
      <w:r w:rsidRPr="00551EE4">
        <w:rPr>
          <w:rFonts w:ascii="Arial" w:hAnsi="Arial" w:cs="Arial"/>
        </w:rPr>
        <w:t>38(7), 75(1), 97, 210and 273</w:t>
      </w:r>
      <w:r>
        <w:rPr>
          <w:rFonts w:ascii="Arial" w:hAnsi="Arial" w:cs="Arial"/>
        </w:rPr>
        <w:t xml:space="preserve"> to have a maximum tier F monetary penalty. </w:t>
      </w:r>
    </w:p>
    <w:p w14:paraId="4E02ED96" w14:textId="77777777" w:rsidR="00117D03" w:rsidRPr="00A92467" w:rsidRDefault="00117D03" w:rsidP="00117D03">
      <w:pPr>
        <w:rPr>
          <w:rFonts w:ascii="Arial" w:hAnsi="Arial" w:cs="Arial"/>
          <w:b/>
          <w:bCs/>
        </w:rPr>
      </w:pPr>
      <w:r w:rsidRPr="00A92467">
        <w:rPr>
          <w:rFonts w:ascii="Arial" w:hAnsi="Arial" w:cs="Arial"/>
          <w:b/>
          <w:bCs/>
        </w:rPr>
        <w:t>Item [9] Sections 41, 99(2), 193, 200(1), 219, 242(1) and 272A(1)</w:t>
      </w:r>
    </w:p>
    <w:p w14:paraId="61617738" w14:textId="77777777" w:rsidR="00117D03" w:rsidRPr="00543268"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sections </w:t>
      </w:r>
      <w:r w:rsidRPr="00551EE4">
        <w:rPr>
          <w:rFonts w:ascii="Arial" w:hAnsi="Arial" w:cs="Arial"/>
        </w:rPr>
        <w:t>41, 99(2), 193, 200(1), 219, 242(1) and 272A(1)</w:t>
      </w:r>
      <w:r w:rsidRPr="00551EE4">
        <w:rPr>
          <w:rFonts w:ascii="Arial" w:hAnsi="Arial" w:cs="Arial"/>
          <w:b/>
          <w:bCs/>
        </w:rPr>
        <w:t xml:space="preserve"> </w:t>
      </w:r>
      <w:r w:rsidRPr="00551EE4">
        <w:rPr>
          <w:rFonts w:ascii="Arial" w:hAnsi="Arial" w:cs="Arial"/>
        </w:rPr>
        <w:t>to</w:t>
      </w:r>
      <w:r>
        <w:rPr>
          <w:rFonts w:ascii="Arial" w:hAnsi="Arial" w:cs="Arial"/>
        </w:rPr>
        <w:t xml:space="preserve"> have a maximum tier B monetary penalty. </w:t>
      </w:r>
    </w:p>
    <w:p w14:paraId="7327967A" w14:textId="35AB455B" w:rsidR="00117D03" w:rsidRPr="00A92467" w:rsidRDefault="00117D03" w:rsidP="00117D03">
      <w:pPr>
        <w:rPr>
          <w:rFonts w:ascii="Arial" w:hAnsi="Arial" w:cs="Arial"/>
          <w:b/>
          <w:bCs/>
        </w:rPr>
      </w:pPr>
      <w:r w:rsidRPr="00A92467">
        <w:rPr>
          <w:rFonts w:ascii="Arial" w:hAnsi="Arial" w:cs="Arial"/>
          <w:b/>
          <w:bCs/>
        </w:rPr>
        <w:t>Item [10] Sections 42</w:t>
      </w:r>
      <w:r w:rsidR="00BF1958">
        <w:rPr>
          <w:rFonts w:ascii="Arial" w:hAnsi="Arial" w:cs="Arial"/>
          <w:b/>
          <w:bCs/>
        </w:rPr>
        <w:t>-</w:t>
      </w:r>
      <w:r w:rsidR="009778F0">
        <w:rPr>
          <w:rFonts w:ascii="Arial" w:hAnsi="Arial" w:cs="Arial"/>
          <w:b/>
          <w:bCs/>
        </w:rPr>
        <w:t>-</w:t>
      </w:r>
      <w:r w:rsidRPr="00A92467">
        <w:rPr>
          <w:rFonts w:ascii="Arial" w:hAnsi="Arial" w:cs="Arial"/>
          <w:b/>
          <w:bCs/>
        </w:rPr>
        <w:t xml:space="preserve"> 46 and 47(1)</w:t>
      </w:r>
    </w:p>
    <w:p w14:paraId="50C4BF2E" w14:textId="06907EFE" w:rsidR="00117D03" w:rsidRPr="00543268"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sections </w:t>
      </w:r>
      <w:r w:rsidRPr="00551EE4">
        <w:rPr>
          <w:rFonts w:ascii="Arial" w:hAnsi="Arial" w:cs="Arial"/>
        </w:rPr>
        <w:t>42</w:t>
      </w:r>
      <w:r w:rsidR="009778F0">
        <w:rPr>
          <w:rFonts w:ascii="Arial" w:hAnsi="Arial" w:cs="Arial"/>
        </w:rPr>
        <w:t>--</w:t>
      </w:r>
      <w:r w:rsidRPr="00551EE4">
        <w:rPr>
          <w:rFonts w:ascii="Arial" w:hAnsi="Arial" w:cs="Arial"/>
        </w:rPr>
        <w:t>46 and 47(1)</w:t>
      </w:r>
      <w:r>
        <w:rPr>
          <w:rFonts w:ascii="Arial" w:hAnsi="Arial" w:cs="Arial"/>
        </w:rPr>
        <w:t xml:space="preserve"> to have a maximum tier C monetary penalty. </w:t>
      </w:r>
    </w:p>
    <w:p w14:paraId="26E7211A" w14:textId="59F47437" w:rsidR="00117D03" w:rsidRPr="00A92467" w:rsidRDefault="00117D03" w:rsidP="00117D03">
      <w:pPr>
        <w:rPr>
          <w:rFonts w:ascii="Arial" w:hAnsi="Arial" w:cs="Arial"/>
          <w:b/>
          <w:bCs/>
        </w:rPr>
      </w:pPr>
      <w:r w:rsidRPr="00A92467">
        <w:rPr>
          <w:rFonts w:ascii="Arial" w:hAnsi="Arial" w:cs="Arial"/>
          <w:b/>
          <w:bCs/>
        </w:rPr>
        <w:t>Item [11] Sections 53, 57</w:t>
      </w:r>
      <w:r w:rsidR="009778F0">
        <w:rPr>
          <w:rFonts w:ascii="Arial" w:hAnsi="Arial" w:cs="Arial"/>
          <w:b/>
          <w:bCs/>
        </w:rPr>
        <w:t xml:space="preserve"> </w:t>
      </w:r>
      <w:r w:rsidRPr="00A92467">
        <w:rPr>
          <w:rFonts w:ascii="Arial" w:hAnsi="Arial" w:cs="Arial"/>
          <w:b/>
          <w:bCs/>
        </w:rPr>
        <w:t>and 74</w:t>
      </w:r>
    </w:p>
    <w:p w14:paraId="0BEDB0AD" w14:textId="3E2E06C8" w:rsidR="00117D03" w:rsidRPr="00A95D7D"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sections </w:t>
      </w:r>
      <w:r w:rsidRPr="00551EE4">
        <w:rPr>
          <w:rFonts w:ascii="Arial" w:hAnsi="Arial" w:cs="Arial"/>
        </w:rPr>
        <w:t xml:space="preserve">53, 57 and </w:t>
      </w:r>
      <w:r w:rsidRPr="00A92467">
        <w:rPr>
          <w:rFonts w:ascii="Arial" w:hAnsi="Arial" w:cs="Arial"/>
        </w:rPr>
        <w:t>74 to</w:t>
      </w:r>
      <w:r>
        <w:rPr>
          <w:rFonts w:ascii="Arial" w:hAnsi="Arial" w:cs="Arial"/>
        </w:rPr>
        <w:t xml:space="preserve"> have a maximum tier H monetary penalty. </w:t>
      </w:r>
    </w:p>
    <w:p w14:paraId="389F823D" w14:textId="77777777" w:rsidR="00117D03" w:rsidRPr="00A92467" w:rsidRDefault="00117D03" w:rsidP="00117D03">
      <w:pPr>
        <w:rPr>
          <w:rFonts w:ascii="Arial" w:hAnsi="Arial" w:cs="Arial"/>
          <w:b/>
          <w:bCs/>
        </w:rPr>
      </w:pPr>
      <w:r w:rsidRPr="00A92467">
        <w:rPr>
          <w:rFonts w:ascii="Arial" w:hAnsi="Arial" w:cs="Arial"/>
          <w:b/>
          <w:bCs/>
        </w:rPr>
        <w:t>Item [12] Sections 104(1), 107, 108(1), 109(1), 197 and 197D</w:t>
      </w:r>
    </w:p>
    <w:p w14:paraId="5A542A23" w14:textId="77777777" w:rsidR="00117D03" w:rsidRDefault="00117D03" w:rsidP="00117D03">
      <w:pPr>
        <w:rPr>
          <w:rFonts w:ascii="Arial" w:hAnsi="Arial" w:cs="Arial"/>
          <w:b/>
          <w:bCs/>
          <w:u w:val="single"/>
        </w:rPr>
      </w:pPr>
      <w:r w:rsidRPr="00790303">
        <w:rPr>
          <w:rFonts w:ascii="Arial" w:hAnsi="Arial" w:cs="Arial"/>
        </w:rPr>
        <w:t xml:space="preserve">This item </w:t>
      </w:r>
      <w:r>
        <w:rPr>
          <w:rFonts w:ascii="Arial" w:hAnsi="Arial" w:cs="Arial"/>
        </w:rPr>
        <w:t xml:space="preserve">amends sections </w:t>
      </w:r>
      <w:r w:rsidRPr="00A92467">
        <w:rPr>
          <w:rFonts w:ascii="Arial" w:hAnsi="Arial" w:cs="Arial"/>
        </w:rPr>
        <w:t>104(1), 107, 108(1), 109(1), 197 and 197D</w:t>
      </w:r>
      <w:r w:rsidRPr="00A92467">
        <w:rPr>
          <w:rFonts w:ascii="Arial" w:hAnsi="Arial" w:cs="Arial"/>
          <w:b/>
          <w:bCs/>
        </w:rPr>
        <w:t xml:space="preserve"> </w:t>
      </w:r>
      <w:r w:rsidRPr="00A92467">
        <w:rPr>
          <w:rFonts w:ascii="Arial" w:hAnsi="Arial" w:cs="Arial"/>
        </w:rPr>
        <w:t>to have a maximum tier A monetary penalty.</w:t>
      </w:r>
      <w:r>
        <w:rPr>
          <w:rFonts w:ascii="Arial" w:hAnsi="Arial" w:cs="Arial"/>
        </w:rPr>
        <w:t xml:space="preserve"> </w:t>
      </w:r>
    </w:p>
    <w:p w14:paraId="69E16198" w14:textId="77777777" w:rsidR="00117D03" w:rsidRPr="00A92467" w:rsidRDefault="00117D03" w:rsidP="00117D03">
      <w:pPr>
        <w:rPr>
          <w:rFonts w:ascii="Arial" w:hAnsi="Arial" w:cs="Arial"/>
          <w:b/>
          <w:bCs/>
        </w:rPr>
      </w:pPr>
      <w:r w:rsidRPr="00A92467">
        <w:rPr>
          <w:rFonts w:ascii="Arial" w:hAnsi="Arial" w:cs="Arial"/>
          <w:b/>
          <w:bCs/>
        </w:rPr>
        <w:t>Item [13]</w:t>
      </w:r>
      <w:r>
        <w:rPr>
          <w:rFonts w:ascii="Arial" w:hAnsi="Arial" w:cs="Arial"/>
          <w:b/>
          <w:bCs/>
        </w:rPr>
        <w:t xml:space="preserve"> </w:t>
      </w:r>
      <w:r w:rsidRPr="00227DE1">
        <w:rPr>
          <w:rFonts w:ascii="Arial" w:hAnsi="Arial" w:cs="Arial"/>
          <w:b/>
          <w:bCs/>
        </w:rPr>
        <w:t xml:space="preserve">Sections </w:t>
      </w:r>
      <w:r w:rsidRPr="005E3E26">
        <w:rPr>
          <w:rFonts w:ascii="Arial" w:hAnsi="Arial" w:cs="Arial"/>
          <w:b/>
          <w:bCs/>
        </w:rPr>
        <w:t>118(3),</w:t>
      </w:r>
      <w:r w:rsidRPr="00227DE1">
        <w:rPr>
          <w:rFonts w:ascii="Arial" w:hAnsi="Arial" w:cs="Arial"/>
          <w:b/>
          <w:bCs/>
        </w:rPr>
        <w:t xml:space="preserve"> </w:t>
      </w:r>
      <w:r w:rsidRPr="005E3E26">
        <w:rPr>
          <w:rFonts w:ascii="Arial" w:hAnsi="Arial" w:cs="Arial"/>
          <w:b/>
          <w:bCs/>
        </w:rPr>
        <w:t>124-126,</w:t>
      </w:r>
      <w:r>
        <w:rPr>
          <w:rFonts w:ascii="Arial" w:hAnsi="Arial" w:cs="Arial"/>
          <w:b/>
          <w:bCs/>
        </w:rPr>
        <w:t xml:space="preserve"> 128, 129, 143, 144(1), 145, 146, 147(1) and 148</w:t>
      </w:r>
    </w:p>
    <w:p w14:paraId="0669FF1B" w14:textId="77777777" w:rsidR="00117D03" w:rsidRPr="00A95D7D"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sections </w:t>
      </w:r>
      <w:r w:rsidRPr="00A92467">
        <w:rPr>
          <w:rFonts w:ascii="Arial" w:hAnsi="Arial" w:cs="Arial"/>
        </w:rPr>
        <w:t>118(3), 124-126, 128, 129, 143, 144(1), 145, 146, 147(1) and 148</w:t>
      </w:r>
      <w:r>
        <w:rPr>
          <w:rFonts w:ascii="Arial" w:hAnsi="Arial" w:cs="Arial"/>
          <w:b/>
          <w:bCs/>
        </w:rPr>
        <w:t xml:space="preserve"> </w:t>
      </w:r>
      <w:r>
        <w:rPr>
          <w:rFonts w:ascii="Arial" w:hAnsi="Arial" w:cs="Arial"/>
        </w:rPr>
        <w:t xml:space="preserve">to have a maximum WHS civil penalty provision tier 2. </w:t>
      </w:r>
    </w:p>
    <w:p w14:paraId="2B6C5E17" w14:textId="77777777" w:rsidR="00117D03" w:rsidRPr="00A92467" w:rsidRDefault="00117D03" w:rsidP="00117D03">
      <w:pPr>
        <w:rPr>
          <w:rFonts w:ascii="Arial" w:hAnsi="Arial" w:cs="Arial"/>
          <w:b/>
          <w:bCs/>
        </w:rPr>
      </w:pPr>
      <w:r w:rsidRPr="00A92467">
        <w:rPr>
          <w:rFonts w:ascii="Arial" w:hAnsi="Arial" w:cs="Arial"/>
          <w:b/>
          <w:bCs/>
        </w:rPr>
        <w:t>Item [14]</w:t>
      </w:r>
      <w:r>
        <w:rPr>
          <w:rFonts w:ascii="Arial" w:hAnsi="Arial" w:cs="Arial"/>
          <w:b/>
          <w:bCs/>
        </w:rPr>
        <w:t xml:space="preserve"> Section 123 Contravening WHS permit </w:t>
      </w:r>
      <w:proofErr w:type="gramStart"/>
      <w:r>
        <w:rPr>
          <w:rFonts w:ascii="Arial" w:hAnsi="Arial" w:cs="Arial"/>
          <w:b/>
          <w:bCs/>
        </w:rPr>
        <w:t>conditions</w:t>
      </w:r>
      <w:proofErr w:type="gramEnd"/>
      <w:r>
        <w:rPr>
          <w:rFonts w:ascii="Arial" w:hAnsi="Arial" w:cs="Arial"/>
          <w:b/>
          <w:bCs/>
        </w:rPr>
        <w:t xml:space="preserve"> </w:t>
      </w:r>
    </w:p>
    <w:p w14:paraId="7762636E" w14:textId="77777777" w:rsidR="00117D03" w:rsidRPr="00A95D7D"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 123 to have a maximum WHS civil penalty provision tier 1. </w:t>
      </w:r>
    </w:p>
    <w:p w14:paraId="148D7351" w14:textId="06C70C56" w:rsidR="00117D03" w:rsidRPr="00A92467" w:rsidRDefault="00117D03" w:rsidP="00117D03">
      <w:pPr>
        <w:rPr>
          <w:rFonts w:ascii="Arial" w:hAnsi="Arial" w:cs="Arial"/>
          <w:b/>
          <w:bCs/>
        </w:rPr>
      </w:pPr>
      <w:r w:rsidRPr="00A92467">
        <w:rPr>
          <w:rFonts w:ascii="Arial" w:hAnsi="Arial" w:cs="Arial"/>
          <w:b/>
          <w:bCs/>
        </w:rPr>
        <w:t>Item [15]</w:t>
      </w:r>
      <w:r>
        <w:rPr>
          <w:rFonts w:ascii="Arial" w:hAnsi="Arial" w:cs="Arial"/>
          <w:b/>
          <w:bCs/>
        </w:rPr>
        <w:t xml:space="preserve"> Section 149 Return of WHS entry permits</w:t>
      </w:r>
    </w:p>
    <w:p w14:paraId="118DA3C0" w14:textId="1D310561" w:rsidR="00117D03" w:rsidRPr="00A95D7D"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section 149to have a maximum WHS civil penalty provision tier 4. </w:t>
      </w:r>
    </w:p>
    <w:p w14:paraId="01CFAE82" w14:textId="77777777" w:rsidR="00117D03" w:rsidRPr="00A92467" w:rsidRDefault="00117D03" w:rsidP="00117D03">
      <w:pPr>
        <w:rPr>
          <w:rFonts w:ascii="Arial" w:hAnsi="Arial" w:cs="Arial"/>
          <w:b/>
          <w:bCs/>
        </w:rPr>
      </w:pPr>
      <w:r w:rsidRPr="00A92467">
        <w:rPr>
          <w:rFonts w:ascii="Arial" w:hAnsi="Arial" w:cs="Arial"/>
          <w:b/>
          <w:bCs/>
        </w:rPr>
        <w:t>Item [16]</w:t>
      </w:r>
      <w:r>
        <w:rPr>
          <w:rFonts w:ascii="Arial" w:hAnsi="Arial" w:cs="Arial"/>
          <w:b/>
          <w:bCs/>
        </w:rPr>
        <w:t xml:space="preserve"> Section 150 Union to provide information to authorising </w:t>
      </w:r>
      <w:proofErr w:type="gramStart"/>
      <w:r>
        <w:rPr>
          <w:rFonts w:ascii="Arial" w:hAnsi="Arial" w:cs="Arial"/>
          <w:b/>
          <w:bCs/>
        </w:rPr>
        <w:t>authority</w:t>
      </w:r>
      <w:proofErr w:type="gramEnd"/>
      <w:r>
        <w:rPr>
          <w:rFonts w:ascii="Arial" w:hAnsi="Arial" w:cs="Arial"/>
          <w:b/>
          <w:bCs/>
        </w:rPr>
        <w:t xml:space="preserve"> </w:t>
      </w:r>
    </w:p>
    <w:p w14:paraId="176655B8" w14:textId="77777777" w:rsidR="00117D03" w:rsidRPr="00A95D7D"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section 150 to have a maximum WHS civil penalty provision tier 3. </w:t>
      </w:r>
    </w:p>
    <w:p w14:paraId="4BF338EE" w14:textId="77777777" w:rsidR="00117D03" w:rsidRPr="00A92467" w:rsidRDefault="00117D03" w:rsidP="00117D03">
      <w:pPr>
        <w:rPr>
          <w:rFonts w:ascii="Arial" w:hAnsi="Arial" w:cs="Arial"/>
          <w:b/>
          <w:bCs/>
        </w:rPr>
      </w:pPr>
      <w:r w:rsidRPr="00A92467">
        <w:rPr>
          <w:rFonts w:ascii="Arial" w:hAnsi="Arial" w:cs="Arial"/>
          <w:b/>
          <w:bCs/>
        </w:rPr>
        <w:t xml:space="preserve">Item [17] </w:t>
      </w:r>
      <w:r>
        <w:rPr>
          <w:rFonts w:ascii="Arial" w:hAnsi="Arial" w:cs="Arial"/>
          <w:b/>
          <w:bCs/>
        </w:rPr>
        <w:t xml:space="preserve">Section 190 Offence to assault, threaten or intimidate </w:t>
      </w:r>
      <w:proofErr w:type="gramStart"/>
      <w:r>
        <w:rPr>
          <w:rFonts w:ascii="Arial" w:hAnsi="Arial" w:cs="Arial"/>
          <w:b/>
          <w:bCs/>
        </w:rPr>
        <w:t>inspector</w:t>
      </w:r>
      <w:proofErr w:type="gramEnd"/>
    </w:p>
    <w:p w14:paraId="4CDBDF12" w14:textId="77777777" w:rsidR="00117D03" w:rsidRPr="00A95D7D" w:rsidRDefault="00117D03" w:rsidP="00117D03">
      <w:pPr>
        <w:rPr>
          <w:rFonts w:ascii="Arial" w:hAnsi="Arial" w:cs="Arial"/>
        </w:rPr>
      </w:pPr>
      <w:r w:rsidRPr="00790303">
        <w:rPr>
          <w:rFonts w:ascii="Arial" w:hAnsi="Arial" w:cs="Arial"/>
        </w:rPr>
        <w:t xml:space="preserve">This item </w:t>
      </w:r>
      <w:r>
        <w:rPr>
          <w:rFonts w:ascii="Arial" w:hAnsi="Arial" w:cs="Arial"/>
        </w:rPr>
        <w:t xml:space="preserve">amends section 190 to have a maximum tier B monetary penalty for an individual and body corporate. </w:t>
      </w:r>
    </w:p>
    <w:p w14:paraId="2426509D" w14:textId="77777777" w:rsidR="00DB7B44" w:rsidRDefault="00DB7B44">
      <w:pPr>
        <w:rPr>
          <w:rFonts w:ascii="Arial" w:hAnsi="Arial" w:cs="Arial"/>
          <w:b/>
          <w:bCs/>
        </w:rPr>
      </w:pPr>
      <w:r>
        <w:rPr>
          <w:rFonts w:ascii="Arial" w:hAnsi="Arial" w:cs="Arial"/>
          <w:b/>
          <w:bCs/>
        </w:rPr>
        <w:br w:type="page"/>
      </w:r>
    </w:p>
    <w:p w14:paraId="63B9F269" w14:textId="64DA4217" w:rsidR="00A92467" w:rsidRPr="00A92467" w:rsidRDefault="00A92467" w:rsidP="00A92467">
      <w:pPr>
        <w:rPr>
          <w:rFonts w:ascii="Arial" w:hAnsi="Arial" w:cs="Arial"/>
          <w:b/>
          <w:bCs/>
        </w:rPr>
      </w:pPr>
      <w:r w:rsidRPr="00A92467">
        <w:rPr>
          <w:rFonts w:ascii="Arial" w:hAnsi="Arial" w:cs="Arial"/>
          <w:b/>
          <w:bCs/>
        </w:rPr>
        <w:lastRenderedPageBreak/>
        <w:t xml:space="preserve">Item [18] Sections 244-244D </w:t>
      </w:r>
    </w:p>
    <w:p w14:paraId="07904905" w14:textId="3B5BC467" w:rsidR="0009062A" w:rsidRPr="00994260" w:rsidRDefault="00994260" w:rsidP="001E7D5F">
      <w:pPr>
        <w:rPr>
          <w:rFonts w:ascii="Arial" w:hAnsi="Arial" w:cs="Arial"/>
          <w:i/>
          <w:iCs/>
          <w:u w:val="single"/>
        </w:rPr>
      </w:pPr>
      <w:r>
        <w:rPr>
          <w:rFonts w:ascii="Arial" w:hAnsi="Arial" w:cs="Arial"/>
          <w:i/>
          <w:iCs/>
          <w:u w:val="single"/>
        </w:rPr>
        <w:t xml:space="preserve">Background </w:t>
      </w:r>
      <w:r w:rsidR="007C6365">
        <w:rPr>
          <w:rFonts w:ascii="Arial" w:hAnsi="Arial" w:cs="Arial"/>
          <w:i/>
          <w:iCs/>
          <w:u w:val="single"/>
        </w:rPr>
        <w:t xml:space="preserve">– </w:t>
      </w:r>
      <w:r w:rsidR="00A919B3">
        <w:rPr>
          <w:rFonts w:ascii="Arial" w:hAnsi="Arial" w:cs="Arial"/>
          <w:i/>
          <w:iCs/>
          <w:u w:val="single"/>
        </w:rPr>
        <w:t>Attribution and a</w:t>
      </w:r>
      <w:r w:rsidR="007C6365">
        <w:rPr>
          <w:rFonts w:ascii="Arial" w:hAnsi="Arial" w:cs="Arial"/>
          <w:i/>
          <w:iCs/>
          <w:u w:val="single"/>
        </w:rPr>
        <w:t xml:space="preserve">ggregation </w:t>
      </w:r>
      <w:r w:rsidR="00C11BB6">
        <w:rPr>
          <w:rFonts w:ascii="Arial" w:hAnsi="Arial" w:cs="Arial"/>
          <w:i/>
          <w:iCs/>
          <w:u w:val="single"/>
        </w:rPr>
        <w:t xml:space="preserve">of conduct for body corporate PCBUs </w:t>
      </w:r>
    </w:p>
    <w:p w14:paraId="0CCE95D0" w14:textId="35414040" w:rsidR="009776C8" w:rsidRDefault="00BE4523" w:rsidP="001E7D5F">
      <w:pPr>
        <w:rPr>
          <w:rFonts w:ascii="Arial" w:hAnsi="Arial" w:cs="Arial"/>
        </w:rPr>
      </w:pPr>
      <w:r>
        <w:rPr>
          <w:rFonts w:ascii="Arial" w:hAnsi="Arial" w:cs="Arial"/>
        </w:rPr>
        <w:t>A body corporate is an artificial entity that can only act and make decisions through individuals</w:t>
      </w:r>
      <w:r w:rsidR="008D683D">
        <w:rPr>
          <w:rFonts w:ascii="Arial" w:hAnsi="Arial" w:cs="Arial"/>
        </w:rPr>
        <w:t>. Existing s</w:t>
      </w:r>
      <w:r w:rsidR="000219A7">
        <w:rPr>
          <w:rFonts w:ascii="Arial" w:hAnsi="Arial" w:cs="Arial"/>
        </w:rPr>
        <w:t>ection</w:t>
      </w:r>
      <w:r w:rsidR="008D683D">
        <w:rPr>
          <w:rFonts w:ascii="Arial" w:hAnsi="Arial" w:cs="Arial"/>
        </w:rPr>
        <w:t xml:space="preserve"> 244 </w:t>
      </w:r>
      <w:r w:rsidR="001D6A08">
        <w:rPr>
          <w:rFonts w:ascii="Arial" w:hAnsi="Arial" w:cs="Arial"/>
        </w:rPr>
        <w:t xml:space="preserve">provides for the attribution of conduct engaged in on behalf of a body corporate by an employee, officer or agent of the body corporate </w:t>
      </w:r>
      <w:r w:rsidR="00F12F6F">
        <w:rPr>
          <w:rFonts w:ascii="Arial" w:hAnsi="Arial" w:cs="Arial"/>
        </w:rPr>
        <w:t>to the body corporate – that is, the conduct is taken to have been engaged in by the body corporate.</w:t>
      </w:r>
    </w:p>
    <w:p w14:paraId="479CB797" w14:textId="0A76DB7A" w:rsidR="000F536D" w:rsidRDefault="000B18C1" w:rsidP="001E7D5F">
      <w:pPr>
        <w:rPr>
          <w:rFonts w:ascii="Arial" w:hAnsi="Arial" w:cs="Arial"/>
        </w:rPr>
      </w:pPr>
      <w:r>
        <w:rPr>
          <w:rFonts w:ascii="Arial" w:hAnsi="Arial" w:cs="Arial"/>
        </w:rPr>
        <w:t xml:space="preserve">This item </w:t>
      </w:r>
      <w:r w:rsidR="00273C2C">
        <w:rPr>
          <w:rFonts w:ascii="Arial" w:hAnsi="Arial" w:cs="Arial"/>
        </w:rPr>
        <w:t>amends s</w:t>
      </w:r>
      <w:r w:rsidR="00DA7027">
        <w:rPr>
          <w:rFonts w:ascii="Arial" w:hAnsi="Arial" w:cs="Arial"/>
        </w:rPr>
        <w:t>ection</w:t>
      </w:r>
      <w:r w:rsidR="00273C2C">
        <w:rPr>
          <w:rFonts w:ascii="Arial" w:hAnsi="Arial" w:cs="Arial"/>
        </w:rPr>
        <w:t xml:space="preserve"> 244 and </w:t>
      </w:r>
      <w:r>
        <w:rPr>
          <w:rFonts w:ascii="Arial" w:hAnsi="Arial" w:cs="Arial"/>
        </w:rPr>
        <w:t>inserts new sections 244</w:t>
      </w:r>
      <w:r w:rsidR="00273C2C">
        <w:rPr>
          <w:rFonts w:ascii="Arial" w:hAnsi="Arial" w:cs="Arial"/>
        </w:rPr>
        <w:t>A</w:t>
      </w:r>
      <w:r>
        <w:rPr>
          <w:rFonts w:ascii="Arial" w:hAnsi="Arial" w:cs="Arial"/>
        </w:rPr>
        <w:t>-244D</w:t>
      </w:r>
      <w:r w:rsidR="002312F4">
        <w:rPr>
          <w:rFonts w:ascii="Arial" w:hAnsi="Arial" w:cs="Arial"/>
        </w:rPr>
        <w:t xml:space="preserve">. </w:t>
      </w:r>
      <w:r w:rsidR="005F05C0">
        <w:rPr>
          <w:rFonts w:ascii="Arial" w:hAnsi="Arial" w:cs="Arial"/>
        </w:rPr>
        <w:t xml:space="preserve">Sections 244A and 244B </w:t>
      </w:r>
      <w:r>
        <w:rPr>
          <w:rFonts w:ascii="Arial" w:hAnsi="Arial" w:cs="Arial"/>
        </w:rPr>
        <w:t xml:space="preserve">set out the circumstances in which the </w:t>
      </w:r>
      <w:r w:rsidRPr="00AC2163">
        <w:rPr>
          <w:rFonts w:ascii="Arial" w:hAnsi="Arial" w:cs="Arial"/>
        </w:rPr>
        <w:t xml:space="preserve">physical and fault elements of an offence are attributed to a body </w:t>
      </w:r>
      <w:r w:rsidR="00D16CE7" w:rsidRPr="00AC2163">
        <w:rPr>
          <w:rFonts w:ascii="Arial" w:hAnsi="Arial" w:cs="Arial"/>
        </w:rPr>
        <w:t>corporate</w:t>
      </w:r>
      <w:r w:rsidR="000F536D">
        <w:rPr>
          <w:rFonts w:ascii="Arial" w:hAnsi="Arial" w:cs="Arial"/>
        </w:rPr>
        <w:t xml:space="preserve">. </w:t>
      </w:r>
    </w:p>
    <w:p w14:paraId="1AD45CE8" w14:textId="38927F7F" w:rsidR="00B00DC4" w:rsidRDefault="00B00DC4" w:rsidP="001E7D5F">
      <w:pPr>
        <w:rPr>
          <w:rFonts w:ascii="Arial" w:hAnsi="Arial" w:cs="Arial"/>
        </w:rPr>
      </w:pPr>
      <w:r>
        <w:rPr>
          <w:rFonts w:ascii="Arial" w:hAnsi="Arial" w:cs="Arial"/>
        </w:rPr>
        <w:t>These amendments reflect the recommendations of the Australian Law Reform Commission’s Report 136 (Corporate Criminal Responsibility) on corporate attribution.</w:t>
      </w:r>
    </w:p>
    <w:p w14:paraId="1926CFFA" w14:textId="7D411529" w:rsidR="006B38FE" w:rsidRPr="00C66A51" w:rsidRDefault="000F536D" w:rsidP="001E7D5F">
      <w:pPr>
        <w:rPr>
          <w:rFonts w:ascii="Arial" w:hAnsi="Arial" w:cs="Arial"/>
          <w:color w:val="000000" w:themeColor="text1"/>
        </w:rPr>
      </w:pPr>
      <w:r>
        <w:rPr>
          <w:rFonts w:ascii="Arial" w:hAnsi="Arial" w:cs="Arial"/>
        </w:rPr>
        <w:t>Sections 244A and 244B</w:t>
      </w:r>
      <w:r w:rsidR="00D16CE7">
        <w:rPr>
          <w:rFonts w:ascii="Arial" w:hAnsi="Arial" w:cs="Arial"/>
        </w:rPr>
        <w:t xml:space="preserve"> a</w:t>
      </w:r>
      <w:r>
        <w:rPr>
          <w:rFonts w:ascii="Arial" w:hAnsi="Arial" w:cs="Arial"/>
        </w:rPr>
        <w:t xml:space="preserve">lso </w:t>
      </w:r>
      <w:r w:rsidR="00782A3B" w:rsidRPr="00C66A51">
        <w:rPr>
          <w:rFonts w:ascii="Arial" w:hAnsi="Arial" w:cs="Arial"/>
          <w:color w:val="000000" w:themeColor="text1"/>
        </w:rPr>
        <w:t>allow for aggregation</w:t>
      </w:r>
      <w:r w:rsidR="00040CF9" w:rsidRPr="00C66A51">
        <w:rPr>
          <w:rFonts w:ascii="Arial" w:hAnsi="Arial" w:cs="Arial"/>
          <w:color w:val="000000" w:themeColor="text1"/>
        </w:rPr>
        <w:t xml:space="preserve"> of conduct</w:t>
      </w:r>
      <w:r w:rsidR="00D16CE7" w:rsidRPr="00C66A51">
        <w:rPr>
          <w:rFonts w:ascii="Arial" w:hAnsi="Arial" w:cs="Arial"/>
          <w:color w:val="000000" w:themeColor="text1"/>
        </w:rPr>
        <w:t>. This</w:t>
      </w:r>
      <w:r w:rsidR="00782A3B" w:rsidRPr="00C66A51">
        <w:rPr>
          <w:rFonts w:ascii="Arial" w:hAnsi="Arial" w:cs="Arial"/>
          <w:color w:val="000000" w:themeColor="text1"/>
        </w:rPr>
        <w:t xml:space="preserve"> enables the conduct of a</w:t>
      </w:r>
      <w:r w:rsidR="000D4798" w:rsidRPr="00C66A51">
        <w:rPr>
          <w:rFonts w:ascii="Arial" w:hAnsi="Arial" w:cs="Arial"/>
          <w:color w:val="000000" w:themeColor="text1"/>
        </w:rPr>
        <w:t>uthorise</w:t>
      </w:r>
      <w:r w:rsidR="00CE6D4C" w:rsidRPr="00C66A51">
        <w:rPr>
          <w:rFonts w:ascii="Arial" w:hAnsi="Arial" w:cs="Arial"/>
          <w:color w:val="000000" w:themeColor="text1"/>
        </w:rPr>
        <w:t>d</w:t>
      </w:r>
      <w:r w:rsidR="000D4798" w:rsidRPr="00C66A51">
        <w:rPr>
          <w:rFonts w:ascii="Arial" w:hAnsi="Arial" w:cs="Arial"/>
          <w:color w:val="000000" w:themeColor="text1"/>
        </w:rPr>
        <w:t xml:space="preserve"> persons within a body corporate </w:t>
      </w:r>
      <w:r w:rsidR="007602F3" w:rsidRPr="00C66A51">
        <w:rPr>
          <w:rFonts w:ascii="Arial" w:hAnsi="Arial" w:cs="Arial"/>
          <w:color w:val="000000" w:themeColor="text1"/>
        </w:rPr>
        <w:t>to be considered as a whole in determining whether the body corporate has committed an offence where intention, knowledge</w:t>
      </w:r>
      <w:r w:rsidR="00154C95" w:rsidRPr="00C66A51">
        <w:rPr>
          <w:rFonts w:ascii="Arial" w:hAnsi="Arial" w:cs="Arial"/>
          <w:color w:val="000000" w:themeColor="text1"/>
        </w:rPr>
        <w:t xml:space="preserve"> or recklessness is the fault element (or required state of mind). </w:t>
      </w:r>
      <w:r w:rsidR="00C36054" w:rsidRPr="00C66A51">
        <w:rPr>
          <w:rFonts w:ascii="Arial" w:hAnsi="Arial" w:cs="Arial"/>
          <w:color w:val="000000" w:themeColor="text1"/>
        </w:rPr>
        <w:t>This means that the same i</w:t>
      </w:r>
      <w:r w:rsidR="009B2B57" w:rsidRPr="00C66A51">
        <w:rPr>
          <w:rFonts w:ascii="Arial" w:hAnsi="Arial" w:cs="Arial"/>
          <w:color w:val="000000" w:themeColor="text1"/>
        </w:rPr>
        <w:t xml:space="preserve">ndividual does not need to have engaged in the relevant conduct and hold the </w:t>
      </w:r>
      <w:r w:rsidR="006D6BC5" w:rsidRPr="00C66A51">
        <w:rPr>
          <w:rFonts w:ascii="Arial" w:hAnsi="Arial" w:cs="Arial"/>
          <w:color w:val="000000" w:themeColor="text1"/>
        </w:rPr>
        <w:t xml:space="preserve">relevant state of mind (fault element) in order to prove an offence against a </w:t>
      </w:r>
      <w:r w:rsidR="00F8251E" w:rsidRPr="00C66A51">
        <w:rPr>
          <w:rFonts w:ascii="Arial" w:hAnsi="Arial" w:cs="Arial"/>
          <w:color w:val="000000" w:themeColor="text1"/>
        </w:rPr>
        <w:t>body corporate</w:t>
      </w:r>
      <w:r w:rsidR="006D6BC5" w:rsidRPr="00C66A51">
        <w:rPr>
          <w:rFonts w:ascii="Arial" w:hAnsi="Arial" w:cs="Arial"/>
          <w:color w:val="000000" w:themeColor="text1"/>
        </w:rPr>
        <w:t xml:space="preserve">. </w:t>
      </w:r>
    </w:p>
    <w:p w14:paraId="1768AC40" w14:textId="2031092B" w:rsidR="00DF55CB" w:rsidRPr="00C66A51" w:rsidRDefault="00DF55CB" w:rsidP="001E7D5F">
      <w:pPr>
        <w:rPr>
          <w:rFonts w:ascii="Arial" w:hAnsi="Arial" w:cs="Arial"/>
          <w:color w:val="000000" w:themeColor="text1"/>
        </w:rPr>
      </w:pPr>
      <w:r w:rsidRPr="00C66A51">
        <w:rPr>
          <w:rFonts w:ascii="Arial" w:hAnsi="Arial" w:cs="Arial"/>
          <w:color w:val="000000" w:themeColor="text1"/>
        </w:rPr>
        <w:t xml:space="preserve">Attribution and aggregation are not applicable to most offences in the model </w:t>
      </w:r>
      <w:r w:rsidR="00941AB0">
        <w:rPr>
          <w:rFonts w:ascii="Arial" w:hAnsi="Arial" w:cs="Arial"/>
          <w:color w:val="000000" w:themeColor="text1"/>
        </w:rPr>
        <w:t xml:space="preserve">WHS </w:t>
      </w:r>
      <w:r w:rsidRPr="00C66A51">
        <w:rPr>
          <w:rFonts w:ascii="Arial" w:hAnsi="Arial" w:cs="Arial"/>
          <w:color w:val="000000" w:themeColor="text1"/>
        </w:rPr>
        <w:t>laws</w:t>
      </w:r>
      <w:r w:rsidR="000749C4" w:rsidRPr="00C66A51">
        <w:rPr>
          <w:rFonts w:ascii="Arial" w:hAnsi="Arial" w:cs="Arial"/>
          <w:color w:val="000000" w:themeColor="text1"/>
        </w:rPr>
        <w:t xml:space="preserve">, </w:t>
      </w:r>
      <w:r w:rsidR="005E0451" w:rsidRPr="00C66A51">
        <w:rPr>
          <w:rFonts w:ascii="Arial" w:hAnsi="Arial" w:cs="Arial"/>
          <w:color w:val="000000" w:themeColor="text1"/>
        </w:rPr>
        <w:t>because for</w:t>
      </w:r>
      <w:r w:rsidR="000749C4" w:rsidRPr="00C66A51">
        <w:rPr>
          <w:rFonts w:ascii="Arial" w:hAnsi="Arial" w:cs="Arial"/>
          <w:color w:val="000000" w:themeColor="text1"/>
        </w:rPr>
        <w:t xml:space="preserve"> </w:t>
      </w:r>
      <w:r w:rsidR="00994260" w:rsidRPr="00C66A51">
        <w:rPr>
          <w:rFonts w:ascii="Arial" w:hAnsi="Arial" w:cs="Arial"/>
          <w:color w:val="000000" w:themeColor="text1"/>
        </w:rPr>
        <w:t>duty-based</w:t>
      </w:r>
      <w:r w:rsidR="000749C4" w:rsidRPr="00C66A51">
        <w:rPr>
          <w:rFonts w:ascii="Arial" w:hAnsi="Arial" w:cs="Arial"/>
          <w:color w:val="000000" w:themeColor="text1"/>
        </w:rPr>
        <w:t xml:space="preserve"> offences it is sufficient for the prosecution to demonstrate a failure by a </w:t>
      </w:r>
      <w:r w:rsidR="009F16AA">
        <w:rPr>
          <w:rFonts w:ascii="Arial" w:hAnsi="Arial" w:cs="Arial"/>
          <w:color w:val="000000" w:themeColor="text1"/>
        </w:rPr>
        <w:t xml:space="preserve">body corporate </w:t>
      </w:r>
      <w:r w:rsidR="00AA1CA4" w:rsidRPr="00C66A51">
        <w:rPr>
          <w:rFonts w:ascii="Arial" w:hAnsi="Arial" w:cs="Arial"/>
          <w:color w:val="000000" w:themeColor="text1"/>
        </w:rPr>
        <w:t>PCBU</w:t>
      </w:r>
      <w:r w:rsidR="000749C4" w:rsidRPr="00C66A51">
        <w:rPr>
          <w:rFonts w:ascii="Arial" w:hAnsi="Arial" w:cs="Arial"/>
          <w:color w:val="000000" w:themeColor="text1"/>
        </w:rPr>
        <w:t xml:space="preserve"> to ensure</w:t>
      </w:r>
      <w:r w:rsidR="00A109EE" w:rsidRPr="00C66A51">
        <w:rPr>
          <w:rFonts w:ascii="Arial" w:hAnsi="Arial" w:cs="Arial"/>
          <w:color w:val="000000" w:themeColor="text1"/>
        </w:rPr>
        <w:t xml:space="preserve">, for example, the health and safety of workers so far as is reasonably practicable, without having to establish where in the company the failure </w:t>
      </w:r>
      <w:r w:rsidR="00F75DF1" w:rsidRPr="00C66A51">
        <w:rPr>
          <w:rFonts w:ascii="Arial" w:hAnsi="Arial" w:cs="Arial"/>
          <w:color w:val="000000" w:themeColor="text1"/>
        </w:rPr>
        <w:t xml:space="preserve">occurred. </w:t>
      </w:r>
    </w:p>
    <w:p w14:paraId="50B0AB51" w14:textId="096012C6" w:rsidR="00836EC6" w:rsidRPr="00C66A51" w:rsidRDefault="00414112" w:rsidP="001E7D5F">
      <w:pPr>
        <w:rPr>
          <w:rFonts w:ascii="Arial" w:hAnsi="Arial" w:cs="Arial"/>
          <w:color w:val="000000" w:themeColor="text1"/>
        </w:rPr>
      </w:pPr>
      <w:r w:rsidRPr="00C66A51">
        <w:rPr>
          <w:rFonts w:ascii="Arial" w:hAnsi="Arial" w:cs="Arial"/>
          <w:color w:val="000000" w:themeColor="text1"/>
        </w:rPr>
        <w:t xml:space="preserve">The model law provisions to which aggregation are applicable </w:t>
      </w:r>
      <w:r w:rsidR="00F75DF1" w:rsidRPr="00C66A51">
        <w:rPr>
          <w:rFonts w:ascii="Arial" w:hAnsi="Arial" w:cs="Arial"/>
          <w:color w:val="000000" w:themeColor="text1"/>
        </w:rPr>
        <w:t>are those that have a fault element of knowledge, intention or recklessness</w:t>
      </w:r>
      <w:r w:rsidR="000478E0" w:rsidRPr="00C66A51">
        <w:rPr>
          <w:rFonts w:ascii="Arial" w:hAnsi="Arial" w:cs="Arial"/>
          <w:color w:val="000000" w:themeColor="text1"/>
        </w:rPr>
        <w:t xml:space="preserve">; and which have a physical and fault element that are capable of being separated so that the physical element and fault element </w:t>
      </w:r>
      <w:r w:rsidR="00ED5D40" w:rsidRPr="00C66A51">
        <w:rPr>
          <w:rFonts w:ascii="Arial" w:hAnsi="Arial" w:cs="Arial"/>
          <w:color w:val="000000" w:themeColor="text1"/>
        </w:rPr>
        <w:t>of two different individuals acting on behalf o</w:t>
      </w:r>
      <w:r w:rsidR="00D60841" w:rsidRPr="00C66A51">
        <w:rPr>
          <w:rFonts w:ascii="Arial" w:hAnsi="Arial" w:cs="Arial"/>
          <w:color w:val="000000" w:themeColor="text1"/>
        </w:rPr>
        <w:t>f</w:t>
      </w:r>
      <w:r w:rsidR="00ED5D40" w:rsidRPr="00C66A51">
        <w:rPr>
          <w:rFonts w:ascii="Arial" w:hAnsi="Arial" w:cs="Arial"/>
          <w:color w:val="000000" w:themeColor="text1"/>
        </w:rPr>
        <w:t xml:space="preserve"> the company may be attributed to the company. The model </w:t>
      </w:r>
      <w:r w:rsidR="00A9248F" w:rsidRPr="00C66A51">
        <w:rPr>
          <w:rFonts w:ascii="Arial" w:hAnsi="Arial" w:cs="Arial"/>
          <w:color w:val="000000" w:themeColor="text1"/>
        </w:rPr>
        <w:t xml:space="preserve">law </w:t>
      </w:r>
      <w:r w:rsidR="004C656E" w:rsidRPr="00C66A51">
        <w:rPr>
          <w:rFonts w:ascii="Arial" w:hAnsi="Arial" w:cs="Arial"/>
          <w:color w:val="000000" w:themeColor="text1"/>
        </w:rPr>
        <w:t xml:space="preserve">offences to which aggregation </w:t>
      </w:r>
      <w:r w:rsidR="00BC6809">
        <w:rPr>
          <w:rFonts w:ascii="Arial" w:hAnsi="Arial" w:cs="Arial"/>
          <w:color w:val="000000" w:themeColor="text1"/>
        </w:rPr>
        <w:t>may be</w:t>
      </w:r>
      <w:r w:rsidR="004C656E" w:rsidRPr="00C66A51">
        <w:rPr>
          <w:rFonts w:ascii="Arial" w:hAnsi="Arial" w:cs="Arial"/>
          <w:color w:val="000000" w:themeColor="text1"/>
        </w:rPr>
        <w:t xml:space="preserve"> applicable are: </w:t>
      </w:r>
    </w:p>
    <w:p w14:paraId="1E762EEF" w14:textId="503CB852" w:rsidR="004C656E" w:rsidRPr="00C66A51" w:rsidRDefault="004C656E" w:rsidP="004C656E">
      <w:pPr>
        <w:pStyle w:val="ListParagraph"/>
        <w:numPr>
          <w:ilvl w:val="0"/>
          <w:numId w:val="16"/>
        </w:numPr>
        <w:rPr>
          <w:rFonts w:ascii="Arial" w:hAnsi="Arial" w:cs="Arial"/>
          <w:color w:val="000000" w:themeColor="text1"/>
        </w:rPr>
      </w:pPr>
      <w:r w:rsidRPr="00C66A51">
        <w:rPr>
          <w:rFonts w:ascii="Arial" w:hAnsi="Arial" w:cs="Arial"/>
          <w:color w:val="000000" w:themeColor="text1"/>
        </w:rPr>
        <w:t>s</w:t>
      </w:r>
      <w:r w:rsidR="00DA7027">
        <w:rPr>
          <w:rFonts w:ascii="Arial" w:hAnsi="Arial" w:cs="Arial"/>
          <w:color w:val="000000" w:themeColor="text1"/>
        </w:rPr>
        <w:t>ection</w:t>
      </w:r>
      <w:r w:rsidRPr="00C66A51">
        <w:rPr>
          <w:rFonts w:ascii="Arial" w:hAnsi="Arial" w:cs="Arial"/>
          <w:color w:val="000000" w:themeColor="text1"/>
        </w:rPr>
        <w:t xml:space="preserve"> 31 – Reckless conduct – category 1</w:t>
      </w:r>
    </w:p>
    <w:p w14:paraId="3A9FBAEC" w14:textId="4AEC118E" w:rsidR="004C656E" w:rsidRPr="00C66A51" w:rsidRDefault="00790CC9" w:rsidP="004C656E">
      <w:pPr>
        <w:pStyle w:val="ListParagraph"/>
        <w:numPr>
          <w:ilvl w:val="0"/>
          <w:numId w:val="16"/>
        </w:numPr>
        <w:rPr>
          <w:rFonts w:ascii="Arial" w:hAnsi="Arial" w:cs="Arial"/>
          <w:color w:val="000000" w:themeColor="text1"/>
        </w:rPr>
      </w:pPr>
      <w:r w:rsidRPr="00C66A51">
        <w:rPr>
          <w:rFonts w:ascii="Arial" w:hAnsi="Arial" w:cs="Arial"/>
          <w:color w:val="000000" w:themeColor="text1"/>
        </w:rPr>
        <w:t>s</w:t>
      </w:r>
      <w:r w:rsidR="00DA7027">
        <w:rPr>
          <w:rFonts w:ascii="Arial" w:hAnsi="Arial" w:cs="Arial"/>
          <w:color w:val="000000" w:themeColor="text1"/>
        </w:rPr>
        <w:t>ection</w:t>
      </w:r>
      <w:r w:rsidRPr="00C66A51">
        <w:rPr>
          <w:rFonts w:ascii="Arial" w:hAnsi="Arial" w:cs="Arial"/>
          <w:color w:val="000000" w:themeColor="text1"/>
        </w:rPr>
        <w:t xml:space="preserve"> 97(2) – intentionally remove etc an improvement </w:t>
      </w:r>
      <w:proofErr w:type="gramStart"/>
      <w:r w:rsidRPr="00C66A51">
        <w:rPr>
          <w:rFonts w:ascii="Arial" w:hAnsi="Arial" w:cs="Arial"/>
          <w:color w:val="000000" w:themeColor="text1"/>
        </w:rPr>
        <w:t>notice</w:t>
      </w:r>
      <w:proofErr w:type="gramEnd"/>
    </w:p>
    <w:p w14:paraId="648E5B7E" w14:textId="6379AB3D" w:rsidR="00790CC9" w:rsidRPr="00C66A51" w:rsidRDefault="00790CC9" w:rsidP="004C656E">
      <w:pPr>
        <w:pStyle w:val="ListParagraph"/>
        <w:numPr>
          <w:ilvl w:val="0"/>
          <w:numId w:val="16"/>
        </w:numPr>
        <w:rPr>
          <w:rFonts w:ascii="Arial" w:hAnsi="Arial" w:cs="Arial"/>
          <w:color w:val="000000" w:themeColor="text1"/>
        </w:rPr>
      </w:pPr>
      <w:r w:rsidRPr="00C66A51">
        <w:rPr>
          <w:rFonts w:ascii="Arial" w:hAnsi="Arial" w:cs="Arial"/>
          <w:color w:val="000000" w:themeColor="text1"/>
        </w:rPr>
        <w:t>s</w:t>
      </w:r>
      <w:r w:rsidR="00DA7027">
        <w:rPr>
          <w:rFonts w:ascii="Arial" w:hAnsi="Arial" w:cs="Arial"/>
          <w:color w:val="000000" w:themeColor="text1"/>
        </w:rPr>
        <w:t>ection</w:t>
      </w:r>
      <w:r w:rsidRPr="00C66A51">
        <w:rPr>
          <w:rFonts w:ascii="Arial" w:hAnsi="Arial" w:cs="Arial"/>
          <w:color w:val="000000" w:themeColor="text1"/>
        </w:rPr>
        <w:t xml:space="preserve"> 109 – knowingly or recklessly make a </w:t>
      </w:r>
      <w:proofErr w:type="gramStart"/>
      <w:r w:rsidRPr="00C66A51">
        <w:rPr>
          <w:rFonts w:ascii="Arial" w:hAnsi="Arial" w:cs="Arial"/>
          <w:color w:val="000000" w:themeColor="text1"/>
        </w:rPr>
        <w:t>misrepresentation</w:t>
      </w:r>
      <w:proofErr w:type="gramEnd"/>
    </w:p>
    <w:p w14:paraId="481B5E87" w14:textId="439B878C" w:rsidR="00790CC9" w:rsidRPr="00C66A51" w:rsidRDefault="00790CC9" w:rsidP="004C656E">
      <w:pPr>
        <w:pStyle w:val="ListParagraph"/>
        <w:numPr>
          <w:ilvl w:val="0"/>
          <w:numId w:val="16"/>
        </w:numPr>
        <w:rPr>
          <w:rFonts w:ascii="Arial" w:hAnsi="Arial" w:cs="Arial"/>
          <w:color w:val="000000" w:themeColor="text1"/>
        </w:rPr>
      </w:pPr>
      <w:r w:rsidRPr="00C66A51">
        <w:rPr>
          <w:rFonts w:ascii="Arial" w:hAnsi="Arial" w:cs="Arial"/>
          <w:color w:val="000000" w:themeColor="text1"/>
        </w:rPr>
        <w:t>s</w:t>
      </w:r>
      <w:r w:rsidR="00DA7027">
        <w:rPr>
          <w:rFonts w:ascii="Arial" w:hAnsi="Arial" w:cs="Arial"/>
          <w:color w:val="000000" w:themeColor="text1"/>
        </w:rPr>
        <w:t>ection</w:t>
      </w:r>
      <w:r w:rsidRPr="00C66A51">
        <w:rPr>
          <w:rFonts w:ascii="Arial" w:hAnsi="Arial" w:cs="Arial"/>
          <w:color w:val="000000" w:themeColor="text1"/>
        </w:rPr>
        <w:t xml:space="preserve"> 188 – intentionally hinder or obstruct </w:t>
      </w:r>
      <w:r w:rsidR="00DF6B44">
        <w:rPr>
          <w:rFonts w:ascii="Arial" w:hAnsi="Arial" w:cs="Arial"/>
          <w:color w:val="000000" w:themeColor="text1"/>
        </w:rPr>
        <w:t xml:space="preserve">an </w:t>
      </w:r>
      <w:proofErr w:type="gramStart"/>
      <w:r w:rsidRPr="00C66A51">
        <w:rPr>
          <w:rFonts w:ascii="Arial" w:hAnsi="Arial" w:cs="Arial"/>
          <w:color w:val="000000" w:themeColor="text1"/>
        </w:rPr>
        <w:t>inspector</w:t>
      </w:r>
      <w:proofErr w:type="gramEnd"/>
    </w:p>
    <w:p w14:paraId="038ECFD7" w14:textId="2880D321" w:rsidR="00790CC9" w:rsidRPr="00C66A51" w:rsidRDefault="00790CC9" w:rsidP="00EC16F5">
      <w:pPr>
        <w:pStyle w:val="ListParagraph"/>
        <w:numPr>
          <w:ilvl w:val="0"/>
          <w:numId w:val="16"/>
        </w:numPr>
        <w:rPr>
          <w:rFonts w:ascii="Arial" w:hAnsi="Arial" w:cs="Arial"/>
          <w:color w:val="000000" w:themeColor="text1"/>
        </w:rPr>
      </w:pPr>
      <w:r w:rsidRPr="00C66A51">
        <w:rPr>
          <w:rFonts w:ascii="Arial" w:hAnsi="Arial" w:cs="Arial"/>
          <w:color w:val="000000" w:themeColor="text1"/>
        </w:rPr>
        <w:t>s</w:t>
      </w:r>
      <w:r w:rsidR="00DA7027">
        <w:rPr>
          <w:rFonts w:ascii="Arial" w:hAnsi="Arial" w:cs="Arial"/>
          <w:color w:val="000000" w:themeColor="text1"/>
        </w:rPr>
        <w:t>ection</w:t>
      </w:r>
      <w:r w:rsidRPr="00C66A51">
        <w:rPr>
          <w:rFonts w:ascii="Arial" w:hAnsi="Arial" w:cs="Arial"/>
          <w:color w:val="000000" w:themeColor="text1"/>
        </w:rPr>
        <w:t xml:space="preserve"> 210(2)</w:t>
      </w:r>
      <w:r w:rsidR="00EC16F5" w:rsidRPr="00C66A51">
        <w:rPr>
          <w:rFonts w:ascii="Arial" w:hAnsi="Arial" w:cs="Arial"/>
          <w:color w:val="000000" w:themeColor="text1"/>
        </w:rPr>
        <w:t xml:space="preserve"> –</w:t>
      </w:r>
      <w:r w:rsidRPr="00C66A51">
        <w:rPr>
          <w:rFonts w:ascii="Arial" w:hAnsi="Arial" w:cs="Arial"/>
          <w:color w:val="000000" w:themeColor="text1"/>
        </w:rPr>
        <w:t xml:space="preserve"> intentionally remove etc a </w:t>
      </w:r>
      <w:proofErr w:type="gramStart"/>
      <w:r w:rsidRPr="00C66A51">
        <w:rPr>
          <w:rFonts w:ascii="Arial" w:hAnsi="Arial" w:cs="Arial"/>
          <w:color w:val="000000" w:themeColor="text1"/>
        </w:rPr>
        <w:t>notice</w:t>
      </w:r>
      <w:proofErr w:type="gramEnd"/>
    </w:p>
    <w:p w14:paraId="35F5FA95" w14:textId="61164C5F" w:rsidR="00A20BDF" w:rsidRPr="00C66A51" w:rsidRDefault="00A9248F" w:rsidP="00A20BDF">
      <w:pPr>
        <w:pStyle w:val="ListParagraph"/>
        <w:numPr>
          <w:ilvl w:val="0"/>
          <w:numId w:val="16"/>
        </w:numPr>
        <w:rPr>
          <w:rFonts w:ascii="Arial" w:hAnsi="Arial" w:cs="Arial"/>
          <w:color w:val="000000" w:themeColor="text1"/>
        </w:rPr>
      </w:pPr>
      <w:r w:rsidRPr="00C66A51">
        <w:rPr>
          <w:rFonts w:ascii="Arial" w:hAnsi="Arial" w:cs="Arial"/>
          <w:color w:val="000000" w:themeColor="text1"/>
        </w:rPr>
        <w:t>r</w:t>
      </w:r>
      <w:r w:rsidR="00DA7027">
        <w:rPr>
          <w:rFonts w:ascii="Arial" w:hAnsi="Arial" w:cs="Arial"/>
          <w:color w:val="000000" w:themeColor="text1"/>
        </w:rPr>
        <w:t>egulation</w:t>
      </w:r>
      <w:r w:rsidRPr="00C66A51">
        <w:rPr>
          <w:rFonts w:ascii="Arial" w:hAnsi="Arial" w:cs="Arial"/>
          <w:color w:val="000000" w:themeColor="text1"/>
        </w:rPr>
        <w:t xml:space="preserve"> </w:t>
      </w:r>
      <w:r w:rsidR="00EC16F5" w:rsidRPr="00C66A51">
        <w:rPr>
          <w:rFonts w:ascii="Arial" w:hAnsi="Arial" w:cs="Arial"/>
          <w:color w:val="000000" w:themeColor="text1"/>
        </w:rPr>
        <w:t>337 – retailer or supplier packing hazardous chemicals</w:t>
      </w:r>
      <w:r w:rsidR="00A20BDF" w:rsidRPr="00C66A51">
        <w:rPr>
          <w:rFonts w:ascii="Arial" w:hAnsi="Arial" w:cs="Arial"/>
          <w:color w:val="000000" w:themeColor="text1"/>
        </w:rPr>
        <w:t xml:space="preserve">, and </w:t>
      </w:r>
    </w:p>
    <w:p w14:paraId="05359F52" w14:textId="13F6ED47" w:rsidR="00836EC6" w:rsidRPr="00C66A51" w:rsidRDefault="00A20BDF" w:rsidP="001E7D5F">
      <w:pPr>
        <w:pStyle w:val="ListParagraph"/>
        <w:numPr>
          <w:ilvl w:val="0"/>
          <w:numId w:val="16"/>
        </w:numPr>
        <w:rPr>
          <w:rFonts w:ascii="Arial" w:hAnsi="Arial" w:cs="Arial"/>
          <w:color w:val="000000" w:themeColor="text1"/>
        </w:rPr>
      </w:pPr>
      <w:r w:rsidRPr="00C66A51">
        <w:rPr>
          <w:rFonts w:ascii="Arial" w:hAnsi="Arial" w:cs="Arial"/>
          <w:color w:val="000000" w:themeColor="text1"/>
        </w:rPr>
        <w:t>r</w:t>
      </w:r>
      <w:r w:rsidR="00DA7027">
        <w:rPr>
          <w:rFonts w:ascii="Arial" w:hAnsi="Arial" w:cs="Arial"/>
          <w:color w:val="000000" w:themeColor="text1"/>
        </w:rPr>
        <w:t>egulation</w:t>
      </w:r>
      <w:r w:rsidRPr="00C66A51">
        <w:rPr>
          <w:rFonts w:ascii="Arial" w:hAnsi="Arial" w:cs="Arial"/>
          <w:color w:val="000000" w:themeColor="text1"/>
        </w:rPr>
        <w:t xml:space="preserve"> 338 – supplier labelling hazardous chemicals. </w:t>
      </w:r>
    </w:p>
    <w:p w14:paraId="16A1F3B1" w14:textId="24A91274" w:rsidR="0082745B" w:rsidRPr="0082745B" w:rsidRDefault="0082745B" w:rsidP="001E7D5F">
      <w:pPr>
        <w:rPr>
          <w:rFonts w:ascii="Arial" w:hAnsi="Arial" w:cs="Arial"/>
          <w:b/>
          <w:bCs/>
          <w:color w:val="000000"/>
        </w:rPr>
      </w:pPr>
      <w:r>
        <w:rPr>
          <w:rFonts w:ascii="Arial" w:hAnsi="Arial" w:cs="Arial"/>
          <w:b/>
          <w:bCs/>
          <w:color w:val="000000"/>
        </w:rPr>
        <w:t xml:space="preserve">Section 244 Definitions </w:t>
      </w:r>
    </w:p>
    <w:p w14:paraId="7E69F1F9" w14:textId="7CA80E4F" w:rsidR="001E7D5F" w:rsidRDefault="00AC2163" w:rsidP="001E7D5F">
      <w:pPr>
        <w:rPr>
          <w:rFonts w:ascii="Arial" w:hAnsi="Arial" w:cs="Arial"/>
        </w:rPr>
      </w:pPr>
      <w:r w:rsidRPr="00AC2163">
        <w:rPr>
          <w:rFonts w:ascii="Arial" w:hAnsi="Arial" w:cs="Arial"/>
          <w:color w:val="000000"/>
        </w:rPr>
        <w:t xml:space="preserve">The new </w:t>
      </w:r>
      <w:r>
        <w:rPr>
          <w:rFonts w:ascii="Arial" w:hAnsi="Arial" w:cs="Arial"/>
          <w:color w:val="000000"/>
        </w:rPr>
        <w:t>s</w:t>
      </w:r>
      <w:r w:rsidR="00DA7027">
        <w:rPr>
          <w:rFonts w:ascii="Arial" w:hAnsi="Arial" w:cs="Arial"/>
          <w:color w:val="000000"/>
        </w:rPr>
        <w:t>ection</w:t>
      </w:r>
      <w:r>
        <w:rPr>
          <w:rFonts w:ascii="Arial" w:hAnsi="Arial" w:cs="Arial"/>
          <w:color w:val="000000"/>
        </w:rPr>
        <w:t xml:space="preserve"> 244 </w:t>
      </w:r>
      <w:r w:rsidR="001E7D5F" w:rsidRPr="00AC74BE">
        <w:rPr>
          <w:rFonts w:ascii="Arial" w:hAnsi="Arial" w:cs="Arial"/>
        </w:rPr>
        <w:t xml:space="preserve">defines key terms and concepts in </w:t>
      </w:r>
      <w:r w:rsidR="00B00DC4">
        <w:rPr>
          <w:rFonts w:ascii="Arial" w:hAnsi="Arial" w:cs="Arial"/>
        </w:rPr>
        <w:t>sections</w:t>
      </w:r>
      <w:r w:rsidR="00B00DC4" w:rsidRPr="00AC74BE">
        <w:rPr>
          <w:rFonts w:ascii="Arial" w:hAnsi="Arial" w:cs="Arial"/>
        </w:rPr>
        <w:t xml:space="preserve"> </w:t>
      </w:r>
      <w:r w:rsidR="001E7D5F" w:rsidRPr="00AC74BE">
        <w:rPr>
          <w:rFonts w:ascii="Arial" w:hAnsi="Arial" w:cs="Arial"/>
        </w:rPr>
        <w:t>244A-244D</w:t>
      </w:r>
      <w:r w:rsidR="001E7D5F">
        <w:rPr>
          <w:rFonts w:ascii="Arial" w:hAnsi="Arial" w:cs="Arial"/>
        </w:rPr>
        <w:t xml:space="preserve">. </w:t>
      </w:r>
    </w:p>
    <w:p w14:paraId="2D5DD78D" w14:textId="48ABE460" w:rsidR="00845171" w:rsidRPr="00464B61" w:rsidRDefault="003C228A" w:rsidP="00845171">
      <w:pPr>
        <w:ind w:left="720"/>
        <w:rPr>
          <w:rFonts w:ascii="Arial" w:hAnsi="Arial" w:cs="Arial"/>
          <w:color w:val="000000" w:themeColor="text1"/>
        </w:rPr>
      </w:pPr>
      <w:r w:rsidRPr="00464B61">
        <w:rPr>
          <w:rFonts w:ascii="Arial" w:hAnsi="Arial" w:cs="Arial"/>
          <w:b/>
          <w:bCs/>
          <w:i/>
          <w:iCs/>
          <w:color w:val="000000" w:themeColor="text1"/>
        </w:rPr>
        <w:t>Authorised person</w:t>
      </w:r>
      <w:r w:rsidRPr="00464B61">
        <w:rPr>
          <w:rFonts w:ascii="Arial" w:hAnsi="Arial" w:cs="Arial"/>
          <w:color w:val="000000" w:themeColor="text1"/>
        </w:rPr>
        <w:t xml:space="preserve"> for a body corporate is defined to mean an officer, employee or agent of the body corporate acting within the officer’s, employee’s or agent’s actual or apparent authority. </w:t>
      </w:r>
    </w:p>
    <w:p w14:paraId="1091B5AE" w14:textId="77777777" w:rsidR="00845171" w:rsidRPr="00464B61" w:rsidRDefault="00845171" w:rsidP="00845171">
      <w:pPr>
        <w:ind w:left="720"/>
        <w:rPr>
          <w:rFonts w:ascii="Arial" w:hAnsi="Arial" w:cs="Arial"/>
          <w:color w:val="000000" w:themeColor="text1"/>
        </w:rPr>
      </w:pPr>
      <w:r w:rsidRPr="00464B61">
        <w:rPr>
          <w:rFonts w:ascii="Arial" w:hAnsi="Arial" w:cs="Arial"/>
          <w:color w:val="000000" w:themeColor="text1"/>
        </w:rPr>
        <w:t xml:space="preserve">The definition of ‘authorised person’ incorporates the common law doctrine of actual and apparent authority. A </w:t>
      </w:r>
      <w:r w:rsidRPr="00464B61">
        <w:rPr>
          <w:rStyle w:val="cf01"/>
          <w:rFonts w:ascii="Arial" w:hAnsi="Arial" w:cs="Arial"/>
          <w:color w:val="000000" w:themeColor="text1"/>
          <w:sz w:val="22"/>
          <w:szCs w:val="22"/>
          <w:shd w:val="clear" w:color="auto" w:fill="auto"/>
        </w:rPr>
        <w:t>person’s actual or apparent authority may extend beyond the actual or apparent scope of his or her employment.</w:t>
      </w:r>
      <w:r w:rsidRPr="00464B61">
        <w:rPr>
          <w:rStyle w:val="cf01"/>
          <w:rFonts w:ascii="Arial" w:hAnsi="Arial" w:cs="Arial"/>
          <w:color w:val="000000" w:themeColor="text1"/>
          <w:sz w:val="22"/>
          <w:szCs w:val="22"/>
        </w:rPr>
        <w:t xml:space="preserve"> </w:t>
      </w:r>
    </w:p>
    <w:p w14:paraId="40F397CC" w14:textId="77777777" w:rsidR="00845171" w:rsidRPr="00464B61" w:rsidRDefault="00845171" w:rsidP="00845171">
      <w:pPr>
        <w:ind w:left="720"/>
        <w:rPr>
          <w:rFonts w:ascii="Arial" w:hAnsi="Arial" w:cs="Arial"/>
          <w:color w:val="000000" w:themeColor="text1"/>
        </w:rPr>
      </w:pPr>
      <w:r w:rsidRPr="00464B61">
        <w:rPr>
          <w:rFonts w:ascii="Arial" w:hAnsi="Arial" w:cs="Arial"/>
          <w:color w:val="000000" w:themeColor="text1"/>
        </w:rPr>
        <w:lastRenderedPageBreak/>
        <w:t>Actual authority derives from the relationship between the principal and the agent (</w:t>
      </w:r>
      <w:r w:rsidRPr="00464B61">
        <w:rPr>
          <w:rFonts w:ascii="Arial" w:hAnsi="Arial" w:cs="Arial"/>
          <w:i/>
          <w:iCs/>
          <w:color w:val="000000" w:themeColor="text1"/>
        </w:rPr>
        <w:t xml:space="preserve">Freeman and Lockyer v Buckhurst Park Properties (Mangal) Ltd </w:t>
      </w:r>
      <w:r w:rsidRPr="00464B61">
        <w:rPr>
          <w:rFonts w:ascii="Arial" w:hAnsi="Arial" w:cs="Arial"/>
          <w:color w:val="000000" w:themeColor="text1"/>
        </w:rPr>
        <w:t xml:space="preserve">[1964] 2 QB 480 [502]). Apparent authority is created by the relationship between the principal and the third party: </w:t>
      </w:r>
    </w:p>
    <w:p w14:paraId="2188FF15" w14:textId="4583A286" w:rsidR="00845171" w:rsidRPr="00464B61" w:rsidRDefault="00845171" w:rsidP="00845171">
      <w:pPr>
        <w:ind w:left="720"/>
        <w:rPr>
          <w:rFonts w:ascii="Arial" w:hAnsi="Arial" w:cs="Arial"/>
          <w:color w:val="000000" w:themeColor="text1"/>
        </w:rPr>
      </w:pPr>
      <w:r w:rsidRPr="00464B61">
        <w:rPr>
          <w:rFonts w:ascii="Arial" w:hAnsi="Arial" w:cs="Arial"/>
          <w:color w:val="000000" w:themeColor="text1"/>
        </w:rPr>
        <w:t>An ‘apparent’ or ‘ostensible’ authority, on the other hand, is a legal relationship between the principal and the contractor created by a representation, made by the principal to the contractor, intended to be and in fact acted upon by the contractor, that the agent has authority to enter on behalf of the principal into a contract of a kind within the scope of the ‘apparent’ authority, so as to render the principal liable to perform any obligations imposed upon him by such contract (</w:t>
      </w:r>
      <w:r w:rsidRPr="00464B61">
        <w:rPr>
          <w:rFonts w:ascii="Arial" w:hAnsi="Arial" w:cs="Arial"/>
          <w:i/>
          <w:iCs/>
          <w:color w:val="000000" w:themeColor="text1"/>
        </w:rPr>
        <w:t>Freeman and Lockyer v Buckhurst Park Properties (Mangal) Ltd</w:t>
      </w:r>
      <w:r w:rsidRPr="00464B61">
        <w:rPr>
          <w:rFonts w:ascii="Arial" w:hAnsi="Arial" w:cs="Arial"/>
          <w:color w:val="000000" w:themeColor="text1"/>
        </w:rPr>
        <w:t xml:space="preserve"> [1964] 2 QB 480 [502]). </w:t>
      </w:r>
    </w:p>
    <w:p w14:paraId="5B242793" w14:textId="77777777" w:rsidR="003C228A" w:rsidRPr="0044530C" w:rsidRDefault="003C228A" w:rsidP="003C228A">
      <w:pPr>
        <w:ind w:left="720"/>
        <w:rPr>
          <w:rFonts w:ascii="Arial" w:hAnsi="Arial" w:cs="Arial"/>
        </w:rPr>
      </w:pPr>
      <w:r w:rsidRPr="0044530C">
        <w:rPr>
          <w:rFonts w:ascii="Arial" w:hAnsi="Arial" w:cs="Arial"/>
          <w:b/>
          <w:bCs/>
          <w:i/>
          <w:iCs/>
        </w:rPr>
        <w:t>Board of directors</w:t>
      </w:r>
      <w:r w:rsidRPr="0044530C">
        <w:rPr>
          <w:rFonts w:ascii="Arial" w:hAnsi="Arial" w:cs="Arial"/>
        </w:rPr>
        <w:t xml:space="preserve"> is defined to mean the body, whatever it is called, exercising the </w:t>
      </w:r>
      <w:r w:rsidRPr="00236F34">
        <w:rPr>
          <w:rFonts w:ascii="Arial" w:hAnsi="Arial" w:cs="Arial"/>
          <w:color w:val="000000" w:themeColor="text1"/>
        </w:rPr>
        <w:t xml:space="preserve">executive authority </w:t>
      </w:r>
      <w:r w:rsidRPr="0044530C">
        <w:rPr>
          <w:rFonts w:ascii="Arial" w:hAnsi="Arial" w:cs="Arial"/>
        </w:rPr>
        <w:t xml:space="preserve">of the body corporate. </w:t>
      </w:r>
    </w:p>
    <w:p w14:paraId="150F11DD" w14:textId="08A3BBD6" w:rsidR="003C228A" w:rsidRPr="0044530C" w:rsidRDefault="003C228A" w:rsidP="003C228A">
      <w:pPr>
        <w:ind w:left="720"/>
        <w:rPr>
          <w:rFonts w:ascii="Arial" w:hAnsi="Arial" w:cs="Arial"/>
        </w:rPr>
      </w:pPr>
      <w:r w:rsidRPr="0044530C">
        <w:rPr>
          <w:rFonts w:ascii="Arial" w:hAnsi="Arial" w:cs="Arial"/>
          <w:b/>
          <w:bCs/>
          <w:i/>
          <w:iCs/>
        </w:rPr>
        <w:t xml:space="preserve">Commonwealth </w:t>
      </w:r>
      <w:r w:rsidR="00B00DC4">
        <w:rPr>
          <w:rFonts w:ascii="Arial" w:hAnsi="Arial" w:cs="Arial"/>
          <w:b/>
          <w:bCs/>
          <w:i/>
          <w:iCs/>
        </w:rPr>
        <w:t>C</w:t>
      </w:r>
      <w:r w:rsidRPr="0044530C">
        <w:rPr>
          <w:rFonts w:ascii="Arial" w:hAnsi="Arial" w:cs="Arial"/>
          <w:b/>
          <w:bCs/>
          <w:i/>
          <w:iCs/>
        </w:rPr>
        <w:t xml:space="preserve">riminal </w:t>
      </w:r>
      <w:r w:rsidR="00B00DC4">
        <w:rPr>
          <w:rFonts w:ascii="Arial" w:hAnsi="Arial" w:cs="Arial"/>
          <w:b/>
          <w:bCs/>
          <w:i/>
          <w:iCs/>
        </w:rPr>
        <w:t>C</w:t>
      </w:r>
      <w:r w:rsidRPr="0044530C">
        <w:rPr>
          <w:rFonts w:ascii="Arial" w:hAnsi="Arial" w:cs="Arial"/>
          <w:b/>
          <w:bCs/>
          <w:i/>
          <w:iCs/>
        </w:rPr>
        <w:t>ode</w:t>
      </w:r>
      <w:r w:rsidRPr="0044530C">
        <w:rPr>
          <w:rFonts w:ascii="Arial" w:hAnsi="Arial" w:cs="Arial"/>
        </w:rPr>
        <w:t xml:space="preserve"> means the Criminal Code set out in the Schedule to the </w:t>
      </w:r>
      <w:r w:rsidRPr="000C05D7">
        <w:rPr>
          <w:rFonts w:ascii="Arial" w:hAnsi="Arial" w:cs="Arial"/>
          <w:i/>
          <w:iCs/>
        </w:rPr>
        <w:t>Criminal Code Act 1995</w:t>
      </w:r>
      <w:r w:rsidRPr="0044530C">
        <w:rPr>
          <w:rFonts w:ascii="Arial" w:hAnsi="Arial" w:cs="Arial"/>
        </w:rPr>
        <w:t xml:space="preserve"> of the Commonwealth.</w:t>
      </w:r>
    </w:p>
    <w:p w14:paraId="18FB6515" w14:textId="4176C6B3" w:rsidR="00286380" w:rsidRDefault="003C228A" w:rsidP="00286380">
      <w:pPr>
        <w:ind w:left="720"/>
        <w:rPr>
          <w:rFonts w:ascii="Arial" w:hAnsi="Arial" w:cs="Arial"/>
        </w:rPr>
      </w:pPr>
      <w:r w:rsidRPr="0044530C">
        <w:rPr>
          <w:rFonts w:ascii="Arial" w:hAnsi="Arial" w:cs="Arial"/>
          <w:b/>
          <w:bCs/>
          <w:i/>
          <w:iCs/>
        </w:rPr>
        <w:t>Physical element</w:t>
      </w:r>
      <w:r w:rsidRPr="0044530C">
        <w:rPr>
          <w:rFonts w:ascii="Arial" w:hAnsi="Arial" w:cs="Arial"/>
        </w:rPr>
        <w:t xml:space="preserve"> is defined by reference to the definition in Division 4 </w:t>
      </w:r>
      <w:r w:rsidRPr="00DC4FD8">
        <w:rPr>
          <w:rFonts w:ascii="Arial" w:hAnsi="Arial" w:cs="Arial"/>
        </w:rPr>
        <w:t xml:space="preserve">Commonwealth Criminal Code. </w:t>
      </w:r>
    </w:p>
    <w:p w14:paraId="50CA14DE" w14:textId="77777777" w:rsidR="00904FE3" w:rsidRDefault="00904FE3" w:rsidP="001E7D5F">
      <w:pPr>
        <w:rPr>
          <w:rFonts w:ascii="Arial" w:hAnsi="Arial" w:cs="Arial"/>
          <w:b/>
          <w:bCs/>
        </w:rPr>
      </w:pPr>
    </w:p>
    <w:p w14:paraId="29DC3AD6" w14:textId="5E07035C" w:rsidR="003C228A" w:rsidRDefault="0082745B" w:rsidP="001E7D5F">
      <w:pPr>
        <w:rPr>
          <w:rFonts w:ascii="Arial" w:hAnsi="Arial" w:cs="Arial"/>
          <w:b/>
          <w:bCs/>
        </w:rPr>
      </w:pPr>
      <w:r>
        <w:rPr>
          <w:rFonts w:ascii="Arial" w:hAnsi="Arial" w:cs="Arial"/>
          <w:b/>
          <w:bCs/>
        </w:rPr>
        <w:t xml:space="preserve">Section 244A Physical elements </w:t>
      </w:r>
    </w:p>
    <w:p w14:paraId="350EDDB0" w14:textId="2E25B29C" w:rsidR="00A02B2A" w:rsidRDefault="00D76512" w:rsidP="00A02B2A">
      <w:pPr>
        <w:rPr>
          <w:rFonts w:ascii="Arial" w:hAnsi="Arial" w:cs="Arial"/>
        </w:rPr>
      </w:pPr>
      <w:r>
        <w:rPr>
          <w:rFonts w:ascii="Arial" w:hAnsi="Arial" w:cs="Arial"/>
        </w:rPr>
        <w:t xml:space="preserve">The new </w:t>
      </w:r>
      <w:r w:rsidR="007E2D50">
        <w:rPr>
          <w:rFonts w:ascii="Arial" w:hAnsi="Arial" w:cs="Arial"/>
        </w:rPr>
        <w:t>s</w:t>
      </w:r>
      <w:r w:rsidR="00A02B2A">
        <w:rPr>
          <w:rFonts w:ascii="Arial" w:hAnsi="Arial" w:cs="Arial"/>
        </w:rPr>
        <w:t>ection</w:t>
      </w:r>
      <w:r w:rsidR="007E2D50">
        <w:rPr>
          <w:rFonts w:ascii="Arial" w:hAnsi="Arial" w:cs="Arial"/>
        </w:rPr>
        <w:t xml:space="preserve"> 244A </w:t>
      </w:r>
      <w:r w:rsidR="00A02B2A">
        <w:rPr>
          <w:rFonts w:ascii="Arial" w:hAnsi="Arial" w:cs="Arial"/>
        </w:rPr>
        <w:t xml:space="preserve">explains how the physical </w:t>
      </w:r>
      <w:r w:rsidR="00A02B2A" w:rsidRPr="00AC74BE">
        <w:rPr>
          <w:rFonts w:ascii="Arial" w:hAnsi="Arial" w:cs="Arial"/>
        </w:rPr>
        <w:t>elements of an offence are attributed to a body corporate</w:t>
      </w:r>
      <w:r w:rsidR="008A0B3C">
        <w:rPr>
          <w:rFonts w:ascii="Arial" w:hAnsi="Arial" w:cs="Arial"/>
        </w:rPr>
        <w:t xml:space="preserve">. </w:t>
      </w:r>
      <w:r w:rsidR="00363701">
        <w:rPr>
          <w:rFonts w:ascii="Arial" w:hAnsi="Arial" w:cs="Arial"/>
        </w:rPr>
        <w:t xml:space="preserve">Section 244A </w:t>
      </w:r>
      <w:r w:rsidR="00AD2531">
        <w:rPr>
          <w:rFonts w:ascii="Arial" w:hAnsi="Arial" w:cs="Arial"/>
        </w:rPr>
        <w:t xml:space="preserve">allows for the physical elements of an offence to be taken to have been committed by a body corporate if the conduct is committed by: </w:t>
      </w:r>
    </w:p>
    <w:p w14:paraId="7741CA22" w14:textId="6A1EAB31" w:rsidR="00AD2531" w:rsidRDefault="00881BF7" w:rsidP="00AD2531">
      <w:pPr>
        <w:pStyle w:val="ListParagraph"/>
        <w:numPr>
          <w:ilvl w:val="0"/>
          <w:numId w:val="7"/>
        </w:numPr>
        <w:rPr>
          <w:rFonts w:ascii="Arial" w:hAnsi="Arial" w:cs="Arial"/>
        </w:rPr>
      </w:pPr>
      <w:r>
        <w:rPr>
          <w:rFonts w:ascii="Arial" w:hAnsi="Arial" w:cs="Arial"/>
        </w:rPr>
        <w:t xml:space="preserve">the body corporate’s board of directors; or </w:t>
      </w:r>
    </w:p>
    <w:p w14:paraId="359A6B51" w14:textId="08213B86" w:rsidR="00881BF7" w:rsidRDefault="00881BF7" w:rsidP="00AD2531">
      <w:pPr>
        <w:pStyle w:val="ListParagraph"/>
        <w:numPr>
          <w:ilvl w:val="0"/>
          <w:numId w:val="7"/>
        </w:numPr>
        <w:rPr>
          <w:rFonts w:ascii="Arial" w:hAnsi="Arial" w:cs="Arial"/>
        </w:rPr>
      </w:pPr>
      <w:r>
        <w:rPr>
          <w:rFonts w:ascii="Arial" w:hAnsi="Arial" w:cs="Arial"/>
        </w:rPr>
        <w:t>1 or more authorised persons; or</w:t>
      </w:r>
    </w:p>
    <w:p w14:paraId="7DF54071" w14:textId="7D286904" w:rsidR="00B87B9A" w:rsidRDefault="00B87B9A" w:rsidP="00AD2531">
      <w:pPr>
        <w:pStyle w:val="ListParagraph"/>
        <w:numPr>
          <w:ilvl w:val="0"/>
          <w:numId w:val="7"/>
        </w:numPr>
        <w:rPr>
          <w:rFonts w:ascii="Arial" w:hAnsi="Arial" w:cs="Arial"/>
        </w:rPr>
      </w:pPr>
      <w:r>
        <w:rPr>
          <w:rFonts w:ascii="Arial" w:hAnsi="Arial" w:cs="Arial"/>
        </w:rPr>
        <w:t>1 or more persons acting at the direction of o</w:t>
      </w:r>
      <w:r w:rsidR="005227AC">
        <w:rPr>
          <w:rFonts w:ascii="Arial" w:hAnsi="Arial" w:cs="Arial"/>
        </w:rPr>
        <w:t>r</w:t>
      </w:r>
      <w:r>
        <w:rPr>
          <w:rFonts w:ascii="Arial" w:hAnsi="Arial" w:cs="Arial"/>
        </w:rPr>
        <w:t xml:space="preserve"> with the express or implied agreement or consent of: </w:t>
      </w:r>
    </w:p>
    <w:p w14:paraId="3C54BC85" w14:textId="1B666E62" w:rsidR="00B87B9A" w:rsidRDefault="00C22902" w:rsidP="00B87B9A">
      <w:pPr>
        <w:pStyle w:val="ListParagraph"/>
        <w:numPr>
          <w:ilvl w:val="1"/>
          <w:numId w:val="7"/>
        </w:numPr>
        <w:rPr>
          <w:rFonts w:ascii="Arial" w:hAnsi="Arial" w:cs="Arial"/>
        </w:rPr>
      </w:pPr>
      <w:r>
        <w:rPr>
          <w:rFonts w:ascii="Arial" w:hAnsi="Arial" w:cs="Arial"/>
        </w:rPr>
        <w:t>a</w:t>
      </w:r>
      <w:r w:rsidR="00B87B9A">
        <w:rPr>
          <w:rFonts w:ascii="Arial" w:hAnsi="Arial" w:cs="Arial"/>
        </w:rPr>
        <w:t>n authorised person</w:t>
      </w:r>
      <w:r>
        <w:rPr>
          <w:rFonts w:ascii="Arial" w:hAnsi="Arial" w:cs="Arial"/>
        </w:rPr>
        <w:t xml:space="preserve">, or </w:t>
      </w:r>
    </w:p>
    <w:p w14:paraId="66871739" w14:textId="2B825D2F" w:rsidR="0082745B" w:rsidRPr="00D21CF7" w:rsidRDefault="00C22902" w:rsidP="001E7D5F">
      <w:pPr>
        <w:pStyle w:val="ListParagraph"/>
        <w:numPr>
          <w:ilvl w:val="1"/>
          <w:numId w:val="7"/>
        </w:numPr>
        <w:rPr>
          <w:rFonts w:ascii="Arial" w:hAnsi="Arial" w:cs="Arial"/>
        </w:rPr>
      </w:pPr>
      <w:r>
        <w:rPr>
          <w:rFonts w:ascii="Arial" w:hAnsi="Arial" w:cs="Arial"/>
        </w:rPr>
        <w:t>the body corporate’s board of directors.</w:t>
      </w:r>
    </w:p>
    <w:p w14:paraId="0585DB9E" w14:textId="7DE816DD" w:rsidR="0082745B" w:rsidRDefault="0082745B" w:rsidP="001E7D5F">
      <w:pPr>
        <w:rPr>
          <w:rFonts w:ascii="Arial" w:hAnsi="Arial" w:cs="Arial"/>
          <w:b/>
          <w:bCs/>
        </w:rPr>
      </w:pPr>
      <w:r>
        <w:rPr>
          <w:rFonts w:ascii="Arial" w:hAnsi="Arial" w:cs="Arial"/>
          <w:b/>
          <w:bCs/>
        </w:rPr>
        <w:t>Section 244B Fault element</w:t>
      </w:r>
      <w:r w:rsidR="006460F3">
        <w:rPr>
          <w:rFonts w:ascii="Arial" w:hAnsi="Arial" w:cs="Arial"/>
          <w:b/>
          <w:bCs/>
        </w:rPr>
        <w:t xml:space="preserve"> </w:t>
      </w:r>
      <w:r w:rsidR="00570777">
        <w:rPr>
          <w:rFonts w:ascii="Arial" w:hAnsi="Arial" w:cs="Arial"/>
          <w:b/>
          <w:bCs/>
        </w:rPr>
        <w:t>–</w:t>
      </w:r>
      <w:r w:rsidR="006460F3">
        <w:rPr>
          <w:rFonts w:ascii="Arial" w:hAnsi="Arial" w:cs="Arial"/>
          <w:b/>
          <w:bCs/>
        </w:rPr>
        <w:t xml:space="preserve"> </w:t>
      </w:r>
      <w:r w:rsidR="00570777">
        <w:rPr>
          <w:rFonts w:ascii="Arial" w:hAnsi="Arial" w:cs="Arial"/>
          <w:b/>
          <w:bCs/>
        </w:rPr>
        <w:t>state of mind</w:t>
      </w:r>
    </w:p>
    <w:p w14:paraId="16BDAC8A" w14:textId="33F777E6" w:rsidR="004E4B47" w:rsidRDefault="00A02B2A" w:rsidP="004E4B47">
      <w:pPr>
        <w:rPr>
          <w:rFonts w:ascii="Arial" w:hAnsi="Arial" w:cs="Arial"/>
        </w:rPr>
      </w:pPr>
      <w:r>
        <w:rPr>
          <w:rFonts w:ascii="Arial" w:hAnsi="Arial" w:cs="Arial"/>
        </w:rPr>
        <w:t xml:space="preserve">The new section 244B </w:t>
      </w:r>
      <w:r w:rsidR="004E4B47">
        <w:rPr>
          <w:rFonts w:ascii="Arial" w:hAnsi="Arial" w:cs="Arial"/>
        </w:rPr>
        <w:t>explains how the fault elements of an offence are attributed to a body corporate</w:t>
      </w:r>
      <w:r w:rsidR="001E7138">
        <w:rPr>
          <w:rFonts w:ascii="Arial" w:hAnsi="Arial" w:cs="Arial"/>
        </w:rPr>
        <w:t>. Where it is necessary to establish a state of mind</w:t>
      </w:r>
      <w:r w:rsidR="00177DC4">
        <w:rPr>
          <w:rFonts w:ascii="Arial" w:hAnsi="Arial" w:cs="Arial"/>
        </w:rPr>
        <w:t xml:space="preserve"> (fault element)</w:t>
      </w:r>
      <w:r w:rsidR="001E7138">
        <w:rPr>
          <w:rFonts w:ascii="Arial" w:hAnsi="Arial" w:cs="Arial"/>
        </w:rPr>
        <w:t xml:space="preserve"> of a body corporate in relation to the commission of the physical element of an offence</w:t>
      </w:r>
      <w:r w:rsidR="00E97838">
        <w:rPr>
          <w:rFonts w:ascii="Arial" w:hAnsi="Arial" w:cs="Arial"/>
        </w:rPr>
        <w:t xml:space="preserve">, </w:t>
      </w:r>
      <w:r w:rsidR="00B00DC4">
        <w:rPr>
          <w:rFonts w:ascii="Arial" w:hAnsi="Arial" w:cs="Arial"/>
        </w:rPr>
        <w:t>sub</w:t>
      </w:r>
      <w:r w:rsidR="00E97838">
        <w:rPr>
          <w:rFonts w:ascii="Arial" w:hAnsi="Arial" w:cs="Arial"/>
        </w:rPr>
        <w:t>section 244B</w:t>
      </w:r>
      <w:r w:rsidR="00B95659">
        <w:rPr>
          <w:rFonts w:ascii="Arial" w:hAnsi="Arial" w:cs="Arial"/>
        </w:rPr>
        <w:t>(1)</w:t>
      </w:r>
      <w:r w:rsidR="00E97838">
        <w:rPr>
          <w:rFonts w:ascii="Arial" w:hAnsi="Arial" w:cs="Arial"/>
        </w:rPr>
        <w:t xml:space="preserve"> </w:t>
      </w:r>
      <w:r w:rsidR="00802AFF">
        <w:rPr>
          <w:rFonts w:ascii="Arial" w:hAnsi="Arial" w:cs="Arial"/>
        </w:rPr>
        <w:t xml:space="preserve">provides that </w:t>
      </w:r>
      <w:r w:rsidR="00A53CF4">
        <w:rPr>
          <w:rFonts w:ascii="Arial" w:hAnsi="Arial" w:cs="Arial"/>
        </w:rPr>
        <w:t xml:space="preserve">it is sufficient to show: </w:t>
      </w:r>
    </w:p>
    <w:p w14:paraId="5BC9F67E" w14:textId="5F8473E1" w:rsidR="00A53CF4" w:rsidRDefault="00A53CF4" w:rsidP="00A53CF4">
      <w:pPr>
        <w:pStyle w:val="ListParagraph"/>
        <w:numPr>
          <w:ilvl w:val="0"/>
          <w:numId w:val="8"/>
        </w:numPr>
        <w:rPr>
          <w:rFonts w:ascii="Arial" w:hAnsi="Arial" w:cs="Arial"/>
        </w:rPr>
      </w:pPr>
      <w:r>
        <w:rPr>
          <w:rFonts w:ascii="Arial" w:hAnsi="Arial" w:cs="Arial"/>
        </w:rPr>
        <w:t xml:space="preserve">the body corporate’s board of directors: </w:t>
      </w:r>
    </w:p>
    <w:p w14:paraId="775E72F3" w14:textId="3E9CECA4" w:rsidR="00A53CF4" w:rsidRDefault="00A53CF4" w:rsidP="00A53CF4">
      <w:pPr>
        <w:pStyle w:val="ListParagraph"/>
        <w:numPr>
          <w:ilvl w:val="1"/>
          <w:numId w:val="8"/>
        </w:numPr>
        <w:rPr>
          <w:rFonts w:ascii="Arial" w:hAnsi="Arial" w:cs="Arial"/>
        </w:rPr>
      </w:pPr>
      <w:r>
        <w:rPr>
          <w:rFonts w:ascii="Arial" w:hAnsi="Arial" w:cs="Arial"/>
        </w:rPr>
        <w:t xml:space="preserve">intentionally, </w:t>
      </w:r>
      <w:r w:rsidR="001E0B71">
        <w:rPr>
          <w:rFonts w:ascii="Arial" w:hAnsi="Arial" w:cs="Arial"/>
        </w:rPr>
        <w:t>knowingly,</w:t>
      </w:r>
      <w:r>
        <w:rPr>
          <w:rFonts w:ascii="Arial" w:hAnsi="Arial" w:cs="Arial"/>
        </w:rPr>
        <w:t xml:space="preserve"> or recklessly carried out the relevant conduct; or </w:t>
      </w:r>
    </w:p>
    <w:p w14:paraId="4497104F" w14:textId="68759634" w:rsidR="00A53CF4" w:rsidRDefault="001E0B71" w:rsidP="00A53CF4">
      <w:pPr>
        <w:pStyle w:val="ListParagraph"/>
        <w:numPr>
          <w:ilvl w:val="1"/>
          <w:numId w:val="8"/>
        </w:numPr>
        <w:rPr>
          <w:rFonts w:ascii="Arial" w:hAnsi="Arial" w:cs="Arial"/>
        </w:rPr>
      </w:pPr>
      <w:r>
        <w:rPr>
          <w:rFonts w:ascii="Arial" w:hAnsi="Arial" w:cs="Arial"/>
        </w:rPr>
        <w:t>expressly, tacitly or impliedly authorised or permitted the carrying out of the conduct constituting the physical element of the offence</w:t>
      </w:r>
      <w:r w:rsidR="00B13BD6">
        <w:rPr>
          <w:rFonts w:ascii="Arial" w:hAnsi="Arial" w:cs="Arial"/>
        </w:rPr>
        <w:t xml:space="preserve">; </w:t>
      </w:r>
      <w:r w:rsidR="00DE0741">
        <w:rPr>
          <w:rFonts w:ascii="Arial" w:hAnsi="Arial" w:cs="Arial"/>
        </w:rPr>
        <w:t xml:space="preserve">or </w:t>
      </w:r>
    </w:p>
    <w:p w14:paraId="02DD99B6" w14:textId="537ACFCA" w:rsidR="00BC5C92" w:rsidRDefault="00B13BD6" w:rsidP="00B13BD6">
      <w:pPr>
        <w:pStyle w:val="ListParagraph"/>
        <w:numPr>
          <w:ilvl w:val="0"/>
          <w:numId w:val="8"/>
        </w:numPr>
        <w:rPr>
          <w:rFonts w:ascii="Arial" w:hAnsi="Arial" w:cs="Arial"/>
        </w:rPr>
      </w:pPr>
      <w:r>
        <w:rPr>
          <w:rFonts w:ascii="Arial" w:hAnsi="Arial" w:cs="Arial"/>
        </w:rPr>
        <w:t>an authorised person</w:t>
      </w:r>
      <w:r w:rsidR="00EE2DC0">
        <w:rPr>
          <w:rFonts w:ascii="Arial" w:hAnsi="Arial" w:cs="Arial"/>
        </w:rPr>
        <w:t xml:space="preserve">: </w:t>
      </w:r>
    </w:p>
    <w:p w14:paraId="6DB6A5EE" w14:textId="3D5BBF17" w:rsidR="00B13BD6" w:rsidRPr="000C05D7" w:rsidRDefault="00B13BD6" w:rsidP="000C05D7">
      <w:pPr>
        <w:pStyle w:val="ListParagraph"/>
        <w:numPr>
          <w:ilvl w:val="1"/>
          <w:numId w:val="8"/>
        </w:numPr>
        <w:rPr>
          <w:rFonts w:ascii="Arial" w:hAnsi="Arial" w:cs="Arial"/>
        </w:rPr>
      </w:pPr>
      <w:r>
        <w:rPr>
          <w:rFonts w:ascii="Arial" w:hAnsi="Arial" w:cs="Arial"/>
        </w:rPr>
        <w:t xml:space="preserve"> intentionally, knowingly or recklessly engaged in the relevant conduct; or </w:t>
      </w:r>
      <w:r w:rsidRPr="000C05D7">
        <w:rPr>
          <w:rFonts w:ascii="Arial" w:hAnsi="Arial" w:cs="Arial"/>
        </w:rPr>
        <w:t xml:space="preserve">expressly, tacitly or impliedly authorised or permitted the </w:t>
      </w:r>
      <w:r w:rsidR="001F02C1" w:rsidRPr="000C05D7">
        <w:rPr>
          <w:rFonts w:ascii="Arial" w:hAnsi="Arial" w:cs="Arial"/>
        </w:rPr>
        <w:t xml:space="preserve">carrying out of the conduct constituting the physical element of the offence; or </w:t>
      </w:r>
    </w:p>
    <w:p w14:paraId="7C040BBF" w14:textId="79605E94" w:rsidR="001F02C1" w:rsidRDefault="00DA5C4A" w:rsidP="00B13BD6">
      <w:pPr>
        <w:pStyle w:val="ListParagraph"/>
        <w:numPr>
          <w:ilvl w:val="0"/>
          <w:numId w:val="8"/>
        </w:numPr>
        <w:rPr>
          <w:rFonts w:ascii="Arial" w:hAnsi="Arial" w:cs="Arial"/>
        </w:rPr>
      </w:pPr>
      <w:r>
        <w:rPr>
          <w:rFonts w:ascii="Arial" w:hAnsi="Arial" w:cs="Arial"/>
        </w:rPr>
        <w:t xml:space="preserve">a corporate culture existed within the body corporate that directed, encouraged, tolerated or led to the carrying out of the </w:t>
      </w:r>
      <w:r w:rsidR="00B13768">
        <w:rPr>
          <w:rFonts w:ascii="Arial" w:hAnsi="Arial" w:cs="Arial"/>
        </w:rPr>
        <w:t>conduct</w:t>
      </w:r>
      <w:r>
        <w:rPr>
          <w:rFonts w:ascii="Arial" w:hAnsi="Arial" w:cs="Arial"/>
        </w:rPr>
        <w:t xml:space="preserve"> </w:t>
      </w:r>
      <w:r w:rsidR="00B13768">
        <w:rPr>
          <w:rFonts w:ascii="Arial" w:hAnsi="Arial" w:cs="Arial"/>
        </w:rPr>
        <w:t xml:space="preserve">constituting the physical element of the offence. </w:t>
      </w:r>
    </w:p>
    <w:p w14:paraId="267DC93D" w14:textId="45FD7B35" w:rsidR="008F103F" w:rsidRDefault="008F7D7A" w:rsidP="00E57B78">
      <w:pPr>
        <w:rPr>
          <w:rFonts w:ascii="Arial" w:hAnsi="Arial" w:cs="Arial"/>
        </w:rPr>
      </w:pPr>
      <w:r>
        <w:rPr>
          <w:rFonts w:ascii="Arial" w:hAnsi="Arial" w:cs="Arial"/>
        </w:rPr>
        <w:lastRenderedPageBreak/>
        <w:t>S</w:t>
      </w:r>
      <w:r w:rsidR="0069690C">
        <w:rPr>
          <w:rFonts w:ascii="Arial" w:hAnsi="Arial" w:cs="Arial"/>
        </w:rPr>
        <w:t>ubs</w:t>
      </w:r>
      <w:r>
        <w:rPr>
          <w:rFonts w:ascii="Arial" w:hAnsi="Arial" w:cs="Arial"/>
        </w:rPr>
        <w:t xml:space="preserve">ection 244B(3) sets out factors that are relevant </w:t>
      </w:r>
      <w:r w:rsidR="008C0570">
        <w:rPr>
          <w:rFonts w:ascii="Arial" w:hAnsi="Arial" w:cs="Arial"/>
        </w:rPr>
        <w:t xml:space="preserve">to determining whether </w:t>
      </w:r>
      <w:r w:rsidR="0083393B">
        <w:rPr>
          <w:rFonts w:ascii="Arial" w:hAnsi="Arial" w:cs="Arial"/>
        </w:rPr>
        <w:t xml:space="preserve">a corporate culture existed for the purposes of </w:t>
      </w:r>
      <w:r w:rsidR="00B00DC4">
        <w:rPr>
          <w:rFonts w:ascii="Arial" w:hAnsi="Arial" w:cs="Arial"/>
        </w:rPr>
        <w:t>paragraph</w:t>
      </w:r>
      <w:r w:rsidR="0083393B">
        <w:rPr>
          <w:rFonts w:ascii="Arial" w:hAnsi="Arial" w:cs="Arial"/>
        </w:rPr>
        <w:t xml:space="preserve"> 244</w:t>
      </w:r>
      <w:r w:rsidR="009A4977">
        <w:rPr>
          <w:rFonts w:ascii="Arial" w:hAnsi="Arial" w:cs="Arial"/>
        </w:rPr>
        <w:t>B(1)(</w:t>
      </w:r>
      <w:r w:rsidR="003D53C7">
        <w:rPr>
          <w:rFonts w:ascii="Arial" w:hAnsi="Arial" w:cs="Arial"/>
        </w:rPr>
        <w:t>c</w:t>
      </w:r>
      <w:r w:rsidR="009A4977">
        <w:rPr>
          <w:rFonts w:ascii="Arial" w:hAnsi="Arial" w:cs="Arial"/>
        </w:rPr>
        <w:t xml:space="preserve">). </w:t>
      </w:r>
    </w:p>
    <w:p w14:paraId="01195E9D" w14:textId="708F486D" w:rsidR="00E57B78" w:rsidRPr="00E57B78" w:rsidRDefault="00D21CF7" w:rsidP="00E57B78">
      <w:pPr>
        <w:rPr>
          <w:rFonts w:ascii="Arial" w:hAnsi="Arial" w:cs="Arial"/>
        </w:rPr>
      </w:pPr>
      <w:r>
        <w:rPr>
          <w:rFonts w:ascii="Arial" w:hAnsi="Arial" w:cs="Arial"/>
        </w:rPr>
        <w:t>S</w:t>
      </w:r>
      <w:r w:rsidR="0069690C">
        <w:rPr>
          <w:rFonts w:ascii="Arial" w:hAnsi="Arial" w:cs="Arial"/>
        </w:rPr>
        <w:t>ubs</w:t>
      </w:r>
      <w:r>
        <w:rPr>
          <w:rFonts w:ascii="Arial" w:hAnsi="Arial" w:cs="Arial"/>
        </w:rPr>
        <w:t>ection 244B</w:t>
      </w:r>
      <w:r w:rsidR="00B95659">
        <w:rPr>
          <w:rFonts w:ascii="Arial" w:hAnsi="Arial" w:cs="Arial"/>
        </w:rPr>
        <w:t xml:space="preserve">(2) </w:t>
      </w:r>
      <w:r w:rsidR="003250D8">
        <w:rPr>
          <w:rFonts w:ascii="Arial" w:hAnsi="Arial" w:cs="Arial"/>
        </w:rPr>
        <w:t xml:space="preserve">establishes that </w:t>
      </w:r>
      <w:r w:rsidR="005D3D13">
        <w:rPr>
          <w:rFonts w:ascii="Arial" w:hAnsi="Arial" w:cs="Arial"/>
        </w:rPr>
        <w:t xml:space="preserve">paragraphs </w:t>
      </w:r>
      <w:r w:rsidR="003250D8">
        <w:rPr>
          <w:rFonts w:ascii="Arial" w:hAnsi="Arial" w:cs="Arial"/>
        </w:rPr>
        <w:t xml:space="preserve">(1)(b) and (c) do not apply </w:t>
      </w:r>
      <w:r w:rsidR="0073526D">
        <w:rPr>
          <w:rFonts w:ascii="Arial" w:hAnsi="Arial" w:cs="Arial"/>
        </w:rPr>
        <w:t xml:space="preserve">if the body corporate proves it took reasonable precautions to prevent the conduct, authorisation or permission of the conduct. </w:t>
      </w:r>
    </w:p>
    <w:p w14:paraId="1BED925A" w14:textId="7E3D22A8" w:rsidR="005B460E" w:rsidRPr="005B460E" w:rsidRDefault="009D7E64" w:rsidP="005B460E">
      <w:pPr>
        <w:rPr>
          <w:rFonts w:ascii="Arial" w:hAnsi="Arial" w:cs="Arial"/>
        </w:rPr>
      </w:pPr>
      <w:r>
        <w:rPr>
          <w:rFonts w:ascii="Arial" w:hAnsi="Arial" w:cs="Arial"/>
        </w:rPr>
        <w:t>‘</w:t>
      </w:r>
      <w:r w:rsidRPr="00F7473E">
        <w:rPr>
          <w:rFonts w:ascii="Arial" w:hAnsi="Arial" w:cs="Arial"/>
        </w:rPr>
        <w:t>Corporate culture’ and ‘corporate officer’ are defined in s</w:t>
      </w:r>
      <w:r w:rsidR="0069690C" w:rsidRPr="00F7473E">
        <w:rPr>
          <w:rFonts w:ascii="Arial" w:hAnsi="Arial" w:cs="Arial"/>
        </w:rPr>
        <w:t>ubs</w:t>
      </w:r>
      <w:r w:rsidR="00893E27" w:rsidRPr="00F7473E">
        <w:rPr>
          <w:rFonts w:ascii="Arial" w:hAnsi="Arial" w:cs="Arial"/>
        </w:rPr>
        <w:t>ection 244B(</w:t>
      </w:r>
      <w:r w:rsidR="00952CFB" w:rsidRPr="00F7473E">
        <w:rPr>
          <w:rFonts w:ascii="Arial" w:hAnsi="Arial" w:cs="Arial"/>
        </w:rPr>
        <w:t>4)</w:t>
      </w:r>
      <w:r w:rsidR="005B460E" w:rsidRPr="00F7473E">
        <w:rPr>
          <w:rFonts w:ascii="Arial" w:hAnsi="Arial" w:cs="Arial"/>
        </w:rPr>
        <w:t xml:space="preserve">. </w:t>
      </w:r>
      <w:r w:rsidR="003076E0" w:rsidRPr="00F7473E">
        <w:rPr>
          <w:rFonts w:ascii="Arial" w:hAnsi="Arial" w:cs="Arial"/>
          <w:i/>
          <w:iCs/>
        </w:rPr>
        <w:t xml:space="preserve">Corporate culture </w:t>
      </w:r>
      <w:r w:rsidR="005B460E" w:rsidRPr="00F7473E">
        <w:rPr>
          <w:rFonts w:ascii="Arial" w:hAnsi="Arial" w:cs="Arial"/>
        </w:rPr>
        <w:t xml:space="preserve">means 1 or more attitudes, policies, rules, courses of conduct or practices existing within the body corporate generally or in the part of the body corporate in which the relevant activity takes place. </w:t>
      </w:r>
      <w:r w:rsidR="005B460E" w:rsidRPr="00D24BAB">
        <w:rPr>
          <w:rFonts w:ascii="Arial" w:hAnsi="Arial" w:cs="Arial"/>
          <w:i/>
          <w:iCs/>
        </w:rPr>
        <w:t>Corporate officer</w:t>
      </w:r>
      <w:r w:rsidR="005B460E" w:rsidRPr="00F7473E">
        <w:rPr>
          <w:rFonts w:ascii="Arial" w:hAnsi="Arial" w:cs="Arial"/>
        </w:rPr>
        <w:t xml:space="preserve"> is </w:t>
      </w:r>
      <w:r w:rsidR="00AB20A6" w:rsidRPr="00F7473E">
        <w:rPr>
          <w:rFonts w:ascii="Arial" w:hAnsi="Arial" w:cs="Arial"/>
        </w:rPr>
        <w:t xml:space="preserve">defined by reference to section 9 of the </w:t>
      </w:r>
      <w:r w:rsidR="00AB20A6" w:rsidRPr="00F7473E">
        <w:rPr>
          <w:rFonts w:ascii="Arial" w:hAnsi="Arial" w:cs="Arial"/>
          <w:i/>
          <w:iCs/>
        </w:rPr>
        <w:t>Corporations Act 2001</w:t>
      </w:r>
      <w:r w:rsidR="00F7473E" w:rsidRPr="00F7473E">
        <w:rPr>
          <w:rFonts w:ascii="Arial" w:hAnsi="Arial" w:cs="Arial"/>
          <w:i/>
          <w:iCs/>
        </w:rPr>
        <w:t xml:space="preserve"> </w:t>
      </w:r>
      <w:r w:rsidR="00F7473E" w:rsidRPr="00F7473E">
        <w:rPr>
          <w:rFonts w:ascii="Arial" w:hAnsi="Arial" w:cs="Arial"/>
        </w:rPr>
        <w:t>of the Commonwealth other than a partner in a partnership</w:t>
      </w:r>
      <w:r w:rsidR="00AB20A6" w:rsidRPr="00F7473E">
        <w:rPr>
          <w:rFonts w:ascii="Arial" w:hAnsi="Arial" w:cs="Arial"/>
        </w:rPr>
        <w:t>.</w:t>
      </w:r>
      <w:r w:rsidR="00AB20A6">
        <w:t xml:space="preserve"> </w:t>
      </w:r>
    </w:p>
    <w:p w14:paraId="54AD6042" w14:textId="0C047953" w:rsidR="008B0D69" w:rsidRDefault="008B0D69" w:rsidP="001E7D5F">
      <w:pPr>
        <w:rPr>
          <w:rFonts w:ascii="Arial" w:hAnsi="Arial" w:cs="Arial"/>
          <w:b/>
          <w:bCs/>
        </w:rPr>
      </w:pPr>
      <w:r>
        <w:rPr>
          <w:rFonts w:ascii="Arial" w:hAnsi="Arial" w:cs="Arial"/>
          <w:b/>
          <w:bCs/>
        </w:rPr>
        <w:t xml:space="preserve">Section 244C </w:t>
      </w:r>
      <w:r w:rsidR="005906F0">
        <w:rPr>
          <w:rFonts w:ascii="Arial" w:hAnsi="Arial" w:cs="Arial"/>
          <w:b/>
          <w:bCs/>
        </w:rPr>
        <w:t xml:space="preserve">Mistake of fact </w:t>
      </w:r>
    </w:p>
    <w:p w14:paraId="1C78C5D1" w14:textId="3D2B1D50" w:rsidR="007917ED" w:rsidRDefault="00DE4231" w:rsidP="007917ED">
      <w:pPr>
        <w:rPr>
          <w:rFonts w:ascii="Arial" w:hAnsi="Arial" w:cs="Arial"/>
        </w:rPr>
      </w:pPr>
      <w:r w:rsidRPr="00DE4231">
        <w:rPr>
          <w:rFonts w:ascii="Arial" w:hAnsi="Arial" w:cs="Arial"/>
        </w:rPr>
        <w:t xml:space="preserve">The new </w:t>
      </w:r>
      <w:r>
        <w:rPr>
          <w:rFonts w:ascii="Arial" w:hAnsi="Arial" w:cs="Arial"/>
        </w:rPr>
        <w:t>s</w:t>
      </w:r>
      <w:r w:rsidR="0018294A">
        <w:rPr>
          <w:rFonts w:ascii="Arial" w:hAnsi="Arial" w:cs="Arial"/>
        </w:rPr>
        <w:t>ection</w:t>
      </w:r>
      <w:r>
        <w:rPr>
          <w:rFonts w:ascii="Arial" w:hAnsi="Arial" w:cs="Arial"/>
        </w:rPr>
        <w:t xml:space="preserve"> 244C </w:t>
      </w:r>
      <w:r w:rsidR="007917ED">
        <w:rPr>
          <w:rFonts w:ascii="Arial" w:hAnsi="Arial" w:cs="Arial"/>
        </w:rPr>
        <w:t xml:space="preserve">introduces a mechanism </w:t>
      </w:r>
      <w:r w:rsidR="007917ED" w:rsidRPr="00AC74BE">
        <w:rPr>
          <w:rFonts w:ascii="Arial" w:hAnsi="Arial" w:cs="Arial"/>
        </w:rPr>
        <w:t xml:space="preserve">by which a body corporate can rely on the </w:t>
      </w:r>
      <w:r w:rsidR="00A81D3B">
        <w:rPr>
          <w:rFonts w:ascii="Arial" w:hAnsi="Arial" w:cs="Arial"/>
        </w:rPr>
        <w:t xml:space="preserve">defence of </w:t>
      </w:r>
      <w:r w:rsidR="007917ED" w:rsidRPr="00464B61">
        <w:rPr>
          <w:rFonts w:ascii="Arial" w:hAnsi="Arial" w:cs="Arial"/>
          <w:color w:val="000000" w:themeColor="text1"/>
        </w:rPr>
        <w:t xml:space="preserve">mistake of </w:t>
      </w:r>
      <w:proofErr w:type="gramStart"/>
      <w:r w:rsidR="007917ED" w:rsidRPr="00464B61">
        <w:rPr>
          <w:rFonts w:ascii="Arial" w:hAnsi="Arial" w:cs="Arial"/>
          <w:color w:val="000000" w:themeColor="text1"/>
        </w:rPr>
        <w:t>fact</w:t>
      </w:r>
      <w:r w:rsidR="00AA1C85">
        <w:rPr>
          <w:rFonts w:ascii="Arial" w:hAnsi="Arial" w:cs="Arial"/>
          <w:color w:val="000000" w:themeColor="text1"/>
        </w:rPr>
        <w:t>, if</w:t>
      </w:r>
      <w:proofErr w:type="gramEnd"/>
      <w:r w:rsidR="00AA1C85">
        <w:rPr>
          <w:rFonts w:ascii="Arial" w:hAnsi="Arial" w:cs="Arial"/>
          <w:color w:val="000000" w:themeColor="text1"/>
        </w:rPr>
        <w:t xml:space="preserve"> mistake of fact is relevant to determining liability for an offence</w:t>
      </w:r>
      <w:r w:rsidR="00A81D3B">
        <w:rPr>
          <w:rFonts w:ascii="Arial" w:hAnsi="Arial" w:cs="Arial"/>
          <w:color w:val="FF0000"/>
        </w:rPr>
        <w:t xml:space="preserve">. </w:t>
      </w:r>
      <w:r w:rsidR="0006284B">
        <w:rPr>
          <w:rFonts w:ascii="Arial" w:hAnsi="Arial" w:cs="Arial"/>
        </w:rPr>
        <w:t xml:space="preserve">A body corporate may rely on </w:t>
      </w:r>
      <w:r w:rsidR="003416BF">
        <w:rPr>
          <w:rFonts w:ascii="Arial" w:hAnsi="Arial" w:cs="Arial"/>
        </w:rPr>
        <w:t xml:space="preserve">mistake of fact only if: </w:t>
      </w:r>
    </w:p>
    <w:p w14:paraId="206D4C51" w14:textId="286C6CAF" w:rsidR="003416BF" w:rsidRDefault="00D719A1" w:rsidP="003416BF">
      <w:pPr>
        <w:pStyle w:val="ListParagraph"/>
        <w:numPr>
          <w:ilvl w:val="0"/>
          <w:numId w:val="9"/>
        </w:numPr>
        <w:rPr>
          <w:rFonts w:ascii="Arial" w:hAnsi="Arial" w:cs="Arial"/>
        </w:rPr>
      </w:pPr>
      <w:r>
        <w:rPr>
          <w:rFonts w:ascii="Arial" w:hAnsi="Arial" w:cs="Arial"/>
        </w:rPr>
        <w:t>the employee, agent or officer of the body corporate who carried out the conduct was under a mistaken but reasonable belief</w:t>
      </w:r>
      <w:r w:rsidR="00A4442D">
        <w:rPr>
          <w:rFonts w:ascii="Arial" w:hAnsi="Arial" w:cs="Arial"/>
        </w:rPr>
        <w:t xml:space="preserve"> about facts that, had they existed, would have meant the conduct would not have constituted </w:t>
      </w:r>
      <w:r w:rsidR="001B7C4F">
        <w:rPr>
          <w:rFonts w:ascii="Arial" w:hAnsi="Arial" w:cs="Arial"/>
        </w:rPr>
        <w:t>the</w:t>
      </w:r>
      <w:r w:rsidR="00A4442D">
        <w:rPr>
          <w:rFonts w:ascii="Arial" w:hAnsi="Arial" w:cs="Arial"/>
        </w:rPr>
        <w:t xml:space="preserve"> offence; and </w:t>
      </w:r>
    </w:p>
    <w:p w14:paraId="1E87EB7A" w14:textId="728D8004" w:rsidR="007917ED" w:rsidRPr="000E64DC" w:rsidRDefault="00237659" w:rsidP="007917ED">
      <w:pPr>
        <w:pStyle w:val="ListParagraph"/>
        <w:numPr>
          <w:ilvl w:val="0"/>
          <w:numId w:val="9"/>
        </w:numPr>
        <w:rPr>
          <w:rFonts w:ascii="Arial" w:hAnsi="Arial" w:cs="Arial"/>
        </w:rPr>
      </w:pPr>
      <w:r>
        <w:rPr>
          <w:rFonts w:ascii="Arial" w:hAnsi="Arial" w:cs="Arial"/>
        </w:rPr>
        <w:t>the body corporate proves it took reasonable precautions to prevent the conduct.</w:t>
      </w:r>
    </w:p>
    <w:p w14:paraId="22AF0DEA" w14:textId="282E2117" w:rsidR="00DE4231" w:rsidRDefault="007917ED" w:rsidP="001E7D5F">
      <w:pPr>
        <w:rPr>
          <w:rFonts w:ascii="Arial" w:hAnsi="Arial" w:cs="Arial"/>
        </w:rPr>
      </w:pPr>
      <w:r>
        <w:rPr>
          <w:rFonts w:ascii="Arial" w:hAnsi="Arial" w:cs="Arial"/>
          <w:b/>
          <w:bCs/>
        </w:rPr>
        <w:t xml:space="preserve">Section 244D Failure to take reasonable </w:t>
      </w:r>
      <w:proofErr w:type="gramStart"/>
      <w:r>
        <w:rPr>
          <w:rFonts w:ascii="Arial" w:hAnsi="Arial" w:cs="Arial"/>
          <w:b/>
          <w:bCs/>
        </w:rPr>
        <w:t>precautions</w:t>
      </w:r>
      <w:proofErr w:type="gramEnd"/>
      <w:r>
        <w:rPr>
          <w:rFonts w:ascii="Arial" w:hAnsi="Arial" w:cs="Arial"/>
          <w:b/>
          <w:bCs/>
        </w:rPr>
        <w:t xml:space="preserve"> </w:t>
      </w:r>
    </w:p>
    <w:p w14:paraId="6FCA0DA7" w14:textId="531A49C6" w:rsidR="00EE2C07" w:rsidRDefault="00B62BD2" w:rsidP="00EE2C07">
      <w:pPr>
        <w:rPr>
          <w:rFonts w:ascii="Arial" w:hAnsi="Arial" w:cs="Arial"/>
        </w:rPr>
      </w:pPr>
      <w:r>
        <w:rPr>
          <w:rFonts w:ascii="Arial" w:hAnsi="Arial" w:cs="Arial"/>
        </w:rPr>
        <w:t>The new s</w:t>
      </w:r>
      <w:r w:rsidR="0018294A">
        <w:rPr>
          <w:rFonts w:ascii="Arial" w:hAnsi="Arial" w:cs="Arial"/>
        </w:rPr>
        <w:t>ection</w:t>
      </w:r>
      <w:r>
        <w:rPr>
          <w:rFonts w:ascii="Arial" w:hAnsi="Arial" w:cs="Arial"/>
        </w:rPr>
        <w:t xml:space="preserve"> 244D includes </w:t>
      </w:r>
      <w:r w:rsidR="007A3B8E" w:rsidRPr="00BC40F0">
        <w:rPr>
          <w:rFonts w:ascii="Arial" w:hAnsi="Arial" w:cs="Arial"/>
        </w:rPr>
        <w:t>factors that may be used to</w:t>
      </w:r>
      <w:r w:rsidR="007A3B8E">
        <w:rPr>
          <w:rFonts w:ascii="Arial" w:hAnsi="Arial" w:cs="Arial"/>
          <w:b/>
          <w:bCs/>
        </w:rPr>
        <w:t xml:space="preserve"> </w:t>
      </w:r>
      <w:r w:rsidR="00B00DC4">
        <w:rPr>
          <w:rFonts w:ascii="Arial" w:hAnsi="Arial" w:cs="Arial"/>
        </w:rPr>
        <w:t>establish</w:t>
      </w:r>
      <w:r w:rsidR="00B00DC4" w:rsidRPr="005079DC">
        <w:rPr>
          <w:rFonts w:ascii="Arial" w:hAnsi="Arial" w:cs="Arial"/>
        </w:rPr>
        <w:t xml:space="preserve"> </w:t>
      </w:r>
      <w:r w:rsidR="007A3B8E" w:rsidRPr="005079DC">
        <w:rPr>
          <w:rFonts w:ascii="Arial" w:hAnsi="Arial" w:cs="Arial"/>
        </w:rPr>
        <w:t>that a body corporate failed to take reasonable precautions</w:t>
      </w:r>
      <w:r w:rsidR="007A3B8E">
        <w:rPr>
          <w:rFonts w:ascii="Arial" w:hAnsi="Arial" w:cs="Arial"/>
        </w:rPr>
        <w:t>, in relation to s</w:t>
      </w:r>
      <w:r w:rsidR="00B00DC4">
        <w:rPr>
          <w:rFonts w:ascii="Arial" w:hAnsi="Arial" w:cs="Arial"/>
        </w:rPr>
        <w:t>ubs</w:t>
      </w:r>
      <w:r w:rsidR="0018294A">
        <w:rPr>
          <w:rFonts w:ascii="Arial" w:hAnsi="Arial" w:cs="Arial"/>
        </w:rPr>
        <w:t xml:space="preserve">ection </w:t>
      </w:r>
      <w:r w:rsidR="007A3B8E">
        <w:rPr>
          <w:rFonts w:ascii="Arial" w:hAnsi="Arial" w:cs="Arial"/>
        </w:rPr>
        <w:t>244B(2)</w:t>
      </w:r>
      <w:r w:rsidR="009D7064">
        <w:rPr>
          <w:rFonts w:ascii="Arial" w:hAnsi="Arial" w:cs="Arial"/>
        </w:rPr>
        <w:t xml:space="preserve"> and </w:t>
      </w:r>
      <w:r w:rsidR="00B00DC4">
        <w:rPr>
          <w:rFonts w:ascii="Arial" w:hAnsi="Arial" w:cs="Arial"/>
        </w:rPr>
        <w:t xml:space="preserve">section </w:t>
      </w:r>
      <w:r w:rsidR="009D7064">
        <w:rPr>
          <w:rFonts w:ascii="Arial" w:hAnsi="Arial" w:cs="Arial"/>
        </w:rPr>
        <w:t>244C</w:t>
      </w:r>
      <w:r w:rsidR="00117878">
        <w:rPr>
          <w:rFonts w:ascii="Arial" w:hAnsi="Arial" w:cs="Arial"/>
        </w:rPr>
        <w:t xml:space="preserve">. </w:t>
      </w:r>
      <w:r w:rsidR="00162F8B">
        <w:rPr>
          <w:rFonts w:ascii="Arial" w:hAnsi="Arial" w:cs="Arial"/>
        </w:rPr>
        <w:t xml:space="preserve">A failure to take reasonable precautions may be evidenced by the fact that the conduct constituting the offence was substantially attributable to: </w:t>
      </w:r>
    </w:p>
    <w:p w14:paraId="629DC528" w14:textId="328D0D3E" w:rsidR="005E226B" w:rsidRPr="00AC74BE" w:rsidRDefault="008111A1" w:rsidP="005E226B">
      <w:pPr>
        <w:pStyle w:val="ListParagraph"/>
        <w:numPr>
          <w:ilvl w:val="0"/>
          <w:numId w:val="1"/>
        </w:numPr>
        <w:rPr>
          <w:rFonts w:ascii="Arial" w:hAnsi="Arial" w:cs="Arial"/>
        </w:rPr>
      </w:pPr>
      <w:r>
        <w:rPr>
          <w:rFonts w:ascii="Arial" w:hAnsi="Arial" w:cs="Arial"/>
        </w:rPr>
        <w:t>i</w:t>
      </w:r>
      <w:r w:rsidR="005E226B" w:rsidRPr="00AC74BE">
        <w:rPr>
          <w:rFonts w:ascii="Arial" w:hAnsi="Arial" w:cs="Arial"/>
        </w:rPr>
        <w:t xml:space="preserve">nadequate management, control or supervision of the conduct of one or more of the body corporate’s employees, agents or officers; or </w:t>
      </w:r>
    </w:p>
    <w:p w14:paraId="10B0BEDD" w14:textId="6841D4F8" w:rsidR="00C36B73" w:rsidRDefault="008111A1" w:rsidP="00C36B73">
      <w:pPr>
        <w:pStyle w:val="ListParagraph"/>
        <w:numPr>
          <w:ilvl w:val="0"/>
          <w:numId w:val="1"/>
        </w:numPr>
        <w:rPr>
          <w:rFonts w:ascii="Arial" w:hAnsi="Arial" w:cs="Arial"/>
        </w:rPr>
      </w:pPr>
      <w:r>
        <w:rPr>
          <w:rFonts w:ascii="Arial" w:hAnsi="Arial" w:cs="Arial"/>
        </w:rPr>
        <w:t>f</w:t>
      </w:r>
      <w:r w:rsidR="005E226B" w:rsidRPr="00AC74BE">
        <w:rPr>
          <w:rFonts w:ascii="Arial" w:hAnsi="Arial" w:cs="Arial"/>
        </w:rPr>
        <w:t xml:space="preserve">ailure to provide adequate systems for conveying relevant information to relevant persons in the body corporate. </w:t>
      </w:r>
    </w:p>
    <w:p w14:paraId="7C0264C1" w14:textId="77777777" w:rsidR="005236A9" w:rsidRPr="005236A9" w:rsidRDefault="005236A9" w:rsidP="005236A9">
      <w:pPr>
        <w:pStyle w:val="ListParagraph"/>
        <w:rPr>
          <w:rFonts w:ascii="Arial" w:hAnsi="Arial" w:cs="Arial"/>
        </w:rPr>
      </w:pPr>
    </w:p>
    <w:p w14:paraId="683385D6" w14:textId="2C54ADC7" w:rsidR="00C36B73" w:rsidRPr="005632A6" w:rsidRDefault="00C36B73" w:rsidP="00C36B73">
      <w:pPr>
        <w:rPr>
          <w:rFonts w:ascii="Arial" w:hAnsi="Arial" w:cs="Arial"/>
          <w:b/>
          <w:bCs/>
        </w:rPr>
      </w:pPr>
      <w:r w:rsidRPr="005632A6">
        <w:rPr>
          <w:rFonts w:ascii="Arial" w:hAnsi="Arial" w:cs="Arial"/>
          <w:b/>
          <w:bCs/>
        </w:rPr>
        <w:t>Item [19] Section 254</w:t>
      </w:r>
      <w:r w:rsidR="00E830E6" w:rsidRPr="005632A6">
        <w:rPr>
          <w:rFonts w:ascii="Arial" w:hAnsi="Arial" w:cs="Arial"/>
          <w:b/>
          <w:bCs/>
        </w:rPr>
        <w:t xml:space="preserve"> When is a provision a WHS civil penalty </w:t>
      </w:r>
      <w:proofErr w:type="gramStart"/>
      <w:r w:rsidR="00E830E6" w:rsidRPr="005632A6">
        <w:rPr>
          <w:rFonts w:ascii="Arial" w:hAnsi="Arial" w:cs="Arial"/>
          <w:b/>
          <w:bCs/>
        </w:rPr>
        <w:t>provision</w:t>
      </w:r>
      <w:proofErr w:type="gramEnd"/>
      <w:r w:rsidR="00E830E6" w:rsidRPr="005632A6">
        <w:rPr>
          <w:rFonts w:ascii="Arial" w:hAnsi="Arial" w:cs="Arial"/>
          <w:b/>
          <w:bCs/>
        </w:rPr>
        <w:t xml:space="preserve"> </w:t>
      </w:r>
    </w:p>
    <w:p w14:paraId="083360CE" w14:textId="50D1A631" w:rsidR="00156388" w:rsidRPr="000D73CC" w:rsidRDefault="00CC5DBC" w:rsidP="00E248C5">
      <w:pPr>
        <w:rPr>
          <w:rFonts w:ascii="Arial" w:hAnsi="Arial" w:cs="Arial"/>
        </w:rPr>
      </w:pPr>
      <w:r>
        <w:rPr>
          <w:rFonts w:ascii="Arial" w:hAnsi="Arial" w:cs="Arial"/>
        </w:rPr>
        <w:t xml:space="preserve">The penalties imposed under </w:t>
      </w:r>
      <w:r w:rsidR="0087402C">
        <w:rPr>
          <w:rFonts w:ascii="Arial" w:hAnsi="Arial" w:cs="Arial"/>
        </w:rPr>
        <w:t xml:space="preserve">Part 7 of the model Bill </w:t>
      </w:r>
      <w:r w:rsidR="000047A9">
        <w:rPr>
          <w:rFonts w:ascii="Arial" w:hAnsi="Arial" w:cs="Arial"/>
        </w:rPr>
        <w:t>(Workplace entry by WHS entry permit holders)</w:t>
      </w:r>
      <w:r>
        <w:rPr>
          <w:rFonts w:ascii="Arial" w:hAnsi="Arial" w:cs="Arial"/>
        </w:rPr>
        <w:t xml:space="preserve"> are civil only</w:t>
      </w:r>
      <w:r w:rsidR="001710E7">
        <w:rPr>
          <w:rFonts w:ascii="Arial" w:hAnsi="Arial" w:cs="Arial"/>
        </w:rPr>
        <w:t xml:space="preserve">; however, </w:t>
      </w:r>
      <w:r w:rsidR="00C0192A">
        <w:rPr>
          <w:rFonts w:ascii="Arial" w:hAnsi="Arial" w:cs="Arial"/>
        </w:rPr>
        <w:t xml:space="preserve">consistently with the way penalties in the model Bill generally are expressed, the civil </w:t>
      </w:r>
      <w:r w:rsidR="001710E7">
        <w:rPr>
          <w:rFonts w:ascii="Arial" w:hAnsi="Arial" w:cs="Arial"/>
        </w:rPr>
        <w:t>penalt</w:t>
      </w:r>
      <w:r w:rsidR="00C0192A">
        <w:rPr>
          <w:rFonts w:ascii="Arial" w:hAnsi="Arial" w:cs="Arial"/>
        </w:rPr>
        <w:t xml:space="preserve">ies </w:t>
      </w:r>
      <w:r w:rsidR="001710E7">
        <w:rPr>
          <w:rFonts w:ascii="Arial" w:hAnsi="Arial" w:cs="Arial"/>
        </w:rPr>
        <w:t>are currently expressed as monetary amount</w:t>
      </w:r>
      <w:r w:rsidR="00B875D6">
        <w:rPr>
          <w:rFonts w:ascii="Arial" w:hAnsi="Arial" w:cs="Arial"/>
        </w:rPr>
        <w:t>s</w:t>
      </w:r>
      <w:r w:rsidR="001710E7">
        <w:rPr>
          <w:rFonts w:ascii="Arial" w:hAnsi="Arial" w:cs="Arial"/>
        </w:rPr>
        <w:t xml:space="preserve">.  </w:t>
      </w:r>
      <w:r w:rsidR="00282AF7">
        <w:rPr>
          <w:rFonts w:ascii="Arial" w:hAnsi="Arial" w:cs="Arial"/>
        </w:rPr>
        <w:t xml:space="preserve">To facilitate the introduction of </w:t>
      </w:r>
      <w:r w:rsidR="0054109B">
        <w:rPr>
          <w:rFonts w:ascii="Arial" w:hAnsi="Arial" w:cs="Arial"/>
        </w:rPr>
        <w:t xml:space="preserve">annual </w:t>
      </w:r>
      <w:r w:rsidR="00282AF7">
        <w:rPr>
          <w:rFonts w:ascii="Arial" w:hAnsi="Arial" w:cs="Arial"/>
        </w:rPr>
        <w:t xml:space="preserve">indexation </w:t>
      </w:r>
      <w:r w:rsidR="00EB631A">
        <w:rPr>
          <w:rFonts w:ascii="Arial" w:hAnsi="Arial" w:cs="Arial"/>
        </w:rPr>
        <w:t xml:space="preserve">of penalties, </w:t>
      </w:r>
      <w:r w:rsidR="00F01BD0">
        <w:rPr>
          <w:rFonts w:ascii="Arial" w:hAnsi="Arial" w:cs="Arial"/>
        </w:rPr>
        <w:t xml:space="preserve">the monetary amounts for each of the WHS civil penalties will be replaced </w:t>
      </w:r>
      <w:r w:rsidR="00440373">
        <w:rPr>
          <w:rFonts w:ascii="Arial" w:hAnsi="Arial" w:cs="Arial"/>
        </w:rPr>
        <w:t>by a reference to a WHS civil penalty tier</w:t>
      </w:r>
      <w:r w:rsidR="006C163D">
        <w:rPr>
          <w:rFonts w:ascii="Arial" w:hAnsi="Arial" w:cs="Arial"/>
        </w:rPr>
        <w:t>. There are 4 different WHS civil penalty tiers</w:t>
      </w:r>
      <w:r w:rsidR="00F01BD0">
        <w:rPr>
          <w:rFonts w:ascii="Arial" w:hAnsi="Arial" w:cs="Arial"/>
        </w:rPr>
        <w:t xml:space="preserve"> </w:t>
      </w:r>
      <w:r w:rsidR="006C163D">
        <w:rPr>
          <w:rFonts w:ascii="Arial" w:hAnsi="Arial" w:cs="Arial"/>
        </w:rPr>
        <w:t xml:space="preserve">representing the </w:t>
      </w:r>
      <w:r w:rsidR="00442826">
        <w:rPr>
          <w:rFonts w:ascii="Arial" w:hAnsi="Arial" w:cs="Arial"/>
        </w:rPr>
        <w:t xml:space="preserve">4 </w:t>
      </w:r>
      <w:r w:rsidR="006C163D">
        <w:rPr>
          <w:rFonts w:ascii="Arial" w:hAnsi="Arial" w:cs="Arial"/>
        </w:rPr>
        <w:t>different civil penalty amounts.</w:t>
      </w:r>
      <w:r w:rsidR="00F01BD0">
        <w:rPr>
          <w:rFonts w:ascii="Arial" w:hAnsi="Arial" w:cs="Arial"/>
        </w:rPr>
        <w:t xml:space="preserve"> </w:t>
      </w:r>
      <w:r w:rsidR="00E248C5" w:rsidRPr="000D73CC">
        <w:rPr>
          <w:rFonts w:ascii="Arial" w:hAnsi="Arial" w:cs="Arial"/>
        </w:rPr>
        <w:t>This item amends s</w:t>
      </w:r>
      <w:r w:rsidR="0018294A" w:rsidRPr="000D73CC">
        <w:rPr>
          <w:rFonts w:ascii="Arial" w:hAnsi="Arial" w:cs="Arial"/>
        </w:rPr>
        <w:t>ection</w:t>
      </w:r>
      <w:r w:rsidR="00E248C5" w:rsidRPr="000D73CC">
        <w:rPr>
          <w:rFonts w:ascii="Arial" w:hAnsi="Arial" w:cs="Arial"/>
        </w:rPr>
        <w:t xml:space="preserve"> 254</w:t>
      </w:r>
      <w:r w:rsidR="003A4B3E" w:rsidRPr="000D73CC">
        <w:rPr>
          <w:rFonts w:ascii="Arial" w:hAnsi="Arial" w:cs="Arial"/>
        </w:rPr>
        <w:t xml:space="preserve"> </w:t>
      </w:r>
      <w:r w:rsidR="00FA27FF" w:rsidRPr="000D73CC">
        <w:rPr>
          <w:rFonts w:ascii="Arial" w:hAnsi="Arial" w:cs="Arial"/>
        </w:rPr>
        <w:t xml:space="preserve">to refer to WHS civil penalty </w:t>
      </w:r>
      <w:r w:rsidR="00AB0678">
        <w:rPr>
          <w:rFonts w:ascii="Arial" w:hAnsi="Arial" w:cs="Arial"/>
        </w:rPr>
        <w:t xml:space="preserve">provision </w:t>
      </w:r>
      <w:r w:rsidR="00FA27FF" w:rsidRPr="000D73CC">
        <w:rPr>
          <w:rFonts w:ascii="Arial" w:hAnsi="Arial" w:cs="Arial"/>
        </w:rPr>
        <w:t>tiers</w:t>
      </w:r>
      <w:r w:rsidR="00AB0678">
        <w:rPr>
          <w:rFonts w:ascii="Arial" w:hAnsi="Arial" w:cs="Arial"/>
        </w:rPr>
        <w:t xml:space="preserve"> (a definition of WHS civil p</w:t>
      </w:r>
      <w:r w:rsidR="00CF1C31">
        <w:rPr>
          <w:rFonts w:ascii="Arial" w:hAnsi="Arial" w:cs="Arial"/>
        </w:rPr>
        <w:t xml:space="preserve">rovision tier is </w:t>
      </w:r>
      <w:r w:rsidR="007173ED">
        <w:rPr>
          <w:rFonts w:ascii="Arial" w:hAnsi="Arial" w:cs="Arial"/>
        </w:rPr>
        <w:t>included in s</w:t>
      </w:r>
      <w:r w:rsidR="00B00DC4">
        <w:rPr>
          <w:rFonts w:ascii="Arial" w:hAnsi="Arial" w:cs="Arial"/>
        </w:rPr>
        <w:t>ection</w:t>
      </w:r>
      <w:r w:rsidR="007173ED">
        <w:rPr>
          <w:rFonts w:ascii="Arial" w:hAnsi="Arial" w:cs="Arial"/>
        </w:rPr>
        <w:t xml:space="preserve"> 4)</w:t>
      </w:r>
      <w:r w:rsidR="00FA27FF" w:rsidRPr="000D73CC">
        <w:rPr>
          <w:rFonts w:ascii="Arial" w:hAnsi="Arial" w:cs="Arial"/>
        </w:rPr>
        <w:t>. It replaces the words (wherever occurring) “1 or more amounts by way of monetary penalty” with “a maximum penalty, expressed as a WHS civil penalty provision tier".</w:t>
      </w:r>
      <w:r w:rsidR="00FA27FF" w:rsidRPr="000D73CC">
        <w:rPr>
          <w:rFonts w:ascii="Arial" w:hAnsi="Arial" w:cs="Arial"/>
          <w:shd w:val="clear" w:color="auto" w:fill="00FFFF"/>
        </w:rPr>
        <w:t xml:space="preserve"> </w:t>
      </w:r>
    </w:p>
    <w:p w14:paraId="6EC60EDF" w14:textId="7079AEA9" w:rsidR="00E248C5" w:rsidRPr="000D73CC" w:rsidRDefault="006E459A" w:rsidP="00E248C5">
      <w:pPr>
        <w:rPr>
          <w:rFonts w:ascii="Arial" w:hAnsi="Arial" w:cs="Arial"/>
        </w:rPr>
      </w:pPr>
      <w:r w:rsidRPr="000D73CC">
        <w:rPr>
          <w:rFonts w:ascii="Arial" w:hAnsi="Arial" w:cs="Arial"/>
        </w:rPr>
        <w:t>Therefore,</w:t>
      </w:r>
      <w:r w:rsidR="00B640F8" w:rsidRPr="000D73CC">
        <w:rPr>
          <w:rFonts w:ascii="Arial" w:hAnsi="Arial" w:cs="Arial"/>
        </w:rPr>
        <w:t xml:space="preserve"> </w:t>
      </w:r>
      <w:r w:rsidR="00E248C5" w:rsidRPr="000D73CC">
        <w:rPr>
          <w:rFonts w:ascii="Arial" w:hAnsi="Arial" w:cs="Arial"/>
        </w:rPr>
        <w:t xml:space="preserve">a subsection of Part 7 is a WHS civil penalty provision if: </w:t>
      </w:r>
    </w:p>
    <w:p w14:paraId="3F357D8B" w14:textId="1E0DB130" w:rsidR="00E248C5" w:rsidRPr="000D73CC" w:rsidRDefault="00E248C5" w:rsidP="00E248C5">
      <w:pPr>
        <w:pStyle w:val="ListParagraph"/>
        <w:numPr>
          <w:ilvl w:val="0"/>
          <w:numId w:val="2"/>
        </w:numPr>
        <w:rPr>
          <w:rFonts w:ascii="Arial" w:hAnsi="Arial" w:cs="Arial"/>
        </w:rPr>
      </w:pPr>
      <w:r w:rsidRPr="000D73CC">
        <w:rPr>
          <w:rFonts w:ascii="Arial" w:hAnsi="Arial" w:cs="Arial"/>
        </w:rPr>
        <w:t xml:space="preserve">the words ‘WHS civil penalty provision’ and </w:t>
      </w:r>
      <w:r w:rsidR="00F034EA" w:rsidRPr="000D73CC">
        <w:rPr>
          <w:rFonts w:ascii="Arial" w:hAnsi="Arial" w:cs="Arial"/>
        </w:rPr>
        <w:t>a maximum penalty, expressed as a WHS civil penalty provision tier</w:t>
      </w:r>
      <w:r w:rsidR="007A4EB0">
        <w:rPr>
          <w:rFonts w:ascii="Arial" w:hAnsi="Arial" w:cs="Arial"/>
        </w:rPr>
        <w:t xml:space="preserve"> are set out at the foot of the s</w:t>
      </w:r>
      <w:r w:rsidR="00C0192A">
        <w:rPr>
          <w:rFonts w:ascii="Arial" w:hAnsi="Arial" w:cs="Arial"/>
        </w:rPr>
        <w:t>ubs</w:t>
      </w:r>
      <w:r w:rsidR="007A4EB0">
        <w:rPr>
          <w:rFonts w:ascii="Arial" w:hAnsi="Arial" w:cs="Arial"/>
        </w:rPr>
        <w:t>ection</w:t>
      </w:r>
      <w:r w:rsidRPr="000D73CC">
        <w:rPr>
          <w:rFonts w:ascii="Arial" w:hAnsi="Arial" w:cs="Arial"/>
        </w:rPr>
        <w:t xml:space="preserve">; or </w:t>
      </w:r>
    </w:p>
    <w:p w14:paraId="021E1325" w14:textId="77777777" w:rsidR="00E248C5" w:rsidRPr="000D73CC" w:rsidRDefault="00E248C5" w:rsidP="00E248C5">
      <w:pPr>
        <w:pStyle w:val="ListParagraph"/>
        <w:numPr>
          <w:ilvl w:val="0"/>
          <w:numId w:val="2"/>
        </w:numPr>
        <w:rPr>
          <w:rFonts w:ascii="Arial" w:hAnsi="Arial" w:cs="Arial"/>
        </w:rPr>
      </w:pPr>
      <w:r w:rsidRPr="000D73CC">
        <w:rPr>
          <w:rFonts w:ascii="Arial" w:hAnsi="Arial" w:cs="Arial"/>
        </w:rPr>
        <w:lastRenderedPageBreak/>
        <w:t xml:space="preserve">another provision of Part 7 specifies that the subsection (or section) is a WHS civil penalty provision. </w:t>
      </w:r>
    </w:p>
    <w:p w14:paraId="0C910FFE" w14:textId="01B5C905" w:rsidR="00F96E3A" w:rsidRPr="000D73CC" w:rsidRDefault="00F9588F" w:rsidP="00F96E3A">
      <w:pPr>
        <w:rPr>
          <w:rFonts w:ascii="Arial" w:hAnsi="Arial" w:cs="Arial"/>
        </w:rPr>
      </w:pPr>
      <w:r w:rsidRPr="000D73CC">
        <w:rPr>
          <w:rFonts w:ascii="Arial" w:hAnsi="Arial" w:cs="Arial"/>
        </w:rPr>
        <w:t xml:space="preserve">A </w:t>
      </w:r>
      <w:proofErr w:type="spellStart"/>
      <w:r w:rsidRPr="000D73CC">
        <w:rPr>
          <w:rFonts w:ascii="Arial" w:hAnsi="Arial" w:cs="Arial"/>
        </w:rPr>
        <w:t>subregulation</w:t>
      </w:r>
      <w:proofErr w:type="spellEnd"/>
      <w:r w:rsidRPr="000D73CC">
        <w:rPr>
          <w:rFonts w:ascii="Arial" w:hAnsi="Arial" w:cs="Arial"/>
        </w:rPr>
        <w:t xml:space="preserve"> </w:t>
      </w:r>
      <w:r w:rsidR="00F96E3A" w:rsidRPr="000D73CC">
        <w:rPr>
          <w:rFonts w:ascii="Arial" w:hAnsi="Arial" w:cs="Arial"/>
        </w:rPr>
        <w:t xml:space="preserve">(or a regulation that is not divided into </w:t>
      </w:r>
      <w:proofErr w:type="spellStart"/>
      <w:r w:rsidR="00F96E3A" w:rsidRPr="000D73CC">
        <w:rPr>
          <w:rFonts w:ascii="Arial" w:hAnsi="Arial" w:cs="Arial"/>
        </w:rPr>
        <w:t>subregulations</w:t>
      </w:r>
      <w:proofErr w:type="spellEnd"/>
      <w:r w:rsidR="00F96E3A" w:rsidRPr="000D73CC">
        <w:rPr>
          <w:rFonts w:ascii="Arial" w:hAnsi="Arial" w:cs="Arial"/>
        </w:rPr>
        <w:t>)</w:t>
      </w:r>
      <w:r w:rsidR="000D73CC" w:rsidRPr="000D73CC">
        <w:rPr>
          <w:rFonts w:ascii="Arial" w:hAnsi="Arial" w:cs="Arial"/>
          <w:b/>
          <w:bCs/>
        </w:rPr>
        <w:t xml:space="preserve"> </w:t>
      </w:r>
      <w:r w:rsidR="00F96E3A" w:rsidRPr="000D73CC">
        <w:rPr>
          <w:rFonts w:ascii="Arial" w:hAnsi="Arial" w:cs="Arial"/>
        </w:rPr>
        <w:t xml:space="preserve">is a WHS civil penalty provision if: </w:t>
      </w:r>
    </w:p>
    <w:p w14:paraId="341F3879" w14:textId="77777777" w:rsidR="00F96E3A" w:rsidRPr="000D73CC" w:rsidRDefault="00F96E3A" w:rsidP="00F96E3A">
      <w:pPr>
        <w:pStyle w:val="ListParagraph"/>
        <w:numPr>
          <w:ilvl w:val="0"/>
          <w:numId w:val="2"/>
        </w:numPr>
        <w:rPr>
          <w:rFonts w:ascii="Arial" w:hAnsi="Arial" w:cs="Arial"/>
        </w:rPr>
      </w:pPr>
      <w:r w:rsidRPr="000D73CC">
        <w:rPr>
          <w:rFonts w:ascii="Arial" w:hAnsi="Arial" w:cs="Arial"/>
        </w:rPr>
        <w:t xml:space="preserve">the words ‘WHS civil penalty provision’ and a maximum penalty, expressed as a WHS civil penalty provision tier; or </w:t>
      </w:r>
    </w:p>
    <w:p w14:paraId="52852B53" w14:textId="3FBBAD1F" w:rsidR="00F9588F" w:rsidRDefault="00F96E3A" w:rsidP="00C36B73">
      <w:pPr>
        <w:pStyle w:val="ListParagraph"/>
        <w:numPr>
          <w:ilvl w:val="0"/>
          <w:numId w:val="2"/>
        </w:numPr>
        <w:rPr>
          <w:rFonts w:ascii="Arial" w:hAnsi="Arial" w:cs="Arial"/>
        </w:rPr>
      </w:pPr>
      <w:r w:rsidRPr="000D73CC">
        <w:rPr>
          <w:rFonts w:ascii="Arial" w:hAnsi="Arial" w:cs="Arial"/>
        </w:rPr>
        <w:t xml:space="preserve">another provision of </w:t>
      </w:r>
      <w:r w:rsidR="000D73CC" w:rsidRPr="000D73CC">
        <w:rPr>
          <w:rFonts w:ascii="Arial" w:hAnsi="Arial" w:cs="Arial"/>
        </w:rPr>
        <w:t>the regulation</w:t>
      </w:r>
      <w:r w:rsidRPr="000D73CC">
        <w:rPr>
          <w:rFonts w:ascii="Arial" w:hAnsi="Arial" w:cs="Arial"/>
        </w:rPr>
        <w:t xml:space="preserve"> specifies that the </w:t>
      </w:r>
      <w:proofErr w:type="spellStart"/>
      <w:r w:rsidRPr="000D73CC">
        <w:rPr>
          <w:rFonts w:ascii="Arial" w:hAnsi="Arial" w:cs="Arial"/>
        </w:rPr>
        <w:t>sub</w:t>
      </w:r>
      <w:r w:rsidR="000D73CC" w:rsidRPr="000D73CC">
        <w:rPr>
          <w:rFonts w:ascii="Arial" w:hAnsi="Arial" w:cs="Arial"/>
        </w:rPr>
        <w:t>regulation</w:t>
      </w:r>
      <w:proofErr w:type="spellEnd"/>
      <w:r w:rsidRPr="000D73CC">
        <w:rPr>
          <w:rFonts w:ascii="Arial" w:hAnsi="Arial" w:cs="Arial"/>
        </w:rPr>
        <w:t xml:space="preserve"> (or </w:t>
      </w:r>
      <w:r w:rsidR="000D73CC" w:rsidRPr="000D73CC">
        <w:rPr>
          <w:rFonts w:ascii="Arial" w:hAnsi="Arial" w:cs="Arial"/>
        </w:rPr>
        <w:t>regulation</w:t>
      </w:r>
      <w:r w:rsidRPr="000D73CC">
        <w:rPr>
          <w:rFonts w:ascii="Arial" w:hAnsi="Arial" w:cs="Arial"/>
        </w:rPr>
        <w:t xml:space="preserve">) is a WHS civil penalty provision. </w:t>
      </w:r>
    </w:p>
    <w:p w14:paraId="3470D998" w14:textId="77777777" w:rsidR="006E459A" w:rsidRPr="006E459A" w:rsidRDefault="006E459A" w:rsidP="006E459A">
      <w:pPr>
        <w:pStyle w:val="ListParagraph"/>
        <w:rPr>
          <w:rFonts w:ascii="Arial" w:hAnsi="Arial" w:cs="Arial"/>
        </w:rPr>
      </w:pPr>
    </w:p>
    <w:p w14:paraId="3E2029CD" w14:textId="1B88B48F" w:rsidR="00F855FE" w:rsidRDefault="00F855FE" w:rsidP="00F855FE">
      <w:pPr>
        <w:rPr>
          <w:rFonts w:ascii="Arial" w:hAnsi="Arial" w:cs="Arial"/>
          <w:b/>
          <w:bCs/>
        </w:rPr>
      </w:pPr>
      <w:r w:rsidRPr="00F855FE">
        <w:rPr>
          <w:rFonts w:ascii="Arial" w:hAnsi="Arial" w:cs="Arial"/>
          <w:b/>
          <w:bCs/>
        </w:rPr>
        <w:t>Item [20]</w:t>
      </w:r>
      <w:r>
        <w:rPr>
          <w:rFonts w:ascii="Arial" w:hAnsi="Arial" w:cs="Arial"/>
          <w:b/>
          <w:bCs/>
        </w:rPr>
        <w:t xml:space="preserve"> Section 272B Liability of officers for offences by body corporate under s 272A</w:t>
      </w:r>
    </w:p>
    <w:p w14:paraId="66838EDD" w14:textId="750CA5A2" w:rsidR="00AD39AF" w:rsidRDefault="004B0416" w:rsidP="00F855FE">
      <w:pPr>
        <w:rPr>
          <w:rFonts w:ascii="Arial" w:hAnsi="Arial" w:cs="Arial"/>
          <w:b/>
          <w:bCs/>
        </w:rPr>
      </w:pPr>
      <w:r w:rsidRPr="00543268">
        <w:rPr>
          <w:rFonts w:ascii="Arial" w:hAnsi="Arial" w:cs="Arial"/>
        </w:rPr>
        <w:t xml:space="preserve">This item </w:t>
      </w:r>
      <w:r>
        <w:rPr>
          <w:rFonts w:ascii="Arial" w:hAnsi="Arial" w:cs="Arial"/>
        </w:rPr>
        <w:t>amends s</w:t>
      </w:r>
      <w:r w:rsidR="0018294A">
        <w:rPr>
          <w:rFonts w:ascii="Arial" w:hAnsi="Arial" w:cs="Arial"/>
        </w:rPr>
        <w:t>ection</w:t>
      </w:r>
      <w:r>
        <w:rPr>
          <w:rFonts w:ascii="Arial" w:hAnsi="Arial" w:cs="Arial"/>
        </w:rPr>
        <w:t xml:space="preserve"> 272B to have a maximum tier B monetary penalty</w:t>
      </w:r>
      <w:r w:rsidR="002C6063">
        <w:rPr>
          <w:rFonts w:ascii="Arial" w:hAnsi="Arial" w:cs="Arial"/>
        </w:rPr>
        <w:t xml:space="preserve">. </w:t>
      </w:r>
    </w:p>
    <w:p w14:paraId="5CD0F309" w14:textId="77777777" w:rsidR="00664882" w:rsidRDefault="00664882" w:rsidP="00F855FE">
      <w:pPr>
        <w:rPr>
          <w:rFonts w:ascii="Arial" w:hAnsi="Arial" w:cs="Arial"/>
          <w:b/>
          <w:bCs/>
        </w:rPr>
      </w:pPr>
    </w:p>
    <w:p w14:paraId="42FF7BBB" w14:textId="396E7024" w:rsidR="001843E8" w:rsidRDefault="001843E8" w:rsidP="00F855FE">
      <w:pPr>
        <w:rPr>
          <w:rFonts w:ascii="Arial" w:hAnsi="Arial" w:cs="Arial"/>
          <w:b/>
          <w:bCs/>
        </w:rPr>
      </w:pPr>
      <w:r w:rsidRPr="00F855FE">
        <w:rPr>
          <w:rFonts w:ascii="Arial" w:hAnsi="Arial" w:cs="Arial"/>
          <w:b/>
          <w:bCs/>
        </w:rPr>
        <w:t>Item [2</w:t>
      </w:r>
      <w:r>
        <w:rPr>
          <w:rFonts w:ascii="Arial" w:hAnsi="Arial" w:cs="Arial"/>
          <w:b/>
          <w:bCs/>
        </w:rPr>
        <w:t>1</w:t>
      </w:r>
      <w:r w:rsidRPr="00F855FE">
        <w:rPr>
          <w:rFonts w:ascii="Arial" w:hAnsi="Arial" w:cs="Arial"/>
          <w:b/>
          <w:bCs/>
        </w:rPr>
        <w:t>]</w:t>
      </w:r>
      <w:r>
        <w:rPr>
          <w:rFonts w:ascii="Arial" w:hAnsi="Arial" w:cs="Arial"/>
          <w:b/>
          <w:bCs/>
        </w:rPr>
        <w:t xml:space="preserve"> Section 276 Regulation-making powers </w:t>
      </w:r>
    </w:p>
    <w:p w14:paraId="67D54AF1" w14:textId="32AB1FB5" w:rsidR="00664882" w:rsidRDefault="00664882" w:rsidP="00664882">
      <w:pPr>
        <w:rPr>
          <w:rFonts w:ascii="Arial" w:hAnsi="Arial" w:cs="Arial"/>
        </w:rPr>
      </w:pPr>
      <w:r w:rsidRPr="00543268">
        <w:rPr>
          <w:rFonts w:ascii="Arial" w:hAnsi="Arial" w:cs="Arial"/>
        </w:rPr>
        <w:t xml:space="preserve">This item </w:t>
      </w:r>
      <w:r>
        <w:rPr>
          <w:rFonts w:ascii="Arial" w:hAnsi="Arial" w:cs="Arial"/>
        </w:rPr>
        <w:t xml:space="preserve">amends </w:t>
      </w:r>
      <w:r w:rsidR="00B00DC4">
        <w:rPr>
          <w:rFonts w:ascii="Arial" w:hAnsi="Arial" w:cs="Arial"/>
        </w:rPr>
        <w:t xml:space="preserve">paragraph </w:t>
      </w:r>
      <w:r>
        <w:rPr>
          <w:rFonts w:ascii="Arial" w:hAnsi="Arial" w:cs="Arial"/>
        </w:rPr>
        <w:t>276(3)(h)</w:t>
      </w:r>
      <w:r w:rsidR="00086948">
        <w:rPr>
          <w:rFonts w:ascii="Arial" w:hAnsi="Arial" w:cs="Arial"/>
        </w:rPr>
        <w:t xml:space="preserve"> </w:t>
      </w:r>
      <w:r>
        <w:rPr>
          <w:rFonts w:ascii="Arial" w:hAnsi="Arial" w:cs="Arial"/>
        </w:rPr>
        <w:t xml:space="preserve">to include that the regulations may prescribe the following penalties for an offence under the regulations: </w:t>
      </w:r>
    </w:p>
    <w:p w14:paraId="7CA8F82F" w14:textId="77777777" w:rsidR="00664882" w:rsidRDefault="00664882" w:rsidP="00664882">
      <w:pPr>
        <w:pStyle w:val="ListParagraph"/>
        <w:numPr>
          <w:ilvl w:val="0"/>
          <w:numId w:val="3"/>
        </w:numPr>
        <w:rPr>
          <w:rFonts w:ascii="Arial" w:hAnsi="Arial" w:cs="Arial"/>
        </w:rPr>
      </w:pPr>
      <w:r>
        <w:rPr>
          <w:rFonts w:ascii="Arial" w:hAnsi="Arial" w:cs="Arial"/>
        </w:rPr>
        <w:t>a tier E monetary penalty</w:t>
      </w:r>
    </w:p>
    <w:p w14:paraId="79460DD8" w14:textId="77777777" w:rsidR="00664882" w:rsidRDefault="00664882" w:rsidP="00664882">
      <w:pPr>
        <w:pStyle w:val="ListParagraph"/>
        <w:numPr>
          <w:ilvl w:val="0"/>
          <w:numId w:val="3"/>
        </w:numPr>
        <w:rPr>
          <w:rFonts w:ascii="Arial" w:hAnsi="Arial" w:cs="Arial"/>
        </w:rPr>
      </w:pPr>
      <w:r>
        <w:rPr>
          <w:rFonts w:ascii="Arial" w:hAnsi="Arial" w:cs="Arial"/>
        </w:rPr>
        <w:t>a tier F monetary penalty</w:t>
      </w:r>
    </w:p>
    <w:p w14:paraId="0F8E1188" w14:textId="77777777" w:rsidR="00664882" w:rsidRPr="00790303" w:rsidRDefault="00664882" w:rsidP="00664882">
      <w:pPr>
        <w:pStyle w:val="ListParagraph"/>
        <w:numPr>
          <w:ilvl w:val="0"/>
          <w:numId w:val="3"/>
        </w:numPr>
        <w:rPr>
          <w:rFonts w:ascii="Arial" w:hAnsi="Arial" w:cs="Arial"/>
        </w:rPr>
      </w:pPr>
      <w:r>
        <w:rPr>
          <w:rFonts w:ascii="Arial" w:hAnsi="Arial" w:cs="Arial"/>
        </w:rPr>
        <w:t xml:space="preserve">a tier G monetary penalty </w:t>
      </w:r>
    </w:p>
    <w:p w14:paraId="58433DD6" w14:textId="77777777" w:rsidR="00664882" w:rsidRPr="00790303" w:rsidRDefault="00664882" w:rsidP="00664882">
      <w:pPr>
        <w:pStyle w:val="ListParagraph"/>
        <w:numPr>
          <w:ilvl w:val="0"/>
          <w:numId w:val="3"/>
        </w:numPr>
        <w:rPr>
          <w:rFonts w:ascii="Arial" w:hAnsi="Arial" w:cs="Arial"/>
        </w:rPr>
      </w:pPr>
      <w:r>
        <w:rPr>
          <w:rFonts w:ascii="Arial" w:hAnsi="Arial" w:cs="Arial"/>
        </w:rPr>
        <w:t xml:space="preserve">a tier H monetary penalty </w:t>
      </w:r>
    </w:p>
    <w:p w14:paraId="26A813C2" w14:textId="77777777" w:rsidR="00664882" w:rsidRPr="00790303" w:rsidRDefault="00664882" w:rsidP="00664882">
      <w:pPr>
        <w:pStyle w:val="ListParagraph"/>
        <w:numPr>
          <w:ilvl w:val="0"/>
          <w:numId w:val="3"/>
        </w:numPr>
        <w:rPr>
          <w:rFonts w:ascii="Arial" w:hAnsi="Arial" w:cs="Arial"/>
        </w:rPr>
      </w:pPr>
      <w:r>
        <w:rPr>
          <w:rFonts w:ascii="Arial" w:hAnsi="Arial" w:cs="Arial"/>
        </w:rPr>
        <w:t xml:space="preserve">a tier I monetary penalty </w:t>
      </w:r>
    </w:p>
    <w:p w14:paraId="5901A549" w14:textId="2F2ED463" w:rsidR="001843E8" w:rsidRDefault="001843E8" w:rsidP="00F855FE">
      <w:pPr>
        <w:rPr>
          <w:rFonts w:ascii="Arial" w:hAnsi="Arial" w:cs="Arial"/>
          <w:b/>
          <w:bCs/>
        </w:rPr>
      </w:pPr>
    </w:p>
    <w:p w14:paraId="32969EE6" w14:textId="1FBA3137" w:rsidR="001843E8" w:rsidRDefault="001843E8" w:rsidP="00F855FE">
      <w:pPr>
        <w:rPr>
          <w:rFonts w:ascii="Arial" w:hAnsi="Arial" w:cs="Arial"/>
          <w:b/>
          <w:bCs/>
        </w:rPr>
      </w:pPr>
      <w:r w:rsidRPr="00F855FE">
        <w:rPr>
          <w:rFonts w:ascii="Arial" w:hAnsi="Arial" w:cs="Arial"/>
          <w:b/>
          <w:bCs/>
        </w:rPr>
        <w:t>Item [2</w:t>
      </w:r>
      <w:r>
        <w:rPr>
          <w:rFonts w:ascii="Arial" w:hAnsi="Arial" w:cs="Arial"/>
          <w:b/>
          <w:bCs/>
        </w:rPr>
        <w:t xml:space="preserve">2] Schedule 4 </w:t>
      </w:r>
    </w:p>
    <w:p w14:paraId="17B72E3A" w14:textId="1DDC4EE8" w:rsidR="00E206AF" w:rsidRDefault="00C25FA6" w:rsidP="00C25FA6">
      <w:pPr>
        <w:rPr>
          <w:rFonts w:ascii="Arial" w:hAnsi="Arial" w:cs="Arial"/>
        </w:rPr>
      </w:pPr>
      <w:r w:rsidRPr="00543268">
        <w:rPr>
          <w:rFonts w:ascii="Arial" w:hAnsi="Arial" w:cs="Arial"/>
        </w:rPr>
        <w:t xml:space="preserve">This item inserts a new Schedule 4 </w:t>
      </w:r>
      <w:r>
        <w:rPr>
          <w:rFonts w:ascii="Arial" w:hAnsi="Arial" w:cs="Arial"/>
        </w:rPr>
        <w:t>‘Penalty amounts’</w:t>
      </w:r>
      <w:r w:rsidR="00166044">
        <w:rPr>
          <w:rFonts w:ascii="Arial" w:hAnsi="Arial" w:cs="Arial"/>
        </w:rPr>
        <w:t xml:space="preserve"> which includes</w:t>
      </w:r>
      <w:r w:rsidR="00DD0FBD">
        <w:rPr>
          <w:rFonts w:ascii="Arial" w:hAnsi="Arial" w:cs="Arial"/>
        </w:rPr>
        <w:t xml:space="preserve"> clauses 1-</w:t>
      </w:r>
      <w:r w:rsidR="00E4534A">
        <w:rPr>
          <w:rFonts w:ascii="Arial" w:hAnsi="Arial" w:cs="Arial"/>
        </w:rPr>
        <w:t xml:space="preserve">6. </w:t>
      </w:r>
    </w:p>
    <w:p w14:paraId="57BAFF29" w14:textId="29E40FAB" w:rsidR="00EF3969" w:rsidRPr="00543268" w:rsidRDefault="00EF3969" w:rsidP="00EF3969">
      <w:pPr>
        <w:rPr>
          <w:rFonts w:ascii="Arial" w:hAnsi="Arial" w:cs="Arial"/>
          <w:b/>
          <w:bCs/>
        </w:rPr>
      </w:pPr>
      <w:r>
        <w:rPr>
          <w:rFonts w:ascii="Arial" w:hAnsi="Arial" w:cs="Arial"/>
          <w:b/>
          <w:bCs/>
        </w:rPr>
        <w:t xml:space="preserve">Clause 1 </w:t>
      </w:r>
      <w:r w:rsidRPr="00543268">
        <w:rPr>
          <w:rFonts w:ascii="Arial" w:hAnsi="Arial" w:cs="Arial"/>
          <w:b/>
          <w:bCs/>
        </w:rPr>
        <w:t xml:space="preserve">Maximum monetary penalties – categories 1-3 </w:t>
      </w:r>
    </w:p>
    <w:p w14:paraId="2D5C55F9" w14:textId="037C5C7C" w:rsidR="00713660" w:rsidRDefault="00164972" w:rsidP="00713660">
      <w:pPr>
        <w:rPr>
          <w:rFonts w:ascii="Arial" w:hAnsi="Arial" w:cs="Arial"/>
        </w:rPr>
      </w:pPr>
      <w:r w:rsidRPr="00164972">
        <w:rPr>
          <w:rFonts w:ascii="Arial" w:hAnsi="Arial" w:cs="Arial"/>
        </w:rPr>
        <w:t xml:space="preserve">Clause 1 </w:t>
      </w:r>
      <w:r w:rsidR="00713660">
        <w:rPr>
          <w:rFonts w:ascii="Arial" w:hAnsi="Arial" w:cs="Arial"/>
        </w:rPr>
        <w:t xml:space="preserve">establishes the maximum penalty for offences under the Act where a category 1, category 2, or category 3 monetary penalty is specified. The maximum penalty is set out in the table to </w:t>
      </w:r>
      <w:r w:rsidR="008E7FD0" w:rsidRPr="00464B61">
        <w:rPr>
          <w:rFonts w:ascii="Arial" w:hAnsi="Arial" w:cs="Arial"/>
          <w:color w:val="000000" w:themeColor="text1"/>
        </w:rPr>
        <w:t>clause 1</w:t>
      </w:r>
      <w:r w:rsidR="00713660" w:rsidRPr="00464B61">
        <w:rPr>
          <w:rFonts w:ascii="Arial" w:hAnsi="Arial" w:cs="Arial"/>
          <w:color w:val="000000" w:themeColor="text1"/>
        </w:rPr>
        <w:t xml:space="preserve"> </w:t>
      </w:r>
      <w:r w:rsidR="00713660">
        <w:rPr>
          <w:rFonts w:ascii="Arial" w:hAnsi="Arial" w:cs="Arial"/>
        </w:rPr>
        <w:t xml:space="preserve">as indexed under clause </w:t>
      </w:r>
      <w:r w:rsidR="008B0E6C">
        <w:rPr>
          <w:rFonts w:ascii="Arial" w:hAnsi="Arial" w:cs="Arial"/>
        </w:rPr>
        <w:t>4</w:t>
      </w:r>
      <w:r w:rsidR="00713660">
        <w:rPr>
          <w:rFonts w:ascii="Arial" w:hAnsi="Arial" w:cs="Arial"/>
        </w:rPr>
        <w:t xml:space="preserve"> and rounded under clause </w:t>
      </w:r>
      <w:r w:rsidR="008B0E6C">
        <w:rPr>
          <w:rFonts w:ascii="Arial" w:hAnsi="Arial" w:cs="Arial"/>
        </w:rPr>
        <w:t>5</w:t>
      </w:r>
      <w:r w:rsidR="00713660">
        <w:rPr>
          <w:rFonts w:ascii="Arial" w:hAnsi="Arial" w:cs="Arial"/>
        </w:rPr>
        <w:t xml:space="preserve">: </w:t>
      </w:r>
    </w:p>
    <w:p w14:paraId="192BDCDB" w14:textId="77777777" w:rsidR="00681963" w:rsidRPr="00713660" w:rsidDel="00302F2F" w:rsidRDefault="00712772" w:rsidP="00F855FE">
      <w:pPr>
        <w:rPr>
          <w:rFonts w:ascii="Arial" w:hAnsi="Arial" w:cs="Arial"/>
          <w:color w:val="FF0000"/>
        </w:rPr>
      </w:pPr>
      <w:r>
        <w:rPr>
          <w:rFonts w:ascii="Arial" w:hAnsi="Arial" w:cs="Arial"/>
          <w:color w:val="FF0000"/>
        </w:rPr>
        <w:t xml:space="preserve">   </w:t>
      </w:r>
    </w:p>
    <w:tbl>
      <w:tblPr>
        <w:tblW w:w="7660" w:type="dxa"/>
        <w:tblInd w:w="612" w:type="dxa"/>
        <w:tblLook w:val="04A0" w:firstRow="1" w:lastRow="0" w:firstColumn="1" w:lastColumn="0" w:noHBand="0" w:noVBand="1"/>
      </w:tblPr>
      <w:tblGrid>
        <w:gridCol w:w="1827"/>
        <w:gridCol w:w="1864"/>
        <w:gridCol w:w="1904"/>
        <w:gridCol w:w="1843"/>
        <w:gridCol w:w="222"/>
      </w:tblGrid>
      <w:tr w:rsidR="002C1087" w:rsidRPr="00681963" w14:paraId="67F797C1" w14:textId="77777777" w:rsidTr="007A3001">
        <w:trPr>
          <w:gridAfter w:val="1"/>
          <w:wAfter w:w="222" w:type="dxa"/>
          <w:trHeight w:val="510"/>
        </w:trPr>
        <w:tc>
          <w:tcPr>
            <w:tcW w:w="1827" w:type="dxa"/>
            <w:vMerge w:val="restart"/>
            <w:tcBorders>
              <w:top w:val="nil"/>
              <w:left w:val="nil"/>
              <w:bottom w:val="nil"/>
              <w:right w:val="nil"/>
            </w:tcBorders>
            <w:shd w:val="clear" w:color="auto" w:fill="auto"/>
            <w:hideMark/>
          </w:tcPr>
          <w:p w14:paraId="42C474A2" w14:textId="77777777" w:rsidR="00681963" w:rsidRPr="00681963" w:rsidRDefault="00681963" w:rsidP="00224D8E">
            <w:pPr>
              <w:spacing w:after="0" w:line="240" w:lineRule="auto"/>
              <w:jc w:val="center"/>
              <w:rPr>
                <w:rFonts w:ascii="Arial" w:eastAsia="Times New Roman" w:hAnsi="Arial" w:cs="Arial"/>
                <w:b/>
                <w:bCs/>
                <w:color w:val="000000"/>
                <w:sz w:val="20"/>
                <w:szCs w:val="20"/>
                <w:lang w:eastAsia="en-AU"/>
              </w:rPr>
            </w:pPr>
            <w:r w:rsidRPr="00681963">
              <w:rPr>
                <w:rFonts w:ascii="Arial" w:eastAsia="Times New Roman" w:hAnsi="Arial" w:cs="Arial"/>
                <w:b/>
                <w:bCs/>
                <w:color w:val="000000"/>
                <w:sz w:val="20"/>
                <w:szCs w:val="20"/>
                <w:lang w:val="en-US" w:eastAsia="en-AU"/>
              </w:rPr>
              <w:t>Tier</w:t>
            </w:r>
          </w:p>
        </w:tc>
        <w:tc>
          <w:tcPr>
            <w:tcW w:w="1864" w:type="dxa"/>
            <w:vMerge w:val="restart"/>
            <w:tcBorders>
              <w:top w:val="nil"/>
              <w:left w:val="nil"/>
              <w:bottom w:val="nil"/>
              <w:right w:val="nil"/>
            </w:tcBorders>
            <w:shd w:val="clear" w:color="auto" w:fill="auto"/>
            <w:hideMark/>
          </w:tcPr>
          <w:p w14:paraId="05BB31BD" w14:textId="77777777" w:rsidR="00681963" w:rsidRPr="00681963" w:rsidRDefault="00681963" w:rsidP="00224D8E">
            <w:pPr>
              <w:spacing w:after="0" w:line="240" w:lineRule="auto"/>
              <w:jc w:val="center"/>
              <w:rPr>
                <w:rFonts w:ascii="Arial" w:eastAsia="Times New Roman" w:hAnsi="Arial" w:cs="Arial"/>
                <w:b/>
                <w:bCs/>
                <w:color w:val="000000"/>
                <w:sz w:val="20"/>
                <w:szCs w:val="20"/>
                <w:lang w:eastAsia="en-AU"/>
              </w:rPr>
            </w:pPr>
            <w:r w:rsidRPr="00681963">
              <w:rPr>
                <w:rFonts w:ascii="Arial" w:eastAsia="Times New Roman" w:hAnsi="Arial" w:cs="Arial"/>
                <w:b/>
                <w:bCs/>
                <w:color w:val="000000"/>
                <w:sz w:val="20"/>
                <w:szCs w:val="20"/>
                <w:lang w:val="en-US" w:eastAsia="en-AU"/>
              </w:rPr>
              <w:t>Maximum penalty—</w:t>
            </w:r>
            <w:r w:rsidRPr="00681963">
              <w:rPr>
                <w:rFonts w:ascii="Arial" w:eastAsia="Times New Roman" w:hAnsi="Arial" w:cs="Arial"/>
                <w:b/>
                <w:bCs/>
                <w:color w:val="000000"/>
                <w:sz w:val="20"/>
                <w:szCs w:val="20"/>
                <w:lang w:val="en-US" w:eastAsia="en-AU"/>
              </w:rPr>
              <w:br/>
              <w:t>individual (as a</w:t>
            </w:r>
            <w:r w:rsidRPr="00681963">
              <w:rPr>
                <w:rFonts w:ascii="Arial" w:eastAsia="Times New Roman" w:hAnsi="Arial" w:cs="Arial"/>
                <w:b/>
                <w:bCs/>
                <w:color w:val="000000"/>
                <w:sz w:val="20"/>
                <w:szCs w:val="20"/>
                <w:lang w:val="en-US" w:eastAsia="en-AU"/>
              </w:rPr>
              <w:br/>
              <w:t>person</w:t>
            </w:r>
            <w:r w:rsidRPr="00681963">
              <w:rPr>
                <w:rFonts w:ascii="Arial" w:eastAsia="Times New Roman" w:hAnsi="Arial" w:cs="Arial"/>
                <w:b/>
                <w:bCs/>
                <w:color w:val="000000"/>
                <w:sz w:val="20"/>
                <w:szCs w:val="20"/>
                <w:lang w:val="en-US" w:eastAsia="en-AU"/>
              </w:rPr>
              <w:br/>
              <w:t>conducting a</w:t>
            </w:r>
            <w:r w:rsidRPr="00681963">
              <w:rPr>
                <w:rFonts w:ascii="Arial" w:eastAsia="Times New Roman" w:hAnsi="Arial" w:cs="Arial"/>
                <w:b/>
                <w:bCs/>
                <w:color w:val="000000"/>
                <w:sz w:val="20"/>
                <w:szCs w:val="20"/>
                <w:lang w:val="en-US" w:eastAsia="en-AU"/>
              </w:rPr>
              <w:br/>
              <w:t>business or</w:t>
            </w:r>
            <w:r w:rsidRPr="00681963">
              <w:rPr>
                <w:rFonts w:ascii="Arial" w:eastAsia="Times New Roman" w:hAnsi="Arial" w:cs="Arial"/>
                <w:b/>
                <w:bCs/>
                <w:color w:val="000000"/>
                <w:sz w:val="20"/>
                <w:szCs w:val="20"/>
                <w:lang w:val="en-US" w:eastAsia="en-AU"/>
              </w:rPr>
              <w:br/>
              <w:t>undertaking or as</w:t>
            </w:r>
            <w:r w:rsidRPr="00681963">
              <w:rPr>
                <w:rFonts w:ascii="Arial" w:eastAsia="Times New Roman" w:hAnsi="Arial" w:cs="Arial"/>
                <w:b/>
                <w:bCs/>
                <w:color w:val="000000"/>
                <w:sz w:val="20"/>
                <w:szCs w:val="20"/>
                <w:lang w:val="en-US" w:eastAsia="en-AU"/>
              </w:rPr>
              <w:br/>
              <w:t>an officer of a</w:t>
            </w:r>
            <w:r w:rsidRPr="00681963">
              <w:rPr>
                <w:rFonts w:ascii="Arial" w:eastAsia="Times New Roman" w:hAnsi="Arial" w:cs="Arial"/>
                <w:b/>
                <w:bCs/>
                <w:color w:val="000000"/>
                <w:sz w:val="20"/>
                <w:szCs w:val="20"/>
                <w:lang w:val="en-US" w:eastAsia="en-AU"/>
              </w:rPr>
              <w:br/>
              <w:t>person</w:t>
            </w:r>
            <w:r w:rsidRPr="00681963">
              <w:rPr>
                <w:rFonts w:ascii="Arial" w:eastAsia="Times New Roman" w:hAnsi="Arial" w:cs="Arial"/>
                <w:b/>
                <w:bCs/>
                <w:color w:val="000000"/>
                <w:sz w:val="20"/>
                <w:szCs w:val="20"/>
                <w:lang w:val="en-US" w:eastAsia="en-AU"/>
              </w:rPr>
              <w:br/>
              <w:t>conducting a</w:t>
            </w:r>
            <w:r w:rsidRPr="00681963">
              <w:rPr>
                <w:rFonts w:ascii="Arial" w:eastAsia="Times New Roman" w:hAnsi="Arial" w:cs="Arial"/>
                <w:b/>
                <w:bCs/>
                <w:color w:val="000000"/>
                <w:sz w:val="20"/>
                <w:szCs w:val="20"/>
                <w:lang w:val="en-US" w:eastAsia="en-AU"/>
              </w:rPr>
              <w:br/>
              <w:t>business or undertaking)</w:t>
            </w:r>
          </w:p>
        </w:tc>
        <w:tc>
          <w:tcPr>
            <w:tcW w:w="1904" w:type="dxa"/>
            <w:vMerge w:val="restart"/>
            <w:tcBorders>
              <w:top w:val="nil"/>
              <w:left w:val="nil"/>
              <w:bottom w:val="nil"/>
              <w:right w:val="nil"/>
            </w:tcBorders>
            <w:shd w:val="clear" w:color="auto" w:fill="auto"/>
            <w:hideMark/>
          </w:tcPr>
          <w:p w14:paraId="796FCCB0" w14:textId="77777777" w:rsidR="00681963" w:rsidRPr="00681963" w:rsidRDefault="00681963" w:rsidP="00224D8E">
            <w:pPr>
              <w:spacing w:after="0" w:line="240" w:lineRule="auto"/>
              <w:jc w:val="center"/>
              <w:rPr>
                <w:rFonts w:ascii="Arial" w:eastAsia="Times New Roman" w:hAnsi="Arial" w:cs="Arial"/>
                <w:b/>
                <w:bCs/>
                <w:color w:val="000000"/>
                <w:sz w:val="20"/>
                <w:szCs w:val="20"/>
                <w:lang w:eastAsia="en-AU"/>
              </w:rPr>
            </w:pPr>
            <w:r w:rsidRPr="00681963">
              <w:rPr>
                <w:rFonts w:ascii="Arial" w:eastAsia="Times New Roman" w:hAnsi="Arial" w:cs="Arial"/>
                <w:b/>
                <w:bCs/>
                <w:color w:val="000000"/>
                <w:sz w:val="20"/>
                <w:szCs w:val="20"/>
                <w:lang w:val="en-US" w:eastAsia="en-AU"/>
              </w:rPr>
              <w:t>Maximum penalty— individual (otherwise</w:t>
            </w:r>
          </w:p>
        </w:tc>
        <w:tc>
          <w:tcPr>
            <w:tcW w:w="1843" w:type="dxa"/>
            <w:vMerge w:val="restart"/>
            <w:tcBorders>
              <w:top w:val="nil"/>
              <w:left w:val="nil"/>
              <w:bottom w:val="nil"/>
              <w:right w:val="nil"/>
            </w:tcBorders>
            <w:shd w:val="clear" w:color="auto" w:fill="auto"/>
            <w:hideMark/>
          </w:tcPr>
          <w:p w14:paraId="510C8282" w14:textId="77777777" w:rsidR="00681963" w:rsidRPr="00681963" w:rsidRDefault="00681963" w:rsidP="00224D8E">
            <w:pPr>
              <w:spacing w:after="0" w:line="240" w:lineRule="auto"/>
              <w:jc w:val="center"/>
              <w:rPr>
                <w:rFonts w:ascii="Arial" w:eastAsia="Times New Roman" w:hAnsi="Arial" w:cs="Arial"/>
                <w:b/>
                <w:bCs/>
                <w:color w:val="000000"/>
                <w:sz w:val="20"/>
                <w:szCs w:val="20"/>
                <w:lang w:eastAsia="en-AU"/>
              </w:rPr>
            </w:pPr>
            <w:r w:rsidRPr="00681963">
              <w:rPr>
                <w:rFonts w:ascii="Arial" w:eastAsia="Times New Roman" w:hAnsi="Arial" w:cs="Arial"/>
                <w:b/>
                <w:bCs/>
                <w:color w:val="000000"/>
                <w:sz w:val="20"/>
                <w:szCs w:val="20"/>
                <w:lang w:val="en-US" w:eastAsia="en-AU"/>
              </w:rPr>
              <w:t>Maximum penalty—body corporate</w:t>
            </w:r>
          </w:p>
        </w:tc>
      </w:tr>
      <w:tr w:rsidR="002C1087" w:rsidRPr="00681963" w14:paraId="1C7CC2B2" w14:textId="77777777" w:rsidTr="007A3001">
        <w:trPr>
          <w:trHeight w:val="300"/>
        </w:trPr>
        <w:tc>
          <w:tcPr>
            <w:tcW w:w="1827" w:type="dxa"/>
            <w:vMerge/>
            <w:tcBorders>
              <w:top w:val="nil"/>
              <w:left w:val="nil"/>
              <w:bottom w:val="nil"/>
              <w:right w:val="nil"/>
            </w:tcBorders>
            <w:vAlign w:val="center"/>
            <w:hideMark/>
          </w:tcPr>
          <w:p w14:paraId="2085C1D9"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864" w:type="dxa"/>
            <w:vMerge/>
            <w:tcBorders>
              <w:top w:val="nil"/>
              <w:left w:val="nil"/>
              <w:bottom w:val="nil"/>
              <w:right w:val="nil"/>
            </w:tcBorders>
            <w:vAlign w:val="center"/>
            <w:hideMark/>
          </w:tcPr>
          <w:p w14:paraId="466A698A"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904" w:type="dxa"/>
            <w:vMerge/>
            <w:tcBorders>
              <w:top w:val="nil"/>
              <w:left w:val="nil"/>
              <w:bottom w:val="nil"/>
              <w:right w:val="nil"/>
            </w:tcBorders>
            <w:vAlign w:val="center"/>
            <w:hideMark/>
          </w:tcPr>
          <w:p w14:paraId="7B5FA673"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843" w:type="dxa"/>
            <w:vMerge/>
            <w:tcBorders>
              <w:top w:val="nil"/>
              <w:left w:val="nil"/>
              <w:bottom w:val="nil"/>
              <w:right w:val="nil"/>
            </w:tcBorders>
            <w:vAlign w:val="center"/>
            <w:hideMark/>
          </w:tcPr>
          <w:p w14:paraId="1F818962"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478034F7" w14:textId="77777777" w:rsidR="00681963" w:rsidRPr="00681963" w:rsidRDefault="00681963" w:rsidP="00681963">
            <w:pPr>
              <w:spacing w:after="0" w:line="240" w:lineRule="auto"/>
              <w:rPr>
                <w:rFonts w:ascii="Arial" w:eastAsia="Times New Roman" w:hAnsi="Arial" w:cs="Arial"/>
                <w:b/>
                <w:bCs/>
                <w:color w:val="000000"/>
                <w:sz w:val="20"/>
                <w:szCs w:val="20"/>
                <w:lang w:eastAsia="en-AU"/>
              </w:rPr>
            </w:pPr>
          </w:p>
        </w:tc>
      </w:tr>
      <w:tr w:rsidR="002C1087" w:rsidRPr="00681963" w14:paraId="705F918F" w14:textId="77777777" w:rsidTr="007A3001">
        <w:trPr>
          <w:trHeight w:val="300"/>
        </w:trPr>
        <w:tc>
          <w:tcPr>
            <w:tcW w:w="1827" w:type="dxa"/>
            <w:vMerge/>
            <w:tcBorders>
              <w:top w:val="nil"/>
              <w:left w:val="nil"/>
              <w:bottom w:val="nil"/>
              <w:right w:val="nil"/>
            </w:tcBorders>
            <w:vAlign w:val="center"/>
            <w:hideMark/>
          </w:tcPr>
          <w:p w14:paraId="7945EDC5"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864" w:type="dxa"/>
            <w:vMerge/>
            <w:tcBorders>
              <w:top w:val="nil"/>
              <w:left w:val="nil"/>
              <w:bottom w:val="nil"/>
              <w:right w:val="nil"/>
            </w:tcBorders>
            <w:vAlign w:val="center"/>
            <w:hideMark/>
          </w:tcPr>
          <w:p w14:paraId="0ABF86DF"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904" w:type="dxa"/>
            <w:vMerge/>
            <w:tcBorders>
              <w:top w:val="nil"/>
              <w:left w:val="nil"/>
              <w:bottom w:val="nil"/>
              <w:right w:val="nil"/>
            </w:tcBorders>
            <w:vAlign w:val="center"/>
            <w:hideMark/>
          </w:tcPr>
          <w:p w14:paraId="70A5C67E"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843" w:type="dxa"/>
            <w:vMerge/>
            <w:tcBorders>
              <w:top w:val="nil"/>
              <w:left w:val="nil"/>
              <w:bottom w:val="nil"/>
              <w:right w:val="nil"/>
            </w:tcBorders>
            <w:vAlign w:val="center"/>
            <w:hideMark/>
          </w:tcPr>
          <w:p w14:paraId="22BCB36E"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3C3C4CEA" w14:textId="77777777" w:rsidR="00681963" w:rsidRPr="00681963" w:rsidRDefault="00681963" w:rsidP="00681963">
            <w:pPr>
              <w:spacing w:after="0" w:line="240" w:lineRule="auto"/>
              <w:rPr>
                <w:rFonts w:ascii="Times New Roman" w:eastAsia="Times New Roman" w:hAnsi="Times New Roman" w:cs="Times New Roman"/>
                <w:sz w:val="20"/>
                <w:szCs w:val="20"/>
                <w:lang w:eastAsia="en-AU"/>
              </w:rPr>
            </w:pPr>
          </w:p>
        </w:tc>
      </w:tr>
      <w:tr w:rsidR="002C1087" w:rsidRPr="00681963" w14:paraId="04ACB0E6" w14:textId="77777777" w:rsidTr="007A3001">
        <w:trPr>
          <w:trHeight w:val="420"/>
        </w:trPr>
        <w:tc>
          <w:tcPr>
            <w:tcW w:w="1827" w:type="dxa"/>
            <w:vMerge/>
            <w:tcBorders>
              <w:top w:val="nil"/>
              <w:left w:val="nil"/>
              <w:bottom w:val="nil"/>
              <w:right w:val="nil"/>
            </w:tcBorders>
            <w:vAlign w:val="center"/>
            <w:hideMark/>
          </w:tcPr>
          <w:p w14:paraId="1D601203"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864" w:type="dxa"/>
            <w:vMerge/>
            <w:tcBorders>
              <w:top w:val="nil"/>
              <w:left w:val="nil"/>
              <w:bottom w:val="nil"/>
              <w:right w:val="nil"/>
            </w:tcBorders>
            <w:vAlign w:val="center"/>
            <w:hideMark/>
          </w:tcPr>
          <w:p w14:paraId="099FC8B2"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904" w:type="dxa"/>
            <w:vMerge/>
            <w:tcBorders>
              <w:top w:val="nil"/>
              <w:left w:val="nil"/>
              <w:bottom w:val="nil"/>
              <w:right w:val="nil"/>
            </w:tcBorders>
            <w:vAlign w:val="center"/>
            <w:hideMark/>
          </w:tcPr>
          <w:p w14:paraId="51E312B4"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843" w:type="dxa"/>
            <w:vMerge/>
            <w:tcBorders>
              <w:top w:val="nil"/>
              <w:left w:val="nil"/>
              <w:bottom w:val="nil"/>
              <w:right w:val="nil"/>
            </w:tcBorders>
            <w:vAlign w:val="center"/>
            <w:hideMark/>
          </w:tcPr>
          <w:p w14:paraId="0F516C85"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41BCD7B9" w14:textId="77777777" w:rsidR="00681963" w:rsidRPr="00681963" w:rsidRDefault="00681963" w:rsidP="00681963">
            <w:pPr>
              <w:spacing w:after="0" w:line="240" w:lineRule="auto"/>
              <w:rPr>
                <w:rFonts w:ascii="Times New Roman" w:eastAsia="Times New Roman" w:hAnsi="Times New Roman" w:cs="Times New Roman"/>
                <w:sz w:val="20"/>
                <w:szCs w:val="20"/>
                <w:lang w:eastAsia="en-AU"/>
              </w:rPr>
            </w:pPr>
          </w:p>
        </w:tc>
      </w:tr>
      <w:tr w:rsidR="002C1087" w:rsidRPr="00681963" w14:paraId="20FD0762" w14:textId="77777777" w:rsidTr="007A3001">
        <w:trPr>
          <w:trHeight w:val="1755"/>
        </w:trPr>
        <w:tc>
          <w:tcPr>
            <w:tcW w:w="1827" w:type="dxa"/>
            <w:vMerge/>
            <w:tcBorders>
              <w:top w:val="nil"/>
              <w:left w:val="nil"/>
              <w:bottom w:val="nil"/>
              <w:right w:val="nil"/>
            </w:tcBorders>
            <w:vAlign w:val="center"/>
            <w:hideMark/>
          </w:tcPr>
          <w:p w14:paraId="700B0F1D"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864" w:type="dxa"/>
            <w:vMerge/>
            <w:tcBorders>
              <w:top w:val="nil"/>
              <w:left w:val="nil"/>
              <w:bottom w:val="single" w:sz="4" w:space="0" w:color="000000" w:themeColor="text1"/>
              <w:right w:val="nil"/>
            </w:tcBorders>
            <w:vAlign w:val="center"/>
            <w:hideMark/>
          </w:tcPr>
          <w:p w14:paraId="734FC823"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904" w:type="dxa"/>
            <w:vMerge/>
            <w:tcBorders>
              <w:top w:val="nil"/>
              <w:left w:val="nil"/>
              <w:bottom w:val="nil"/>
              <w:right w:val="nil"/>
            </w:tcBorders>
            <w:vAlign w:val="center"/>
            <w:hideMark/>
          </w:tcPr>
          <w:p w14:paraId="56BDE99D"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1843" w:type="dxa"/>
            <w:vMerge/>
            <w:tcBorders>
              <w:top w:val="nil"/>
              <w:left w:val="nil"/>
              <w:bottom w:val="nil"/>
              <w:right w:val="nil"/>
            </w:tcBorders>
            <w:vAlign w:val="center"/>
            <w:hideMark/>
          </w:tcPr>
          <w:p w14:paraId="4EB81276" w14:textId="77777777" w:rsidR="00681963" w:rsidRPr="00681963" w:rsidRDefault="00681963"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06A91E53" w14:textId="77777777" w:rsidR="00681963" w:rsidRPr="00681963" w:rsidRDefault="00681963" w:rsidP="00681963">
            <w:pPr>
              <w:spacing w:after="0" w:line="240" w:lineRule="auto"/>
              <w:rPr>
                <w:rFonts w:ascii="Times New Roman" w:eastAsia="Times New Roman" w:hAnsi="Times New Roman" w:cs="Times New Roman"/>
                <w:sz w:val="20"/>
                <w:szCs w:val="20"/>
                <w:lang w:eastAsia="en-AU"/>
              </w:rPr>
            </w:pPr>
          </w:p>
        </w:tc>
      </w:tr>
      <w:tr w:rsidR="002C1087" w:rsidRPr="00681963" w14:paraId="391F181E" w14:textId="77777777" w:rsidTr="007A3001">
        <w:trPr>
          <w:trHeight w:val="300"/>
        </w:trPr>
        <w:tc>
          <w:tcPr>
            <w:tcW w:w="1827" w:type="dxa"/>
            <w:tcBorders>
              <w:top w:val="single" w:sz="8" w:space="0" w:color="auto"/>
              <w:left w:val="nil"/>
              <w:bottom w:val="nil"/>
              <w:right w:val="nil"/>
            </w:tcBorders>
            <w:shd w:val="clear" w:color="auto" w:fill="auto"/>
            <w:vAlign w:val="center"/>
            <w:hideMark/>
          </w:tcPr>
          <w:p w14:paraId="2610FB0B" w14:textId="77777777" w:rsidR="00681963" w:rsidRPr="00681963" w:rsidRDefault="00681963" w:rsidP="00224D8E">
            <w:pPr>
              <w:spacing w:after="0" w:line="240" w:lineRule="auto"/>
              <w:jc w:val="center"/>
              <w:rPr>
                <w:rFonts w:ascii="Times New Roman" w:eastAsia="Times New Roman" w:hAnsi="Times New Roman" w:cs="Times New Roman"/>
                <w:color w:val="000000"/>
                <w:sz w:val="20"/>
                <w:szCs w:val="20"/>
                <w:lang w:eastAsia="en-AU"/>
              </w:rPr>
            </w:pPr>
            <w:r w:rsidRPr="00681963">
              <w:rPr>
                <w:rFonts w:ascii="Times New Roman" w:eastAsia="Times New Roman" w:hAnsi="Times New Roman" w:cs="Times New Roman"/>
                <w:color w:val="000000"/>
                <w:sz w:val="20"/>
                <w:szCs w:val="20"/>
                <w:lang w:val="en-US" w:eastAsia="en-AU"/>
              </w:rPr>
              <w:lastRenderedPageBreak/>
              <w:t>category 1</w:t>
            </w:r>
          </w:p>
        </w:tc>
        <w:tc>
          <w:tcPr>
            <w:tcW w:w="1864" w:type="dxa"/>
            <w:tcBorders>
              <w:top w:val="single" w:sz="4" w:space="0" w:color="000000" w:themeColor="text1"/>
              <w:left w:val="nil"/>
              <w:bottom w:val="nil"/>
              <w:right w:val="nil"/>
            </w:tcBorders>
            <w:shd w:val="clear" w:color="auto" w:fill="auto"/>
            <w:vAlign w:val="center"/>
            <w:hideMark/>
          </w:tcPr>
          <w:p w14:paraId="747B9090" w14:textId="77777777" w:rsidR="00681963" w:rsidRPr="00681963" w:rsidRDefault="00681963" w:rsidP="00224D8E">
            <w:pPr>
              <w:spacing w:after="0" w:line="240" w:lineRule="auto"/>
              <w:jc w:val="center"/>
              <w:rPr>
                <w:rFonts w:ascii="Times New Roman" w:eastAsia="Times New Roman" w:hAnsi="Times New Roman" w:cs="Times New Roman"/>
                <w:color w:val="000000"/>
                <w:sz w:val="20"/>
                <w:szCs w:val="20"/>
                <w:lang w:eastAsia="en-AU"/>
              </w:rPr>
            </w:pPr>
            <w:r w:rsidRPr="00681963">
              <w:rPr>
                <w:rFonts w:ascii="Times New Roman" w:eastAsia="Times New Roman" w:hAnsi="Times New Roman" w:cs="Times New Roman"/>
                <w:color w:val="000000"/>
                <w:sz w:val="20"/>
                <w:szCs w:val="20"/>
                <w:lang w:val="en-US" w:eastAsia="en-AU"/>
              </w:rPr>
              <w:t>$2 085 000</w:t>
            </w:r>
          </w:p>
        </w:tc>
        <w:tc>
          <w:tcPr>
            <w:tcW w:w="1904" w:type="dxa"/>
            <w:tcBorders>
              <w:top w:val="single" w:sz="4" w:space="0" w:color="000000" w:themeColor="text1"/>
              <w:left w:val="nil"/>
              <w:bottom w:val="nil"/>
              <w:right w:val="nil"/>
            </w:tcBorders>
            <w:shd w:val="clear" w:color="auto" w:fill="auto"/>
            <w:vAlign w:val="center"/>
            <w:hideMark/>
          </w:tcPr>
          <w:p w14:paraId="4365CDA9" w14:textId="77777777" w:rsidR="00681963" w:rsidRPr="00681963" w:rsidRDefault="00681963" w:rsidP="00224D8E">
            <w:pPr>
              <w:spacing w:after="0" w:line="240" w:lineRule="auto"/>
              <w:jc w:val="center"/>
              <w:rPr>
                <w:rFonts w:ascii="Times New Roman" w:eastAsia="Times New Roman" w:hAnsi="Times New Roman" w:cs="Times New Roman"/>
                <w:color w:val="000000"/>
                <w:sz w:val="20"/>
                <w:szCs w:val="20"/>
                <w:lang w:eastAsia="en-AU"/>
              </w:rPr>
            </w:pPr>
            <w:r w:rsidRPr="00681963">
              <w:rPr>
                <w:rFonts w:ascii="Times New Roman" w:eastAsia="Times New Roman" w:hAnsi="Times New Roman" w:cs="Times New Roman"/>
                <w:color w:val="000000"/>
                <w:sz w:val="20"/>
                <w:szCs w:val="20"/>
                <w:lang w:val="en-US" w:eastAsia="en-AU"/>
              </w:rPr>
              <w:t>$1 042 000</w:t>
            </w:r>
          </w:p>
        </w:tc>
        <w:tc>
          <w:tcPr>
            <w:tcW w:w="1843" w:type="dxa"/>
            <w:tcBorders>
              <w:top w:val="single" w:sz="4" w:space="0" w:color="000000" w:themeColor="text1"/>
              <w:left w:val="nil"/>
              <w:bottom w:val="nil"/>
              <w:right w:val="nil"/>
            </w:tcBorders>
            <w:shd w:val="clear" w:color="auto" w:fill="auto"/>
            <w:vAlign w:val="center"/>
            <w:hideMark/>
          </w:tcPr>
          <w:p w14:paraId="338FB538" w14:textId="77777777" w:rsidR="00681963" w:rsidRPr="00681963" w:rsidRDefault="00681963" w:rsidP="00224D8E">
            <w:pPr>
              <w:spacing w:after="0" w:line="240" w:lineRule="auto"/>
              <w:jc w:val="center"/>
              <w:rPr>
                <w:rFonts w:ascii="Times New Roman" w:eastAsia="Times New Roman" w:hAnsi="Times New Roman" w:cs="Times New Roman"/>
                <w:color w:val="000000"/>
                <w:sz w:val="20"/>
                <w:szCs w:val="20"/>
                <w:lang w:eastAsia="en-AU"/>
              </w:rPr>
            </w:pPr>
            <w:r w:rsidRPr="00681963">
              <w:rPr>
                <w:rFonts w:ascii="Times New Roman" w:eastAsia="Times New Roman" w:hAnsi="Times New Roman" w:cs="Times New Roman"/>
                <w:color w:val="000000"/>
                <w:sz w:val="20"/>
                <w:szCs w:val="20"/>
                <w:lang w:val="en-US" w:eastAsia="en-AU"/>
              </w:rPr>
              <w:t>$10 425 000</w:t>
            </w:r>
          </w:p>
        </w:tc>
        <w:tc>
          <w:tcPr>
            <w:tcW w:w="222" w:type="dxa"/>
            <w:vAlign w:val="center"/>
            <w:hideMark/>
          </w:tcPr>
          <w:p w14:paraId="2B28039B" w14:textId="77777777" w:rsidR="00681963" w:rsidRPr="00681963" w:rsidRDefault="00681963" w:rsidP="00681963">
            <w:pPr>
              <w:spacing w:after="0" w:line="240" w:lineRule="auto"/>
              <w:rPr>
                <w:rFonts w:ascii="Times New Roman" w:eastAsia="Times New Roman" w:hAnsi="Times New Roman" w:cs="Times New Roman"/>
                <w:sz w:val="20"/>
                <w:szCs w:val="20"/>
                <w:lang w:eastAsia="en-AU"/>
              </w:rPr>
            </w:pPr>
          </w:p>
        </w:tc>
      </w:tr>
      <w:tr w:rsidR="002C1087" w:rsidRPr="00681963" w14:paraId="2A60C7EE" w14:textId="77777777" w:rsidTr="007A3001">
        <w:trPr>
          <w:trHeight w:val="300"/>
        </w:trPr>
        <w:tc>
          <w:tcPr>
            <w:tcW w:w="1827" w:type="dxa"/>
            <w:tcBorders>
              <w:top w:val="nil"/>
              <w:left w:val="nil"/>
              <w:bottom w:val="nil"/>
              <w:right w:val="nil"/>
            </w:tcBorders>
            <w:shd w:val="clear" w:color="auto" w:fill="auto"/>
            <w:vAlign w:val="center"/>
            <w:hideMark/>
          </w:tcPr>
          <w:p w14:paraId="78ED0352" w14:textId="77777777" w:rsidR="00681963" w:rsidRPr="00681963" w:rsidRDefault="00681963" w:rsidP="00224D8E">
            <w:pPr>
              <w:spacing w:after="0" w:line="240" w:lineRule="auto"/>
              <w:jc w:val="center"/>
              <w:rPr>
                <w:rFonts w:ascii="Times New Roman" w:eastAsia="Times New Roman" w:hAnsi="Times New Roman" w:cs="Times New Roman"/>
                <w:color w:val="000000"/>
                <w:sz w:val="20"/>
                <w:szCs w:val="20"/>
                <w:lang w:eastAsia="en-AU"/>
              </w:rPr>
            </w:pPr>
            <w:r w:rsidRPr="00681963">
              <w:rPr>
                <w:rFonts w:ascii="Times New Roman" w:eastAsia="Times New Roman" w:hAnsi="Times New Roman" w:cs="Times New Roman"/>
                <w:color w:val="000000"/>
                <w:sz w:val="20"/>
                <w:szCs w:val="20"/>
                <w:lang w:val="en-US" w:eastAsia="en-AU"/>
              </w:rPr>
              <w:t>category 2</w:t>
            </w:r>
          </w:p>
        </w:tc>
        <w:tc>
          <w:tcPr>
            <w:tcW w:w="1864" w:type="dxa"/>
            <w:tcBorders>
              <w:top w:val="nil"/>
              <w:left w:val="nil"/>
              <w:bottom w:val="nil"/>
              <w:right w:val="nil"/>
            </w:tcBorders>
            <w:shd w:val="clear" w:color="auto" w:fill="auto"/>
            <w:vAlign w:val="center"/>
            <w:hideMark/>
          </w:tcPr>
          <w:p w14:paraId="37A56B7B" w14:textId="705BB8A7" w:rsidR="00681963" w:rsidRPr="00681963" w:rsidRDefault="0082607B"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val="en-US" w:eastAsia="en-AU"/>
              </w:rPr>
              <w:t xml:space="preserve">       </w:t>
            </w:r>
            <w:r w:rsidR="00681963" w:rsidRPr="00681963">
              <w:rPr>
                <w:rFonts w:ascii="Times New Roman" w:eastAsia="Times New Roman" w:hAnsi="Times New Roman" w:cs="Times New Roman"/>
                <w:color w:val="000000"/>
                <w:sz w:val="20"/>
                <w:szCs w:val="20"/>
                <w:lang w:val="en-US" w:eastAsia="en-AU"/>
              </w:rPr>
              <w:t>$418 000</w:t>
            </w:r>
          </w:p>
        </w:tc>
        <w:tc>
          <w:tcPr>
            <w:tcW w:w="1904" w:type="dxa"/>
            <w:tcBorders>
              <w:top w:val="nil"/>
              <w:left w:val="nil"/>
              <w:bottom w:val="nil"/>
              <w:right w:val="nil"/>
            </w:tcBorders>
            <w:shd w:val="clear" w:color="auto" w:fill="auto"/>
            <w:vAlign w:val="center"/>
            <w:hideMark/>
          </w:tcPr>
          <w:p w14:paraId="60192FEA" w14:textId="5823E031" w:rsidR="00681963" w:rsidRPr="00681963" w:rsidRDefault="0082607B"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val="en-US" w:eastAsia="en-AU"/>
              </w:rPr>
              <w:t xml:space="preserve">        </w:t>
            </w:r>
            <w:r w:rsidR="00681963" w:rsidRPr="00681963">
              <w:rPr>
                <w:rFonts w:ascii="Times New Roman" w:eastAsia="Times New Roman" w:hAnsi="Times New Roman" w:cs="Times New Roman"/>
                <w:color w:val="000000"/>
                <w:sz w:val="20"/>
                <w:szCs w:val="20"/>
                <w:lang w:val="en-US" w:eastAsia="en-AU"/>
              </w:rPr>
              <w:t>$209 000</w:t>
            </w:r>
          </w:p>
        </w:tc>
        <w:tc>
          <w:tcPr>
            <w:tcW w:w="1843" w:type="dxa"/>
            <w:tcBorders>
              <w:top w:val="nil"/>
              <w:left w:val="nil"/>
              <w:bottom w:val="nil"/>
              <w:right w:val="nil"/>
            </w:tcBorders>
            <w:shd w:val="clear" w:color="auto" w:fill="auto"/>
            <w:vAlign w:val="center"/>
            <w:hideMark/>
          </w:tcPr>
          <w:p w14:paraId="415002DE" w14:textId="132C1008" w:rsidR="00681963" w:rsidRPr="00681963" w:rsidRDefault="0082607B"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val="en-US" w:eastAsia="en-AU"/>
              </w:rPr>
              <w:t xml:space="preserve">      </w:t>
            </w:r>
            <w:r w:rsidR="00681963" w:rsidRPr="00681963">
              <w:rPr>
                <w:rFonts w:ascii="Times New Roman" w:eastAsia="Times New Roman" w:hAnsi="Times New Roman" w:cs="Times New Roman"/>
                <w:color w:val="000000"/>
                <w:sz w:val="20"/>
                <w:szCs w:val="20"/>
                <w:lang w:val="en-US" w:eastAsia="en-AU"/>
              </w:rPr>
              <w:t>$2 090 000</w:t>
            </w:r>
          </w:p>
        </w:tc>
        <w:tc>
          <w:tcPr>
            <w:tcW w:w="222" w:type="dxa"/>
            <w:vAlign w:val="center"/>
            <w:hideMark/>
          </w:tcPr>
          <w:p w14:paraId="358AD6D7" w14:textId="77777777" w:rsidR="00681963" w:rsidRPr="00681963" w:rsidRDefault="00681963" w:rsidP="00681963">
            <w:pPr>
              <w:spacing w:after="0" w:line="240" w:lineRule="auto"/>
              <w:rPr>
                <w:rFonts w:ascii="Times New Roman" w:eastAsia="Times New Roman" w:hAnsi="Times New Roman" w:cs="Times New Roman"/>
                <w:sz w:val="20"/>
                <w:szCs w:val="20"/>
                <w:lang w:eastAsia="en-AU"/>
              </w:rPr>
            </w:pPr>
          </w:p>
        </w:tc>
      </w:tr>
      <w:tr w:rsidR="002C1087" w:rsidRPr="00681963" w14:paraId="6749A659" w14:textId="77777777" w:rsidTr="007A3001">
        <w:trPr>
          <w:trHeight w:val="315"/>
        </w:trPr>
        <w:tc>
          <w:tcPr>
            <w:tcW w:w="1827" w:type="dxa"/>
            <w:tcBorders>
              <w:top w:val="nil"/>
              <w:left w:val="nil"/>
              <w:bottom w:val="single" w:sz="8" w:space="0" w:color="auto"/>
              <w:right w:val="nil"/>
            </w:tcBorders>
            <w:shd w:val="clear" w:color="auto" w:fill="auto"/>
            <w:vAlign w:val="center"/>
            <w:hideMark/>
          </w:tcPr>
          <w:p w14:paraId="5DE2B66C" w14:textId="77777777" w:rsidR="00681963" w:rsidRPr="00681963" w:rsidRDefault="00681963" w:rsidP="00224D8E">
            <w:pPr>
              <w:spacing w:after="0" w:line="240" w:lineRule="auto"/>
              <w:jc w:val="center"/>
              <w:rPr>
                <w:rFonts w:ascii="Times New Roman" w:eastAsia="Times New Roman" w:hAnsi="Times New Roman" w:cs="Times New Roman"/>
                <w:color w:val="000000"/>
                <w:sz w:val="20"/>
                <w:szCs w:val="20"/>
                <w:lang w:eastAsia="en-AU"/>
              </w:rPr>
            </w:pPr>
            <w:r w:rsidRPr="00681963">
              <w:rPr>
                <w:rFonts w:ascii="Times New Roman" w:eastAsia="Times New Roman" w:hAnsi="Times New Roman" w:cs="Times New Roman"/>
                <w:color w:val="000000"/>
                <w:sz w:val="20"/>
                <w:szCs w:val="20"/>
                <w:lang w:val="en-US" w:eastAsia="en-AU"/>
              </w:rPr>
              <w:t>category 3</w:t>
            </w:r>
          </w:p>
        </w:tc>
        <w:tc>
          <w:tcPr>
            <w:tcW w:w="1864" w:type="dxa"/>
            <w:tcBorders>
              <w:top w:val="nil"/>
              <w:left w:val="nil"/>
              <w:bottom w:val="single" w:sz="8" w:space="0" w:color="auto"/>
              <w:right w:val="nil"/>
            </w:tcBorders>
            <w:shd w:val="clear" w:color="auto" w:fill="auto"/>
            <w:vAlign w:val="center"/>
            <w:hideMark/>
          </w:tcPr>
          <w:p w14:paraId="5D7D3994" w14:textId="145D779E" w:rsidR="00681963" w:rsidRPr="00681963" w:rsidRDefault="0082607B"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val="en-US" w:eastAsia="en-AU"/>
              </w:rPr>
              <w:t xml:space="preserve">       </w:t>
            </w:r>
            <w:r w:rsidR="00681963" w:rsidRPr="00681963">
              <w:rPr>
                <w:rFonts w:ascii="Times New Roman" w:eastAsia="Times New Roman" w:hAnsi="Times New Roman" w:cs="Times New Roman"/>
                <w:color w:val="000000"/>
                <w:sz w:val="20"/>
                <w:szCs w:val="20"/>
                <w:lang w:val="en-US" w:eastAsia="en-AU"/>
              </w:rPr>
              <w:t>$140 000</w:t>
            </w:r>
          </w:p>
        </w:tc>
        <w:tc>
          <w:tcPr>
            <w:tcW w:w="1904" w:type="dxa"/>
            <w:tcBorders>
              <w:top w:val="nil"/>
              <w:left w:val="nil"/>
              <w:bottom w:val="single" w:sz="8" w:space="0" w:color="auto"/>
              <w:right w:val="nil"/>
            </w:tcBorders>
            <w:shd w:val="clear" w:color="auto" w:fill="auto"/>
            <w:vAlign w:val="center"/>
            <w:hideMark/>
          </w:tcPr>
          <w:p w14:paraId="2816D5A2" w14:textId="5F8AB1E1" w:rsidR="00681963" w:rsidRPr="00681963" w:rsidRDefault="0082607B"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val="en-US" w:eastAsia="en-AU"/>
              </w:rPr>
              <w:t xml:space="preserve">        </w:t>
            </w:r>
            <w:r w:rsidR="00681963" w:rsidRPr="00681963">
              <w:rPr>
                <w:rFonts w:ascii="Times New Roman" w:eastAsia="Times New Roman" w:hAnsi="Times New Roman" w:cs="Times New Roman"/>
                <w:color w:val="000000"/>
                <w:sz w:val="20"/>
                <w:szCs w:val="20"/>
                <w:lang w:val="en-US" w:eastAsia="en-AU"/>
              </w:rPr>
              <w:t>$70 000</w:t>
            </w:r>
          </w:p>
        </w:tc>
        <w:tc>
          <w:tcPr>
            <w:tcW w:w="1843" w:type="dxa"/>
            <w:tcBorders>
              <w:top w:val="nil"/>
              <w:left w:val="nil"/>
              <w:bottom w:val="single" w:sz="4" w:space="0" w:color="000000" w:themeColor="text1"/>
              <w:right w:val="nil"/>
            </w:tcBorders>
            <w:shd w:val="clear" w:color="auto" w:fill="auto"/>
            <w:vAlign w:val="center"/>
            <w:hideMark/>
          </w:tcPr>
          <w:p w14:paraId="0F0E6CCA" w14:textId="4CFE59AA" w:rsidR="00681963" w:rsidRPr="00681963" w:rsidRDefault="0082607B"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val="en-US" w:eastAsia="en-AU"/>
              </w:rPr>
              <w:t xml:space="preserve">      </w:t>
            </w:r>
            <w:r w:rsidR="00681963" w:rsidRPr="00681963">
              <w:rPr>
                <w:rFonts w:ascii="Times New Roman" w:eastAsia="Times New Roman" w:hAnsi="Times New Roman" w:cs="Times New Roman"/>
                <w:color w:val="000000"/>
                <w:sz w:val="20"/>
                <w:szCs w:val="20"/>
                <w:lang w:val="en-US" w:eastAsia="en-AU"/>
              </w:rPr>
              <w:t>$700 000</w:t>
            </w:r>
          </w:p>
        </w:tc>
        <w:tc>
          <w:tcPr>
            <w:tcW w:w="222" w:type="dxa"/>
            <w:vAlign w:val="center"/>
            <w:hideMark/>
          </w:tcPr>
          <w:p w14:paraId="3770390E" w14:textId="77777777" w:rsidR="00681963" w:rsidRPr="00681963" w:rsidRDefault="00681963" w:rsidP="00681963">
            <w:pPr>
              <w:spacing w:after="0" w:line="240" w:lineRule="auto"/>
              <w:rPr>
                <w:rFonts w:ascii="Times New Roman" w:eastAsia="Times New Roman" w:hAnsi="Times New Roman" w:cs="Times New Roman"/>
                <w:sz w:val="20"/>
                <w:szCs w:val="20"/>
                <w:lang w:eastAsia="en-AU"/>
              </w:rPr>
            </w:pPr>
          </w:p>
        </w:tc>
      </w:tr>
    </w:tbl>
    <w:p w14:paraId="62ACF2BB" w14:textId="77777777" w:rsidR="00302F2F" w:rsidRDefault="00302F2F" w:rsidP="00F855FE">
      <w:pPr>
        <w:rPr>
          <w:rFonts w:ascii="Arial" w:hAnsi="Arial" w:cs="Arial"/>
          <w:color w:val="FF0000"/>
        </w:rPr>
      </w:pPr>
    </w:p>
    <w:p w14:paraId="63195C35" w14:textId="084FBAE8" w:rsidR="00D5219E" w:rsidRDefault="003451B9" w:rsidP="00F855FE">
      <w:pPr>
        <w:rPr>
          <w:rFonts w:ascii="Arial" w:hAnsi="Arial" w:cs="Arial"/>
          <w:color w:val="000000" w:themeColor="text1"/>
        </w:rPr>
      </w:pPr>
      <w:r w:rsidRPr="00D412C5">
        <w:rPr>
          <w:rFonts w:ascii="Arial" w:hAnsi="Arial" w:cs="Arial"/>
          <w:color w:val="000000" w:themeColor="text1"/>
        </w:rPr>
        <w:t>For categories 1-3 there are different maximum penalties for individuals</w:t>
      </w:r>
      <w:r w:rsidR="000E4555" w:rsidRPr="00D412C5">
        <w:rPr>
          <w:rFonts w:ascii="Arial" w:hAnsi="Arial" w:cs="Arial"/>
          <w:color w:val="000000" w:themeColor="text1"/>
        </w:rPr>
        <w:t xml:space="preserve"> (as a person conducting a business or undertaking or as an officer of a person conducting a business or undertaking)</w:t>
      </w:r>
      <w:r w:rsidR="00491164" w:rsidRPr="00D412C5">
        <w:rPr>
          <w:rFonts w:ascii="Arial" w:hAnsi="Arial" w:cs="Arial"/>
          <w:color w:val="000000" w:themeColor="text1"/>
        </w:rPr>
        <w:t xml:space="preserve">, and individual (otherwise) and a body corporate. </w:t>
      </w:r>
    </w:p>
    <w:p w14:paraId="1177B470" w14:textId="2C05C8B3" w:rsidR="004960AF" w:rsidRPr="00D412C5" w:rsidRDefault="004960AF" w:rsidP="00F855FE">
      <w:pPr>
        <w:rPr>
          <w:rFonts w:ascii="Arial" w:hAnsi="Arial" w:cs="Arial"/>
          <w:color w:val="000000" w:themeColor="text1"/>
        </w:rPr>
      </w:pPr>
      <w:r>
        <w:rPr>
          <w:rFonts w:ascii="Arial" w:hAnsi="Arial" w:cs="Arial"/>
          <w:color w:val="000000" w:themeColor="text1"/>
        </w:rPr>
        <w:t>The penalty amounts in the table to Clause 1 include the 39.03% increase to monetary penalties</w:t>
      </w:r>
      <w:r w:rsidR="001D1DB3">
        <w:rPr>
          <w:rFonts w:ascii="Arial" w:hAnsi="Arial" w:cs="Arial"/>
          <w:color w:val="000000" w:themeColor="text1"/>
        </w:rPr>
        <w:t xml:space="preserve"> for Category 2 and 3 offences</w:t>
      </w:r>
      <w:r w:rsidR="000E472C">
        <w:rPr>
          <w:rFonts w:ascii="Arial" w:hAnsi="Arial" w:cs="Arial"/>
          <w:color w:val="000000" w:themeColor="text1"/>
        </w:rPr>
        <w:t xml:space="preserve"> (which represents </w:t>
      </w:r>
      <w:r w:rsidR="00A21B30" w:rsidRPr="00A21B30">
        <w:rPr>
          <w:rFonts w:ascii="Arial" w:hAnsi="Arial" w:cs="Arial"/>
          <w:color w:val="000000" w:themeColor="text1"/>
        </w:rPr>
        <w:t xml:space="preserve">the average increase in penalty units for non-WHS offences across all jurisdictions since </w:t>
      </w:r>
      <w:r w:rsidR="00A21B30">
        <w:rPr>
          <w:rFonts w:ascii="Arial" w:hAnsi="Arial" w:cs="Arial"/>
          <w:color w:val="000000" w:themeColor="text1"/>
        </w:rPr>
        <w:t>the i</w:t>
      </w:r>
      <w:r w:rsidR="000E472C">
        <w:rPr>
          <w:rFonts w:ascii="Arial" w:hAnsi="Arial" w:cs="Arial"/>
          <w:color w:val="000000" w:themeColor="text1"/>
        </w:rPr>
        <w:t>ntroduction of the model WHS laws in 2011)</w:t>
      </w:r>
      <w:r w:rsidR="001D1DB3">
        <w:rPr>
          <w:rFonts w:ascii="Arial" w:hAnsi="Arial" w:cs="Arial"/>
          <w:color w:val="000000" w:themeColor="text1"/>
        </w:rPr>
        <w:t xml:space="preserve">, and the significant increase for Category 1 offences as discussed at item 4 (above). </w:t>
      </w:r>
      <w:r>
        <w:rPr>
          <w:rFonts w:ascii="Arial" w:hAnsi="Arial" w:cs="Arial"/>
          <w:color w:val="000000" w:themeColor="text1"/>
        </w:rPr>
        <w:t xml:space="preserve"> </w:t>
      </w:r>
    </w:p>
    <w:p w14:paraId="683E590C" w14:textId="0FDE1C8A" w:rsidR="00226D17" w:rsidRDefault="00226D17" w:rsidP="00226D17">
      <w:pPr>
        <w:rPr>
          <w:rFonts w:ascii="Arial" w:hAnsi="Arial" w:cs="Arial"/>
          <w:b/>
          <w:bCs/>
        </w:rPr>
      </w:pPr>
      <w:r>
        <w:rPr>
          <w:rFonts w:ascii="Arial" w:hAnsi="Arial" w:cs="Arial"/>
          <w:b/>
          <w:bCs/>
        </w:rPr>
        <w:t xml:space="preserve">Clause 1A </w:t>
      </w:r>
      <w:r w:rsidRPr="00543268">
        <w:rPr>
          <w:rFonts w:ascii="Arial" w:hAnsi="Arial" w:cs="Arial"/>
          <w:b/>
          <w:bCs/>
        </w:rPr>
        <w:t xml:space="preserve">Maximum monetary penalties – industrial manslaughter </w:t>
      </w:r>
    </w:p>
    <w:p w14:paraId="5C090F53" w14:textId="33B7E47C" w:rsidR="005E226B" w:rsidRDefault="00D13EFA" w:rsidP="00EE2C07">
      <w:pPr>
        <w:rPr>
          <w:rFonts w:ascii="Arial" w:hAnsi="Arial" w:cs="Arial"/>
        </w:rPr>
      </w:pPr>
      <w:r>
        <w:rPr>
          <w:rFonts w:ascii="Arial" w:hAnsi="Arial" w:cs="Arial"/>
        </w:rPr>
        <w:t xml:space="preserve">Clause 1A </w:t>
      </w:r>
      <w:r w:rsidR="00D47F6D">
        <w:rPr>
          <w:rFonts w:ascii="Arial" w:hAnsi="Arial" w:cs="Arial"/>
        </w:rPr>
        <w:t xml:space="preserve">includes reference </w:t>
      </w:r>
      <w:r w:rsidR="005E18C2">
        <w:rPr>
          <w:rFonts w:ascii="Arial" w:hAnsi="Arial" w:cs="Arial"/>
        </w:rPr>
        <w:t>to the jurisdictional note in the Appendix, which recommends a maximum monetary penalty of $18 million</w:t>
      </w:r>
      <w:r w:rsidR="008F5B85">
        <w:rPr>
          <w:rFonts w:ascii="Arial" w:hAnsi="Arial" w:cs="Arial"/>
        </w:rPr>
        <w:t xml:space="preserve"> for industrial manslaughter. </w:t>
      </w:r>
    </w:p>
    <w:p w14:paraId="1B736D79" w14:textId="660050D2" w:rsidR="003F3AF6" w:rsidRDefault="00A60C76" w:rsidP="00EE2C07">
      <w:pPr>
        <w:rPr>
          <w:rFonts w:ascii="Arial" w:hAnsi="Arial" w:cs="Arial"/>
          <w:b/>
          <w:bCs/>
        </w:rPr>
      </w:pPr>
      <w:r>
        <w:rPr>
          <w:rFonts w:ascii="Arial" w:hAnsi="Arial" w:cs="Arial"/>
          <w:b/>
          <w:bCs/>
        </w:rPr>
        <w:t xml:space="preserve">Clause 2 </w:t>
      </w:r>
      <w:r w:rsidR="009C3110" w:rsidRPr="00543268">
        <w:rPr>
          <w:rFonts w:ascii="Arial" w:hAnsi="Arial" w:cs="Arial"/>
          <w:b/>
          <w:bCs/>
        </w:rPr>
        <w:t>Maximum monetary penalties –</w:t>
      </w:r>
      <w:r w:rsidR="009C3110">
        <w:rPr>
          <w:rFonts w:ascii="Arial" w:hAnsi="Arial" w:cs="Arial"/>
          <w:b/>
          <w:bCs/>
        </w:rPr>
        <w:t xml:space="preserve"> tiers A-I </w:t>
      </w:r>
    </w:p>
    <w:p w14:paraId="55A5ABC9" w14:textId="410D7B63" w:rsidR="0029474F" w:rsidRDefault="007911BA" w:rsidP="0029474F">
      <w:pPr>
        <w:rPr>
          <w:rFonts w:ascii="Arial" w:hAnsi="Arial" w:cs="Arial"/>
        </w:rPr>
      </w:pPr>
      <w:r w:rsidRPr="007911BA">
        <w:rPr>
          <w:rFonts w:ascii="Arial" w:hAnsi="Arial" w:cs="Arial"/>
        </w:rPr>
        <w:t xml:space="preserve">Clause 2 </w:t>
      </w:r>
      <w:r w:rsidR="0029474F">
        <w:rPr>
          <w:rFonts w:ascii="Arial" w:hAnsi="Arial" w:cs="Arial"/>
        </w:rPr>
        <w:t xml:space="preserve">establishes the maximum penalty for offences under the </w:t>
      </w:r>
      <w:r w:rsidR="00B00DC4">
        <w:rPr>
          <w:rFonts w:ascii="Arial" w:hAnsi="Arial" w:cs="Arial"/>
        </w:rPr>
        <w:t xml:space="preserve">model </w:t>
      </w:r>
      <w:r w:rsidR="0029474F">
        <w:rPr>
          <w:rFonts w:ascii="Arial" w:hAnsi="Arial" w:cs="Arial"/>
        </w:rPr>
        <w:t xml:space="preserve">Act </w:t>
      </w:r>
      <w:r w:rsidR="00B00DC4">
        <w:rPr>
          <w:rFonts w:ascii="Arial" w:hAnsi="Arial" w:cs="Arial"/>
        </w:rPr>
        <w:t xml:space="preserve">and the model </w:t>
      </w:r>
      <w:r w:rsidR="004022AE">
        <w:rPr>
          <w:rFonts w:ascii="Arial" w:hAnsi="Arial" w:cs="Arial"/>
        </w:rPr>
        <w:t>Regulations</w:t>
      </w:r>
      <w:r w:rsidR="00B00DC4">
        <w:rPr>
          <w:rFonts w:ascii="Arial" w:hAnsi="Arial" w:cs="Arial"/>
        </w:rPr>
        <w:t xml:space="preserve"> </w:t>
      </w:r>
      <w:r w:rsidR="0029474F">
        <w:rPr>
          <w:rFonts w:ascii="Arial" w:hAnsi="Arial" w:cs="Arial"/>
        </w:rPr>
        <w:t xml:space="preserve">where a tier </w:t>
      </w:r>
      <w:r w:rsidR="001B42F1">
        <w:rPr>
          <w:rFonts w:ascii="Arial" w:hAnsi="Arial" w:cs="Arial"/>
        </w:rPr>
        <w:t>A</w:t>
      </w:r>
      <w:r w:rsidR="0029474F">
        <w:rPr>
          <w:rFonts w:ascii="Arial" w:hAnsi="Arial" w:cs="Arial"/>
        </w:rPr>
        <w:t xml:space="preserve">, tier B, tier C, tier D, tier E, tier F, tier G, tier H or tier I monetary penalty is specified. The maximum penalty is set out in the table to </w:t>
      </w:r>
      <w:r w:rsidR="006973E6">
        <w:rPr>
          <w:rFonts w:ascii="Arial" w:hAnsi="Arial" w:cs="Arial"/>
        </w:rPr>
        <w:t>clause</w:t>
      </w:r>
      <w:r w:rsidR="00546B9F">
        <w:rPr>
          <w:rFonts w:ascii="Arial" w:hAnsi="Arial" w:cs="Arial"/>
        </w:rPr>
        <w:t xml:space="preserve"> 2</w:t>
      </w:r>
      <w:r w:rsidR="0029474F">
        <w:rPr>
          <w:rFonts w:ascii="Arial" w:hAnsi="Arial" w:cs="Arial"/>
        </w:rPr>
        <w:t xml:space="preserve"> as indexed under clause </w:t>
      </w:r>
      <w:r w:rsidR="000300CF">
        <w:rPr>
          <w:rFonts w:ascii="Arial" w:hAnsi="Arial" w:cs="Arial"/>
        </w:rPr>
        <w:t>4</w:t>
      </w:r>
      <w:r w:rsidR="0029474F">
        <w:rPr>
          <w:rFonts w:ascii="Arial" w:hAnsi="Arial" w:cs="Arial"/>
        </w:rPr>
        <w:t xml:space="preserve"> and rounded under clause </w:t>
      </w:r>
      <w:r w:rsidR="000300CF">
        <w:rPr>
          <w:rFonts w:ascii="Arial" w:hAnsi="Arial" w:cs="Arial"/>
        </w:rPr>
        <w:t>5</w:t>
      </w:r>
      <w:r w:rsidR="0029474F">
        <w:rPr>
          <w:rFonts w:ascii="Arial" w:hAnsi="Arial" w:cs="Arial"/>
        </w:rPr>
        <w:t>:</w:t>
      </w:r>
    </w:p>
    <w:tbl>
      <w:tblPr>
        <w:tblW w:w="5946" w:type="dxa"/>
        <w:tblInd w:w="612" w:type="dxa"/>
        <w:tblLook w:val="04A0" w:firstRow="1" w:lastRow="0" w:firstColumn="1" w:lastColumn="0" w:noHBand="0" w:noVBand="1"/>
      </w:tblPr>
      <w:tblGrid>
        <w:gridCol w:w="1885"/>
        <w:gridCol w:w="1890"/>
        <w:gridCol w:w="1949"/>
        <w:gridCol w:w="222"/>
      </w:tblGrid>
      <w:tr w:rsidR="009C38B8" w:rsidRPr="009C38B8" w14:paraId="3E5E25D2" w14:textId="77777777" w:rsidTr="009C38B8">
        <w:trPr>
          <w:gridAfter w:val="1"/>
          <w:wAfter w:w="222" w:type="dxa"/>
          <w:trHeight w:val="450"/>
        </w:trPr>
        <w:tc>
          <w:tcPr>
            <w:tcW w:w="1885" w:type="dxa"/>
            <w:vMerge w:val="restart"/>
            <w:tcBorders>
              <w:top w:val="nil"/>
              <w:left w:val="nil"/>
              <w:bottom w:val="nil"/>
              <w:right w:val="nil"/>
            </w:tcBorders>
            <w:shd w:val="clear" w:color="auto" w:fill="auto"/>
            <w:hideMark/>
          </w:tcPr>
          <w:p w14:paraId="7AC22EE7" w14:textId="77777777" w:rsidR="009C38B8" w:rsidRPr="009C38B8" w:rsidRDefault="009C38B8" w:rsidP="00224D8E">
            <w:pPr>
              <w:spacing w:after="0" w:line="240" w:lineRule="auto"/>
              <w:jc w:val="center"/>
              <w:rPr>
                <w:rFonts w:ascii="Arial" w:eastAsia="Times New Roman" w:hAnsi="Arial" w:cs="Arial"/>
                <w:b/>
                <w:bCs/>
                <w:color w:val="000000"/>
                <w:sz w:val="20"/>
                <w:szCs w:val="20"/>
                <w:lang w:eastAsia="en-AU"/>
              </w:rPr>
            </w:pPr>
            <w:r w:rsidRPr="009C38B8">
              <w:rPr>
                <w:rFonts w:ascii="Arial" w:eastAsia="Times New Roman" w:hAnsi="Arial" w:cs="Arial"/>
                <w:b/>
                <w:bCs/>
                <w:color w:val="000000"/>
                <w:sz w:val="20"/>
                <w:szCs w:val="20"/>
                <w:lang w:eastAsia="en-AU"/>
              </w:rPr>
              <w:t>Tier</w:t>
            </w:r>
          </w:p>
        </w:tc>
        <w:tc>
          <w:tcPr>
            <w:tcW w:w="1890" w:type="dxa"/>
            <w:vMerge w:val="restart"/>
            <w:tcBorders>
              <w:top w:val="nil"/>
              <w:left w:val="nil"/>
              <w:bottom w:val="nil"/>
              <w:right w:val="nil"/>
            </w:tcBorders>
            <w:shd w:val="clear" w:color="auto" w:fill="auto"/>
            <w:hideMark/>
          </w:tcPr>
          <w:p w14:paraId="068E5C71" w14:textId="77777777" w:rsidR="009C38B8" w:rsidRPr="009C38B8" w:rsidRDefault="009C38B8" w:rsidP="00224D8E">
            <w:pPr>
              <w:spacing w:after="0" w:line="240" w:lineRule="auto"/>
              <w:jc w:val="center"/>
              <w:rPr>
                <w:rFonts w:ascii="Arial" w:eastAsia="Times New Roman" w:hAnsi="Arial" w:cs="Arial"/>
                <w:b/>
                <w:bCs/>
                <w:color w:val="000000"/>
                <w:sz w:val="20"/>
                <w:szCs w:val="20"/>
                <w:lang w:eastAsia="en-AU"/>
              </w:rPr>
            </w:pPr>
            <w:r w:rsidRPr="009C38B8">
              <w:rPr>
                <w:rFonts w:ascii="Arial" w:eastAsia="Times New Roman" w:hAnsi="Arial" w:cs="Arial"/>
                <w:b/>
                <w:bCs/>
                <w:color w:val="000000"/>
                <w:sz w:val="20"/>
                <w:szCs w:val="20"/>
                <w:lang w:eastAsia="en-AU"/>
              </w:rPr>
              <w:t>Maximum penalty—</w:t>
            </w:r>
            <w:r w:rsidRPr="009C38B8">
              <w:rPr>
                <w:rFonts w:ascii="Arial" w:eastAsia="Times New Roman" w:hAnsi="Arial" w:cs="Arial"/>
                <w:b/>
                <w:bCs/>
                <w:color w:val="000000"/>
                <w:sz w:val="20"/>
                <w:szCs w:val="20"/>
                <w:lang w:eastAsia="en-AU"/>
              </w:rPr>
              <w:br/>
              <w:t>individual</w:t>
            </w:r>
          </w:p>
        </w:tc>
        <w:tc>
          <w:tcPr>
            <w:tcW w:w="1949" w:type="dxa"/>
            <w:vMerge w:val="restart"/>
            <w:tcBorders>
              <w:top w:val="nil"/>
              <w:left w:val="nil"/>
              <w:bottom w:val="nil"/>
              <w:right w:val="nil"/>
            </w:tcBorders>
            <w:shd w:val="clear" w:color="auto" w:fill="auto"/>
            <w:hideMark/>
          </w:tcPr>
          <w:p w14:paraId="1E7D0CBB" w14:textId="77777777" w:rsidR="009C38B8" w:rsidRPr="009C38B8" w:rsidRDefault="009C38B8" w:rsidP="00224D8E">
            <w:pPr>
              <w:spacing w:after="0" w:line="240" w:lineRule="auto"/>
              <w:jc w:val="center"/>
              <w:rPr>
                <w:rFonts w:ascii="Arial" w:eastAsia="Times New Roman" w:hAnsi="Arial" w:cs="Arial"/>
                <w:b/>
                <w:bCs/>
                <w:color w:val="000000"/>
                <w:sz w:val="20"/>
                <w:szCs w:val="20"/>
                <w:lang w:eastAsia="en-AU"/>
              </w:rPr>
            </w:pPr>
            <w:r w:rsidRPr="009C38B8">
              <w:rPr>
                <w:rFonts w:ascii="Arial" w:eastAsia="Times New Roman" w:hAnsi="Arial" w:cs="Arial"/>
                <w:b/>
                <w:bCs/>
                <w:color w:val="000000"/>
                <w:sz w:val="20"/>
                <w:szCs w:val="20"/>
                <w:lang w:eastAsia="en-AU"/>
              </w:rPr>
              <w:t>Maximum penalty—body corporate</w:t>
            </w:r>
          </w:p>
        </w:tc>
      </w:tr>
      <w:tr w:rsidR="009C38B8" w:rsidRPr="009C38B8" w14:paraId="58081FDF" w14:textId="77777777" w:rsidTr="009C38B8">
        <w:trPr>
          <w:trHeight w:val="300"/>
        </w:trPr>
        <w:tc>
          <w:tcPr>
            <w:tcW w:w="1885" w:type="dxa"/>
            <w:vMerge/>
            <w:tcBorders>
              <w:top w:val="nil"/>
              <w:left w:val="nil"/>
              <w:bottom w:val="nil"/>
              <w:right w:val="nil"/>
            </w:tcBorders>
            <w:vAlign w:val="center"/>
            <w:hideMark/>
          </w:tcPr>
          <w:p w14:paraId="3CDDB27F"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1890" w:type="dxa"/>
            <w:vMerge/>
            <w:tcBorders>
              <w:top w:val="nil"/>
              <w:left w:val="nil"/>
              <w:bottom w:val="nil"/>
              <w:right w:val="nil"/>
            </w:tcBorders>
            <w:vAlign w:val="center"/>
            <w:hideMark/>
          </w:tcPr>
          <w:p w14:paraId="2015775F"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1949" w:type="dxa"/>
            <w:vMerge/>
            <w:tcBorders>
              <w:top w:val="nil"/>
              <w:left w:val="nil"/>
              <w:bottom w:val="nil"/>
              <w:right w:val="nil"/>
            </w:tcBorders>
            <w:vAlign w:val="center"/>
            <w:hideMark/>
          </w:tcPr>
          <w:p w14:paraId="72914B0E"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4AF9463B" w14:textId="77777777" w:rsidR="009C38B8" w:rsidRPr="009C38B8" w:rsidRDefault="009C38B8" w:rsidP="009C38B8">
            <w:pPr>
              <w:spacing w:after="0" w:line="240" w:lineRule="auto"/>
              <w:rPr>
                <w:rFonts w:ascii="Arial" w:eastAsia="Times New Roman" w:hAnsi="Arial" w:cs="Arial"/>
                <w:b/>
                <w:bCs/>
                <w:color w:val="000000"/>
                <w:sz w:val="20"/>
                <w:szCs w:val="20"/>
                <w:lang w:eastAsia="en-AU"/>
              </w:rPr>
            </w:pPr>
          </w:p>
        </w:tc>
      </w:tr>
      <w:tr w:rsidR="009C38B8" w:rsidRPr="009C38B8" w14:paraId="1E9E6810" w14:textId="77777777" w:rsidTr="009C38B8">
        <w:trPr>
          <w:trHeight w:val="300"/>
        </w:trPr>
        <w:tc>
          <w:tcPr>
            <w:tcW w:w="1885" w:type="dxa"/>
            <w:vMerge/>
            <w:tcBorders>
              <w:top w:val="nil"/>
              <w:left w:val="nil"/>
              <w:bottom w:val="nil"/>
              <w:right w:val="nil"/>
            </w:tcBorders>
            <w:vAlign w:val="center"/>
            <w:hideMark/>
          </w:tcPr>
          <w:p w14:paraId="4ABB9111"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1890" w:type="dxa"/>
            <w:vMerge/>
            <w:tcBorders>
              <w:top w:val="nil"/>
              <w:left w:val="nil"/>
              <w:bottom w:val="nil"/>
              <w:right w:val="nil"/>
            </w:tcBorders>
            <w:vAlign w:val="center"/>
            <w:hideMark/>
          </w:tcPr>
          <w:p w14:paraId="18B917F6"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1949" w:type="dxa"/>
            <w:vMerge/>
            <w:tcBorders>
              <w:top w:val="nil"/>
              <w:left w:val="nil"/>
              <w:bottom w:val="nil"/>
              <w:right w:val="nil"/>
            </w:tcBorders>
            <w:vAlign w:val="center"/>
            <w:hideMark/>
          </w:tcPr>
          <w:p w14:paraId="0FD90998"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1451BBCD"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02D2589A" w14:textId="77777777" w:rsidTr="009C38B8">
        <w:trPr>
          <w:trHeight w:val="30"/>
        </w:trPr>
        <w:tc>
          <w:tcPr>
            <w:tcW w:w="1885" w:type="dxa"/>
            <w:vMerge/>
            <w:tcBorders>
              <w:top w:val="nil"/>
              <w:left w:val="nil"/>
              <w:bottom w:val="single" w:sz="4" w:space="0" w:color="auto"/>
              <w:right w:val="nil"/>
            </w:tcBorders>
            <w:vAlign w:val="center"/>
            <w:hideMark/>
          </w:tcPr>
          <w:p w14:paraId="3E0AF751"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1890" w:type="dxa"/>
            <w:vMerge/>
            <w:tcBorders>
              <w:top w:val="nil"/>
              <w:left w:val="nil"/>
              <w:bottom w:val="single" w:sz="4" w:space="0" w:color="auto"/>
              <w:right w:val="nil"/>
            </w:tcBorders>
            <w:vAlign w:val="center"/>
            <w:hideMark/>
          </w:tcPr>
          <w:p w14:paraId="45BEBF88"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1949" w:type="dxa"/>
            <w:vMerge/>
            <w:tcBorders>
              <w:top w:val="nil"/>
              <w:left w:val="nil"/>
              <w:bottom w:val="single" w:sz="4" w:space="0" w:color="auto"/>
              <w:right w:val="nil"/>
            </w:tcBorders>
            <w:vAlign w:val="center"/>
            <w:hideMark/>
          </w:tcPr>
          <w:p w14:paraId="41C6ADD5" w14:textId="77777777" w:rsidR="009C38B8" w:rsidRPr="009C38B8" w:rsidRDefault="009C38B8"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7E078DA8"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0264AD34" w14:textId="77777777" w:rsidTr="009C38B8">
        <w:trPr>
          <w:trHeight w:val="300"/>
        </w:trPr>
        <w:tc>
          <w:tcPr>
            <w:tcW w:w="1885" w:type="dxa"/>
            <w:tcBorders>
              <w:top w:val="single" w:sz="4" w:space="0" w:color="auto"/>
              <w:left w:val="nil"/>
              <w:bottom w:val="nil"/>
              <w:right w:val="nil"/>
            </w:tcBorders>
            <w:shd w:val="clear" w:color="auto" w:fill="auto"/>
            <w:noWrap/>
            <w:vAlign w:val="bottom"/>
            <w:hideMark/>
          </w:tcPr>
          <w:p w14:paraId="5A9DB514"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A</w:t>
            </w:r>
          </w:p>
        </w:tc>
        <w:tc>
          <w:tcPr>
            <w:tcW w:w="1890" w:type="dxa"/>
            <w:tcBorders>
              <w:top w:val="single" w:sz="4" w:space="0" w:color="auto"/>
              <w:left w:val="nil"/>
              <w:bottom w:val="nil"/>
              <w:right w:val="nil"/>
            </w:tcBorders>
            <w:shd w:val="clear" w:color="auto" w:fill="auto"/>
            <w:noWrap/>
            <w:vAlign w:val="bottom"/>
            <w:hideMark/>
          </w:tcPr>
          <w:p w14:paraId="6F38B5C1"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$139 000</w:t>
            </w:r>
          </w:p>
        </w:tc>
        <w:tc>
          <w:tcPr>
            <w:tcW w:w="1949" w:type="dxa"/>
            <w:tcBorders>
              <w:top w:val="single" w:sz="4" w:space="0" w:color="auto"/>
              <w:left w:val="nil"/>
              <w:bottom w:val="nil"/>
              <w:right w:val="nil"/>
            </w:tcBorders>
            <w:shd w:val="clear" w:color="auto" w:fill="auto"/>
            <w:noWrap/>
            <w:vAlign w:val="bottom"/>
            <w:hideMark/>
          </w:tcPr>
          <w:p w14:paraId="6DA196C2"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$695 000</w:t>
            </w:r>
          </w:p>
        </w:tc>
        <w:tc>
          <w:tcPr>
            <w:tcW w:w="222" w:type="dxa"/>
            <w:vAlign w:val="center"/>
            <w:hideMark/>
          </w:tcPr>
          <w:p w14:paraId="6B21952C"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0EA9131C" w14:textId="77777777" w:rsidTr="009C38B8">
        <w:trPr>
          <w:trHeight w:val="300"/>
        </w:trPr>
        <w:tc>
          <w:tcPr>
            <w:tcW w:w="1885" w:type="dxa"/>
            <w:tcBorders>
              <w:top w:val="nil"/>
              <w:left w:val="nil"/>
              <w:bottom w:val="nil"/>
              <w:right w:val="nil"/>
            </w:tcBorders>
            <w:shd w:val="clear" w:color="auto" w:fill="auto"/>
            <w:noWrap/>
            <w:vAlign w:val="bottom"/>
            <w:hideMark/>
          </w:tcPr>
          <w:p w14:paraId="6B554CE0"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B</w:t>
            </w:r>
          </w:p>
        </w:tc>
        <w:tc>
          <w:tcPr>
            <w:tcW w:w="1890" w:type="dxa"/>
            <w:tcBorders>
              <w:top w:val="nil"/>
              <w:left w:val="nil"/>
              <w:bottom w:val="nil"/>
              <w:right w:val="nil"/>
            </w:tcBorders>
            <w:shd w:val="clear" w:color="auto" w:fill="auto"/>
            <w:noWrap/>
            <w:vAlign w:val="bottom"/>
            <w:hideMark/>
          </w:tcPr>
          <w:p w14:paraId="427314EE" w14:textId="2E715A29" w:rsidR="009C38B8" w:rsidRPr="009C38B8" w:rsidRDefault="00F836DF"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$70 000</w:t>
            </w:r>
          </w:p>
        </w:tc>
        <w:tc>
          <w:tcPr>
            <w:tcW w:w="1949" w:type="dxa"/>
            <w:tcBorders>
              <w:top w:val="nil"/>
              <w:left w:val="nil"/>
              <w:bottom w:val="nil"/>
              <w:right w:val="nil"/>
            </w:tcBorders>
            <w:shd w:val="clear" w:color="auto" w:fill="auto"/>
            <w:noWrap/>
            <w:vAlign w:val="bottom"/>
            <w:hideMark/>
          </w:tcPr>
          <w:p w14:paraId="53F6BA10"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$350 000</w:t>
            </w:r>
          </w:p>
        </w:tc>
        <w:tc>
          <w:tcPr>
            <w:tcW w:w="222" w:type="dxa"/>
            <w:vAlign w:val="center"/>
            <w:hideMark/>
          </w:tcPr>
          <w:p w14:paraId="3B4CDC38"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2ADC0756" w14:textId="77777777" w:rsidTr="009C38B8">
        <w:trPr>
          <w:trHeight w:val="300"/>
        </w:trPr>
        <w:tc>
          <w:tcPr>
            <w:tcW w:w="1885" w:type="dxa"/>
            <w:tcBorders>
              <w:top w:val="nil"/>
              <w:left w:val="nil"/>
              <w:bottom w:val="nil"/>
              <w:right w:val="nil"/>
            </w:tcBorders>
            <w:shd w:val="clear" w:color="auto" w:fill="auto"/>
            <w:noWrap/>
            <w:vAlign w:val="bottom"/>
            <w:hideMark/>
          </w:tcPr>
          <w:p w14:paraId="074EC695"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C</w:t>
            </w:r>
          </w:p>
        </w:tc>
        <w:tc>
          <w:tcPr>
            <w:tcW w:w="1890" w:type="dxa"/>
            <w:tcBorders>
              <w:top w:val="nil"/>
              <w:left w:val="nil"/>
              <w:bottom w:val="nil"/>
              <w:right w:val="nil"/>
            </w:tcBorders>
            <w:shd w:val="clear" w:color="auto" w:fill="auto"/>
            <w:noWrap/>
            <w:vAlign w:val="bottom"/>
            <w:hideMark/>
          </w:tcPr>
          <w:p w14:paraId="7424F873" w14:textId="7930AC3C" w:rsidR="009C38B8" w:rsidRPr="009C38B8" w:rsidRDefault="008D2826"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$28 000</w:t>
            </w:r>
          </w:p>
        </w:tc>
        <w:tc>
          <w:tcPr>
            <w:tcW w:w="1949" w:type="dxa"/>
            <w:tcBorders>
              <w:top w:val="nil"/>
              <w:left w:val="nil"/>
              <w:bottom w:val="nil"/>
              <w:right w:val="nil"/>
            </w:tcBorders>
            <w:shd w:val="clear" w:color="auto" w:fill="auto"/>
            <w:noWrap/>
            <w:vAlign w:val="bottom"/>
            <w:hideMark/>
          </w:tcPr>
          <w:p w14:paraId="495C4811"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$140 000</w:t>
            </w:r>
          </w:p>
        </w:tc>
        <w:tc>
          <w:tcPr>
            <w:tcW w:w="222" w:type="dxa"/>
            <w:vAlign w:val="center"/>
            <w:hideMark/>
          </w:tcPr>
          <w:p w14:paraId="74458A6A"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7B72CDF5" w14:textId="77777777" w:rsidTr="009C38B8">
        <w:trPr>
          <w:trHeight w:val="300"/>
        </w:trPr>
        <w:tc>
          <w:tcPr>
            <w:tcW w:w="1885" w:type="dxa"/>
            <w:tcBorders>
              <w:top w:val="nil"/>
              <w:left w:val="nil"/>
              <w:bottom w:val="nil"/>
              <w:right w:val="nil"/>
            </w:tcBorders>
            <w:shd w:val="clear" w:color="auto" w:fill="auto"/>
            <w:noWrap/>
            <w:vAlign w:val="bottom"/>
            <w:hideMark/>
          </w:tcPr>
          <w:p w14:paraId="56122769"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D</w:t>
            </w:r>
          </w:p>
        </w:tc>
        <w:tc>
          <w:tcPr>
            <w:tcW w:w="1890" w:type="dxa"/>
            <w:tcBorders>
              <w:top w:val="nil"/>
              <w:left w:val="nil"/>
              <w:bottom w:val="nil"/>
              <w:right w:val="nil"/>
            </w:tcBorders>
            <w:shd w:val="clear" w:color="auto" w:fill="auto"/>
            <w:noWrap/>
            <w:vAlign w:val="bottom"/>
            <w:hideMark/>
          </w:tcPr>
          <w:p w14:paraId="117ED7B1" w14:textId="08AC7836"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$14 000</w:t>
            </w:r>
          </w:p>
        </w:tc>
        <w:tc>
          <w:tcPr>
            <w:tcW w:w="1949" w:type="dxa"/>
            <w:tcBorders>
              <w:top w:val="nil"/>
              <w:left w:val="nil"/>
              <w:bottom w:val="nil"/>
              <w:right w:val="nil"/>
            </w:tcBorders>
            <w:shd w:val="clear" w:color="auto" w:fill="auto"/>
            <w:noWrap/>
            <w:vAlign w:val="bottom"/>
            <w:hideMark/>
          </w:tcPr>
          <w:p w14:paraId="4A254E08" w14:textId="6BA79956"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$70 000</w:t>
            </w:r>
          </w:p>
        </w:tc>
        <w:tc>
          <w:tcPr>
            <w:tcW w:w="222" w:type="dxa"/>
            <w:vAlign w:val="center"/>
            <w:hideMark/>
          </w:tcPr>
          <w:p w14:paraId="142F739B"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4808A9D1" w14:textId="77777777" w:rsidTr="009C38B8">
        <w:trPr>
          <w:trHeight w:val="300"/>
        </w:trPr>
        <w:tc>
          <w:tcPr>
            <w:tcW w:w="1885" w:type="dxa"/>
            <w:tcBorders>
              <w:top w:val="nil"/>
              <w:left w:val="nil"/>
              <w:bottom w:val="nil"/>
              <w:right w:val="nil"/>
            </w:tcBorders>
            <w:shd w:val="clear" w:color="auto" w:fill="auto"/>
            <w:noWrap/>
            <w:vAlign w:val="bottom"/>
            <w:hideMark/>
          </w:tcPr>
          <w:p w14:paraId="7E54293C"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E</w:t>
            </w:r>
          </w:p>
        </w:tc>
        <w:tc>
          <w:tcPr>
            <w:tcW w:w="1890" w:type="dxa"/>
            <w:tcBorders>
              <w:top w:val="nil"/>
              <w:left w:val="nil"/>
              <w:bottom w:val="nil"/>
              <w:right w:val="nil"/>
            </w:tcBorders>
            <w:shd w:val="clear" w:color="auto" w:fill="auto"/>
            <w:noWrap/>
            <w:vAlign w:val="bottom"/>
            <w:hideMark/>
          </w:tcPr>
          <w:p w14:paraId="7DBEDF19" w14:textId="319407F5"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$8 400</w:t>
            </w:r>
          </w:p>
        </w:tc>
        <w:tc>
          <w:tcPr>
            <w:tcW w:w="1949" w:type="dxa"/>
            <w:tcBorders>
              <w:top w:val="nil"/>
              <w:left w:val="nil"/>
              <w:bottom w:val="nil"/>
              <w:right w:val="nil"/>
            </w:tcBorders>
            <w:shd w:val="clear" w:color="auto" w:fill="auto"/>
            <w:noWrap/>
            <w:vAlign w:val="bottom"/>
            <w:hideMark/>
          </w:tcPr>
          <w:p w14:paraId="1E81CF79" w14:textId="43ABA8F4"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$42 000</w:t>
            </w:r>
          </w:p>
        </w:tc>
        <w:tc>
          <w:tcPr>
            <w:tcW w:w="222" w:type="dxa"/>
            <w:vAlign w:val="center"/>
            <w:hideMark/>
          </w:tcPr>
          <w:p w14:paraId="75012581"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5E26F5C0" w14:textId="77777777" w:rsidTr="009C38B8">
        <w:trPr>
          <w:trHeight w:val="300"/>
        </w:trPr>
        <w:tc>
          <w:tcPr>
            <w:tcW w:w="1885" w:type="dxa"/>
            <w:tcBorders>
              <w:top w:val="nil"/>
              <w:left w:val="nil"/>
              <w:bottom w:val="nil"/>
              <w:right w:val="nil"/>
            </w:tcBorders>
            <w:shd w:val="clear" w:color="auto" w:fill="auto"/>
            <w:noWrap/>
            <w:vAlign w:val="bottom"/>
            <w:hideMark/>
          </w:tcPr>
          <w:p w14:paraId="0F679CC2"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F</w:t>
            </w:r>
          </w:p>
        </w:tc>
        <w:tc>
          <w:tcPr>
            <w:tcW w:w="1890" w:type="dxa"/>
            <w:tcBorders>
              <w:top w:val="nil"/>
              <w:left w:val="nil"/>
              <w:bottom w:val="nil"/>
              <w:right w:val="nil"/>
            </w:tcBorders>
            <w:shd w:val="clear" w:color="auto" w:fill="auto"/>
            <w:noWrap/>
            <w:vAlign w:val="bottom"/>
            <w:hideMark/>
          </w:tcPr>
          <w:p w14:paraId="14F56C30" w14:textId="054B3790"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$7 000</w:t>
            </w:r>
          </w:p>
        </w:tc>
        <w:tc>
          <w:tcPr>
            <w:tcW w:w="1949" w:type="dxa"/>
            <w:tcBorders>
              <w:top w:val="nil"/>
              <w:left w:val="nil"/>
              <w:bottom w:val="nil"/>
              <w:right w:val="nil"/>
            </w:tcBorders>
            <w:shd w:val="clear" w:color="auto" w:fill="auto"/>
            <w:noWrap/>
            <w:vAlign w:val="bottom"/>
            <w:hideMark/>
          </w:tcPr>
          <w:p w14:paraId="26441946" w14:textId="65B5C910"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$35 000</w:t>
            </w:r>
          </w:p>
        </w:tc>
        <w:tc>
          <w:tcPr>
            <w:tcW w:w="222" w:type="dxa"/>
            <w:vAlign w:val="center"/>
            <w:hideMark/>
          </w:tcPr>
          <w:p w14:paraId="1D8A4FE0"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0A703073" w14:textId="77777777" w:rsidTr="009C38B8">
        <w:trPr>
          <w:trHeight w:val="300"/>
        </w:trPr>
        <w:tc>
          <w:tcPr>
            <w:tcW w:w="1885" w:type="dxa"/>
            <w:tcBorders>
              <w:top w:val="nil"/>
              <w:left w:val="nil"/>
              <w:bottom w:val="nil"/>
              <w:right w:val="nil"/>
            </w:tcBorders>
            <w:shd w:val="clear" w:color="auto" w:fill="auto"/>
            <w:noWrap/>
            <w:vAlign w:val="bottom"/>
            <w:hideMark/>
          </w:tcPr>
          <w:p w14:paraId="17AEBB7E"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G</w:t>
            </w:r>
          </w:p>
        </w:tc>
        <w:tc>
          <w:tcPr>
            <w:tcW w:w="1890" w:type="dxa"/>
            <w:tcBorders>
              <w:top w:val="nil"/>
              <w:left w:val="nil"/>
              <w:bottom w:val="nil"/>
              <w:right w:val="nil"/>
            </w:tcBorders>
            <w:shd w:val="clear" w:color="auto" w:fill="auto"/>
            <w:noWrap/>
            <w:vAlign w:val="bottom"/>
            <w:hideMark/>
          </w:tcPr>
          <w:p w14:paraId="255B841A" w14:textId="633EC987"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$5 000</w:t>
            </w:r>
          </w:p>
        </w:tc>
        <w:tc>
          <w:tcPr>
            <w:tcW w:w="1949" w:type="dxa"/>
            <w:tcBorders>
              <w:top w:val="nil"/>
              <w:left w:val="nil"/>
              <w:bottom w:val="nil"/>
              <w:right w:val="nil"/>
            </w:tcBorders>
            <w:shd w:val="clear" w:color="auto" w:fill="auto"/>
            <w:noWrap/>
            <w:vAlign w:val="bottom"/>
            <w:hideMark/>
          </w:tcPr>
          <w:p w14:paraId="42E79D2E" w14:textId="6589E3D2"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$25 000</w:t>
            </w:r>
          </w:p>
        </w:tc>
        <w:tc>
          <w:tcPr>
            <w:tcW w:w="222" w:type="dxa"/>
            <w:vAlign w:val="center"/>
            <w:hideMark/>
          </w:tcPr>
          <w:p w14:paraId="4A85CF58"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2DB5253B" w14:textId="77777777" w:rsidTr="009C38B8">
        <w:trPr>
          <w:trHeight w:val="300"/>
        </w:trPr>
        <w:tc>
          <w:tcPr>
            <w:tcW w:w="1885" w:type="dxa"/>
            <w:tcBorders>
              <w:top w:val="nil"/>
              <w:left w:val="nil"/>
              <w:bottom w:val="nil"/>
              <w:right w:val="nil"/>
            </w:tcBorders>
            <w:shd w:val="clear" w:color="auto" w:fill="auto"/>
            <w:noWrap/>
            <w:vAlign w:val="bottom"/>
            <w:hideMark/>
          </w:tcPr>
          <w:p w14:paraId="0CFF5837"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H</w:t>
            </w:r>
          </w:p>
        </w:tc>
        <w:tc>
          <w:tcPr>
            <w:tcW w:w="1890" w:type="dxa"/>
            <w:tcBorders>
              <w:top w:val="nil"/>
              <w:left w:val="nil"/>
              <w:bottom w:val="nil"/>
              <w:right w:val="nil"/>
            </w:tcBorders>
            <w:shd w:val="clear" w:color="auto" w:fill="auto"/>
            <w:noWrap/>
            <w:vAlign w:val="bottom"/>
            <w:hideMark/>
          </w:tcPr>
          <w:p w14:paraId="3AE7DE71" w14:textId="638486AE"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$2 800</w:t>
            </w:r>
          </w:p>
        </w:tc>
        <w:tc>
          <w:tcPr>
            <w:tcW w:w="1949" w:type="dxa"/>
            <w:tcBorders>
              <w:top w:val="nil"/>
              <w:left w:val="nil"/>
              <w:bottom w:val="nil"/>
              <w:right w:val="nil"/>
            </w:tcBorders>
            <w:shd w:val="clear" w:color="auto" w:fill="auto"/>
            <w:noWrap/>
            <w:vAlign w:val="bottom"/>
            <w:hideMark/>
          </w:tcPr>
          <w:p w14:paraId="6C4D722F" w14:textId="5FBD0E4D"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$14 000</w:t>
            </w:r>
          </w:p>
        </w:tc>
        <w:tc>
          <w:tcPr>
            <w:tcW w:w="222" w:type="dxa"/>
            <w:vAlign w:val="center"/>
            <w:hideMark/>
          </w:tcPr>
          <w:p w14:paraId="72226CCF"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r w:rsidR="009C38B8" w:rsidRPr="009C38B8" w14:paraId="15A1B7E9" w14:textId="77777777" w:rsidTr="009C38B8">
        <w:trPr>
          <w:trHeight w:val="300"/>
        </w:trPr>
        <w:tc>
          <w:tcPr>
            <w:tcW w:w="1885" w:type="dxa"/>
            <w:tcBorders>
              <w:top w:val="nil"/>
              <w:left w:val="nil"/>
              <w:bottom w:val="single" w:sz="4" w:space="0" w:color="auto"/>
              <w:right w:val="nil"/>
            </w:tcBorders>
            <w:shd w:val="clear" w:color="auto" w:fill="auto"/>
            <w:noWrap/>
            <w:vAlign w:val="bottom"/>
            <w:hideMark/>
          </w:tcPr>
          <w:p w14:paraId="19620ECB" w14:textId="77777777" w:rsidR="009C38B8" w:rsidRPr="009C38B8" w:rsidRDefault="009C38B8" w:rsidP="00224D8E">
            <w:pPr>
              <w:spacing w:after="0" w:line="240" w:lineRule="auto"/>
              <w:jc w:val="center"/>
              <w:rPr>
                <w:rFonts w:ascii="Times New Roman" w:eastAsia="Times New Roman" w:hAnsi="Times New Roman" w:cs="Times New Roman"/>
                <w:color w:val="000000"/>
                <w:sz w:val="20"/>
                <w:szCs w:val="20"/>
                <w:lang w:eastAsia="en-AU"/>
              </w:rPr>
            </w:pPr>
            <w:r w:rsidRPr="009C38B8">
              <w:rPr>
                <w:rFonts w:ascii="Times New Roman" w:eastAsia="Times New Roman" w:hAnsi="Times New Roman" w:cs="Times New Roman"/>
                <w:color w:val="000000"/>
                <w:sz w:val="20"/>
                <w:szCs w:val="20"/>
                <w:lang w:eastAsia="en-AU"/>
              </w:rPr>
              <w:t>tier I</w:t>
            </w:r>
          </w:p>
        </w:tc>
        <w:tc>
          <w:tcPr>
            <w:tcW w:w="1890" w:type="dxa"/>
            <w:tcBorders>
              <w:top w:val="nil"/>
              <w:left w:val="nil"/>
              <w:bottom w:val="single" w:sz="4" w:space="0" w:color="auto"/>
              <w:right w:val="nil"/>
            </w:tcBorders>
            <w:shd w:val="clear" w:color="auto" w:fill="auto"/>
            <w:noWrap/>
            <w:vAlign w:val="bottom"/>
            <w:hideMark/>
          </w:tcPr>
          <w:p w14:paraId="61DE4AB9" w14:textId="2BB9E6D4"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$1 700</w:t>
            </w:r>
          </w:p>
        </w:tc>
        <w:tc>
          <w:tcPr>
            <w:tcW w:w="1949" w:type="dxa"/>
            <w:tcBorders>
              <w:top w:val="nil"/>
              <w:left w:val="nil"/>
              <w:bottom w:val="single" w:sz="4" w:space="0" w:color="auto"/>
              <w:right w:val="nil"/>
            </w:tcBorders>
            <w:shd w:val="clear" w:color="auto" w:fill="auto"/>
            <w:noWrap/>
            <w:vAlign w:val="bottom"/>
            <w:hideMark/>
          </w:tcPr>
          <w:p w14:paraId="27E59844" w14:textId="6EBAE0C1" w:rsidR="009C38B8" w:rsidRPr="009C38B8" w:rsidRDefault="008D2826" w:rsidP="008D2826">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9C38B8" w:rsidRPr="009C38B8">
              <w:rPr>
                <w:rFonts w:ascii="Times New Roman" w:eastAsia="Times New Roman" w:hAnsi="Times New Roman" w:cs="Times New Roman"/>
                <w:color w:val="000000"/>
                <w:sz w:val="20"/>
                <w:szCs w:val="20"/>
                <w:lang w:eastAsia="en-AU"/>
              </w:rPr>
              <w:t>$8 500</w:t>
            </w:r>
          </w:p>
        </w:tc>
        <w:tc>
          <w:tcPr>
            <w:tcW w:w="222" w:type="dxa"/>
            <w:vAlign w:val="center"/>
            <w:hideMark/>
          </w:tcPr>
          <w:p w14:paraId="2E0F2240" w14:textId="77777777" w:rsidR="009C38B8" w:rsidRPr="009C38B8" w:rsidRDefault="009C38B8" w:rsidP="009C38B8">
            <w:pPr>
              <w:spacing w:after="0" w:line="240" w:lineRule="auto"/>
              <w:rPr>
                <w:rFonts w:ascii="Times New Roman" w:eastAsia="Times New Roman" w:hAnsi="Times New Roman" w:cs="Times New Roman"/>
                <w:sz w:val="20"/>
                <w:szCs w:val="20"/>
                <w:lang w:eastAsia="en-AU"/>
              </w:rPr>
            </w:pPr>
          </w:p>
        </w:tc>
      </w:tr>
    </w:tbl>
    <w:p w14:paraId="722F480A" w14:textId="77777777" w:rsidR="00827327" w:rsidRDefault="00827327" w:rsidP="00EE2C07">
      <w:pPr>
        <w:rPr>
          <w:rFonts w:ascii="Arial" w:hAnsi="Arial" w:cs="Arial"/>
          <w:color w:val="FF0000"/>
        </w:rPr>
      </w:pPr>
    </w:p>
    <w:p w14:paraId="26407577" w14:textId="11B5312E" w:rsidR="00FC1BAB" w:rsidRPr="00E4534A" w:rsidRDefault="00344C7D" w:rsidP="00EE2C07">
      <w:pPr>
        <w:rPr>
          <w:rFonts w:ascii="Arial" w:hAnsi="Arial" w:cs="Arial"/>
          <w:color w:val="FF0000"/>
        </w:rPr>
      </w:pPr>
      <w:r w:rsidRPr="00D412C5">
        <w:rPr>
          <w:rFonts w:ascii="Arial" w:hAnsi="Arial" w:cs="Arial"/>
          <w:color w:val="000000" w:themeColor="text1"/>
        </w:rPr>
        <w:t xml:space="preserve">For </w:t>
      </w:r>
      <w:r>
        <w:rPr>
          <w:rFonts w:ascii="Arial" w:hAnsi="Arial" w:cs="Arial"/>
          <w:color w:val="000000" w:themeColor="text1"/>
        </w:rPr>
        <w:t>tiers A-I</w:t>
      </w:r>
      <w:r w:rsidRPr="00D412C5">
        <w:rPr>
          <w:rFonts w:ascii="Arial" w:hAnsi="Arial" w:cs="Arial"/>
          <w:color w:val="000000" w:themeColor="text1"/>
        </w:rPr>
        <w:t xml:space="preserve"> there are different maximum penalties for individuals and </w:t>
      </w:r>
      <w:r w:rsidR="00EF72A8">
        <w:rPr>
          <w:rFonts w:ascii="Arial" w:hAnsi="Arial" w:cs="Arial"/>
          <w:color w:val="000000" w:themeColor="text1"/>
        </w:rPr>
        <w:t xml:space="preserve">for </w:t>
      </w:r>
      <w:r w:rsidRPr="00D412C5">
        <w:rPr>
          <w:rFonts w:ascii="Arial" w:hAnsi="Arial" w:cs="Arial"/>
          <w:color w:val="000000" w:themeColor="text1"/>
        </w:rPr>
        <w:t>bod</w:t>
      </w:r>
      <w:r w:rsidR="009F67F2">
        <w:rPr>
          <w:rFonts w:ascii="Arial" w:hAnsi="Arial" w:cs="Arial"/>
          <w:color w:val="000000" w:themeColor="text1"/>
        </w:rPr>
        <w:t>ies</w:t>
      </w:r>
      <w:r w:rsidRPr="00D412C5">
        <w:rPr>
          <w:rFonts w:ascii="Arial" w:hAnsi="Arial" w:cs="Arial"/>
          <w:color w:val="000000" w:themeColor="text1"/>
        </w:rPr>
        <w:t xml:space="preserve"> corporate</w:t>
      </w:r>
      <w:r w:rsidR="00EF72A8">
        <w:rPr>
          <w:rFonts w:ascii="Arial" w:hAnsi="Arial" w:cs="Arial"/>
          <w:color w:val="000000" w:themeColor="text1"/>
        </w:rPr>
        <w:t xml:space="preserve">. </w:t>
      </w:r>
    </w:p>
    <w:p w14:paraId="6F3CC960" w14:textId="15BCE497" w:rsidR="009C3110" w:rsidRDefault="009C3110" w:rsidP="00EE2C07">
      <w:pPr>
        <w:rPr>
          <w:rFonts w:ascii="Arial" w:hAnsi="Arial" w:cs="Arial"/>
          <w:b/>
          <w:bCs/>
        </w:rPr>
      </w:pPr>
      <w:r>
        <w:rPr>
          <w:rFonts w:ascii="Arial" w:hAnsi="Arial" w:cs="Arial"/>
          <w:b/>
          <w:bCs/>
        </w:rPr>
        <w:t xml:space="preserve">Clause 3 </w:t>
      </w:r>
      <w:r w:rsidR="00D10085">
        <w:rPr>
          <w:rFonts w:ascii="Arial" w:hAnsi="Arial" w:cs="Arial"/>
          <w:b/>
          <w:bCs/>
        </w:rPr>
        <w:t>Maximum monetary penalty – WHS civil penalty tiers 1-</w:t>
      </w:r>
      <w:r w:rsidR="00826B76">
        <w:rPr>
          <w:rFonts w:ascii="Arial" w:hAnsi="Arial" w:cs="Arial"/>
          <w:b/>
          <w:bCs/>
        </w:rPr>
        <w:t xml:space="preserve">4 </w:t>
      </w:r>
    </w:p>
    <w:p w14:paraId="342450A8" w14:textId="774B61A5" w:rsidR="00A51E14" w:rsidRDefault="00C802E8" w:rsidP="00A51E14">
      <w:pPr>
        <w:rPr>
          <w:rFonts w:ascii="Arial" w:hAnsi="Arial" w:cs="Arial"/>
        </w:rPr>
      </w:pPr>
      <w:r w:rsidRPr="007911BA">
        <w:rPr>
          <w:rFonts w:ascii="Arial" w:hAnsi="Arial" w:cs="Arial"/>
        </w:rPr>
        <w:t xml:space="preserve">Clause </w:t>
      </w:r>
      <w:r>
        <w:rPr>
          <w:rFonts w:ascii="Arial" w:hAnsi="Arial" w:cs="Arial"/>
        </w:rPr>
        <w:t>3</w:t>
      </w:r>
      <w:r w:rsidR="00A51E14">
        <w:rPr>
          <w:rFonts w:ascii="Arial" w:hAnsi="Arial" w:cs="Arial"/>
        </w:rPr>
        <w:t xml:space="preserve"> establishes the maximum penalty for </w:t>
      </w:r>
      <w:r w:rsidR="007A6194">
        <w:rPr>
          <w:rFonts w:ascii="Arial" w:hAnsi="Arial" w:cs="Arial"/>
        </w:rPr>
        <w:t xml:space="preserve">WHS civil penalty provisions </w:t>
      </w:r>
      <w:r w:rsidR="00A51E14">
        <w:rPr>
          <w:rFonts w:ascii="Arial" w:hAnsi="Arial" w:cs="Arial"/>
        </w:rPr>
        <w:t xml:space="preserve">under </w:t>
      </w:r>
      <w:r w:rsidR="007A6194">
        <w:rPr>
          <w:rFonts w:ascii="Arial" w:hAnsi="Arial" w:cs="Arial"/>
        </w:rPr>
        <w:t xml:space="preserve">Part 7 of </w:t>
      </w:r>
      <w:r w:rsidR="00A51E14">
        <w:rPr>
          <w:rFonts w:ascii="Arial" w:hAnsi="Arial" w:cs="Arial"/>
        </w:rPr>
        <w:t>the Act where a tier 1, tier 2</w:t>
      </w:r>
      <w:r w:rsidR="00B525EB">
        <w:rPr>
          <w:rFonts w:ascii="Arial" w:hAnsi="Arial" w:cs="Arial"/>
        </w:rPr>
        <w:t>,</w:t>
      </w:r>
      <w:r w:rsidR="00A51E14">
        <w:rPr>
          <w:rFonts w:ascii="Arial" w:hAnsi="Arial" w:cs="Arial"/>
        </w:rPr>
        <w:t xml:space="preserve"> tier 3 </w:t>
      </w:r>
      <w:r w:rsidR="00B525EB">
        <w:rPr>
          <w:rFonts w:ascii="Arial" w:hAnsi="Arial" w:cs="Arial"/>
        </w:rPr>
        <w:t xml:space="preserve">or tier 4 </w:t>
      </w:r>
      <w:r w:rsidR="00A51E14">
        <w:rPr>
          <w:rFonts w:ascii="Arial" w:hAnsi="Arial" w:cs="Arial"/>
        </w:rPr>
        <w:t xml:space="preserve">monetary penalty is specified. The maximum penalty is set out in the table to this subclause as indexed under clause </w:t>
      </w:r>
      <w:r w:rsidR="0051561D">
        <w:rPr>
          <w:rFonts w:ascii="Arial" w:hAnsi="Arial" w:cs="Arial"/>
        </w:rPr>
        <w:t>4</w:t>
      </w:r>
      <w:r w:rsidR="00A51E14">
        <w:rPr>
          <w:rFonts w:ascii="Arial" w:hAnsi="Arial" w:cs="Arial"/>
        </w:rPr>
        <w:t xml:space="preserve"> and rounded under clause </w:t>
      </w:r>
      <w:r w:rsidR="0051561D">
        <w:rPr>
          <w:rFonts w:ascii="Arial" w:hAnsi="Arial" w:cs="Arial"/>
        </w:rPr>
        <w:t>5</w:t>
      </w:r>
      <w:r w:rsidR="00A51E14">
        <w:rPr>
          <w:rFonts w:ascii="Arial" w:hAnsi="Arial" w:cs="Arial"/>
        </w:rPr>
        <w:t>:</w:t>
      </w:r>
    </w:p>
    <w:tbl>
      <w:tblPr>
        <w:tblW w:w="5946" w:type="dxa"/>
        <w:tblInd w:w="612" w:type="dxa"/>
        <w:tblLook w:val="04A0" w:firstRow="1" w:lastRow="0" w:firstColumn="1" w:lastColumn="0" w:noHBand="0" w:noVBand="1"/>
      </w:tblPr>
      <w:tblGrid>
        <w:gridCol w:w="1885"/>
        <w:gridCol w:w="1890"/>
        <w:gridCol w:w="1949"/>
        <w:gridCol w:w="222"/>
      </w:tblGrid>
      <w:tr w:rsidR="00224D8E" w:rsidRPr="00224D8E" w14:paraId="15FCC691" w14:textId="77777777" w:rsidTr="00224D8E">
        <w:trPr>
          <w:gridAfter w:val="1"/>
          <w:wAfter w:w="222" w:type="dxa"/>
          <w:trHeight w:val="450"/>
        </w:trPr>
        <w:tc>
          <w:tcPr>
            <w:tcW w:w="1885" w:type="dxa"/>
            <w:vMerge w:val="restart"/>
            <w:tcBorders>
              <w:top w:val="nil"/>
              <w:left w:val="nil"/>
              <w:bottom w:val="nil"/>
              <w:right w:val="nil"/>
            </w:tcBorders>
            <w:shd w:val="clear" w:color="auto" w:fill="auto"/>
            <w:hideMark/>
          </w:tcPr>
          <w:p w14:paraId="209369AE" w14:textId="77777777" w:rsidR="00224D8E" w:rsidRPr="00224D8E" w:rsidRDefault="00224D8E" w:rsidP="00224D8E">
            <w:pPr>
              <w:spacing w:after="0" w:line="240" w:lineRule="auto"/>
              <w:jc w:val="center"/>
              <w:rPr>
                <w:rFonts w:ascii="Arial" w:eastAsia="Times New Roman" w:hAnsi="Arial" w:cs="Arial"/>
                <w:b/>
                <w:bCs/>
                <w:color w:val="000000"/>
                <w:sz w:val="20"/>
                <w:szCs w:val="20"/>
                <w:lang w:eastAsia="en-AU"/>
              </w:rPr>
            </w:pPr>
            <w:r w:rsidRPr="00224D8E">
              <w:rPr>
                <w:rFonts w:ascii="Arial" w:eastAsia="Times New Roman" w:hAnsi="Arial" w:cs="Arial"/>
                <w:b/>
                <w:bCs/>
                <w:color w:val="000000"/>
                <w:sz w:val="20"/>
                <w:szCs w:val="20"/>
                <w:lang w:eastAsia="en-AU"/>
              </w:rPr>
              <w:t>Tier</w:t>
            </w:r>
          </w:p>
        </w:tc>
        <w:tc>
          <w:tcPr>
            <w:tcW w:w="1890" w:type="dxa"/>
            <w:vMerge w:val="restart"/>
            <w:tcBorders>
              <w:top w:val="nil"/>
              <w:left w:val="nil"/>
              <w:bottom w:val="nil"/>
              <w:right w:val="nil"/>
            </w:tcBorders>
            <w:shd w:val="clear" w:color="auto" w:fill="auto"/>
            <w:hideMark/>
          </w:tcPr>
          <w:p w14:paraId="5249EE15" w14:textId="77777777" w:rsidR="00224D8E" w:rsidRPr="00224D8E" w:rsidRDefault="00224D8E" w:rsidP="00224D8E">
            <w:pPr>
              <w:spacing w:after="0" w:line="240" w:lineRule="auto"/>
              <w:jc w:val="center"/>
              <w:rPr>
                <w:rFonts w:ascii="Arial" w:eastAsia="Times New Roman" w:hAnsi="Arial" w:cs="Arial"/>
                <w:b/>
                <w:bCs/>
                <w:color w:val="000000"/>
                <w:sz w:val="20"/>
                <w:szCs w:val="20"/>
                <w:lang w:eastAsia="en-AU"/>
              </w:rPr>
            </w:pPr>
            <w:r w:rsidRPr="00224D8E">
              <w:rPr>
                <w:rFonts w:ascii="Arial" w:eastAsia="Times New Roman" w:hAnsi="Arial" w:cs="Arial"/>
                <w:b/>
                <w:bCs/>
                <w:color w:val="000000"/>
                <w:sz w:val="20"/>
                <w:szCs w:val="20"/>
                <w:lang w:eastAsia="en-AU"/>
              </w:rPr>
              <w:t>Maximum penalty—</w:t>
            </w:r>
            <w:r w:rsidRPr="00224D8E">
              <w:rPr>
                <w:rFonts w:ascii="Arial" w:eastAsia="Times New Roman" w:hAnsi="Arial" w:cs="Arial"/>
                <w:b/>
                <w:bCs/>
                <w:color w:val="000000"/>
                <w:sz w:val="20"/>
                <w:szCs w:val="20"/>
                <w:lang w:eastAsia="en-AU"/>
              </w:rPr>
              <w:br/>
              <w:t>individual</w:t>
            </w:r>
          </w:p>
        </w:tc>
        <w:tc>
          <w:tcPr>
            <w:tcW w:w="1949" w:type="dxa"/>
            <w:vMerge w:val="restart"/>
            <w:tcBorders>
              <w:top w:val="nil"/>
              <w:left w:val="nil"/>
              <w:bottom w:val="nil"/>
              <w:right w:val="nil"/>
            </w:tcBorders>
            <w:shd w:val="clear" w:color="auto" w:fill="auto"/>
            <w:hideMark/>
          </w:tcPr>
          <w:p w14:paraId="793F8C78" w14:textId="77777777" w:rsidR="00224D8E" w:rsidRPr="00224D8E" w:rsidRDefault="00224D8E" w:rsidP="00224D8E">
            <w:pPr>
              <w:spacing w:after="0" w:line="240" w:lineRule="auto"/>
              <w:ind w:left="469"/>
              <w:rPr>
                <w:rFonts w:ascii="Arial" w:eastAsia="Times New Roman" w:hAnsi="Arial" w:cs="Arial"/>
                <w:b/>
                <w:bCs/>
                <w:color w:val="000000"/>
                <w:sz w:val="20"/>
                <w:szCs w:val="20"/>
                <w:lang w:eastAsia="en-AU"/>
              </w:rPr>
            </w:pPr>
            <w:r w:rsidRPr="00224D8E">
              <w:rPr>
                <w:rFonts w:ascii="Arial" w:eastAsia="Times New Roman" w:hAnsi="Arial" w:cs="Arial"/>
                <w:b/>
                <w:bCs/>
                <w:color w:val="000000"/>
                <w:sz w:val="20"/>
                <w:szCs w:val="20"/>
                <w:lang w:eastAsia="en-AU"/>
              </w:rPr>
              <w:t>Maximum penalty—body corporate</w:t>
            </w:r>
          </w:p>
        </w:tc>
      </w:tr>
      <w:tr w:rsidR="00224D8E" w:rsidRPr="00224D8E" w14:paraId="5A5247C0" w14:textId="77777777" w:rsidTr="00224D8E">
        <w:trPr>
          <w:trHeight w:val="300"/>
        </w:trPr>
        <w:tc>
          <w:tcPr>
            <w:tcW w:w="1885" w:type="dxa"/>
            <w:vMerge/>
            <w:tcBorders>
              <w:top w:val="nil"/>
              <w:left w:val="nil"/>
              <w:bottom w:val="nil"/>
              <w:right w:val="nil"/>
            </w:tcBorders>
            <w:vAlign w:val="center"/>
            <w:hideMark/>
          </w:tcPr>
          <w:p w14:paraId="1D5A5C9B"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1890" w:type="dxa"/>
            <w:vMerge/>
            <w:tcBorders>
              <w:top w:val="nil"/>
              <w:left w:val="nil"/>
              <w:bottom w:val="nil"/>
              <w:right w:val="nil"/>
            </w:tcBorders>
            <w:vAlign w:val="center"/>
            <w:hideMark/>
          </w:tcPr>
          <w:p w14:paraId="2E9F5511"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1949" w:type="dxa"/>
            <w:vMerge/>
            <w:tcBorders>
              <w:top w:val="nil"/>
              <w:left w:val="nil"/>
              <w:bottom w:val="nil"/>
              <w:right w:val="nil"/>
            </w:tcBorders>
            <w:vAlign w:val="center"/>
            <w:hideMark/>
          </w:tcPr>
          <w:p w14:paraId="318F2DD7"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5CDE6194" w14:textId="77777777" w:rsidR="00224D8E" w:rsidRPr="00224D8E" w:rsidRDefault="00224D8E" w:rsidP="00224D8E">
            <w:pPr>
              <w:spacing w:after="0" w:line="240" w:lineRule="auto"/>
              <w:rPr>
                <w:rFonts w:ascii="Arial" w:eastAsia="Times New Roman" w:hAnsi="Arial" w:cs="Arial"/>
                <w:b/>
                <w:bCs/>
                <w:color w:val="000000"/>
                <w:sz w:val="20"/>
                <w:szCs w:val="20"/>
                <w:lang w:eastAsia="en-AU"/>
              </w:rPr>
            </w:pPr>
          </w:p>
        </w:tc>
      </w:tr>
      <w:tr w:rsidR="00224D8E" w:rsidRPr="00224D8E" w14:paraId="43084692" w14:textId="77777777" w:rsidTr="00224D8E">
        <w:trPr>
          <w:trHeight w:val="300"/>
        </w:trPr>
        <w:tc>
          <w:tcPr>
            <w:tcW w:w="1885" w:type="dxa"/>
            <w:vMerge/>
            <w:tcBorders>
              <w:top w:val="nil"/>
              <w:left w:val="nil"/>
              <w:bottom w:val="nil"/>
              <w:right w:val="nil"/>
            </w:tcBorders>
            <w:vAlign w:val="center"/>
            <w:hideMark/>
          </w:tcPr>
          <w:p w14:paraId="21977A8D"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1890" w:type="dxa"/>
            <w:vMerge/>
            <w:tcBorders>
              <w:top w:val="nil"/>
              <w:left w:val="nil"/>
              <w:bottom w:val="nil"/>
              <w:right w:val="nil"/>
            </w:tcBorders>
            <w:vAlign w:val="center"/>
            <w:hideMark/>
          </w:tcPr>
          <w:p w14:paraId="4B4538FB"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1949" w:type="dxa"/>
            <w:vMerge/>
            <w:tcBorders>
              <w:top w:val="nil"/>
              <w:left w:val="nil"/>
              <w:bottom w:val="nil"/>
              <w:right w:val="nil"/>
            </w:tcBorders>
            <w:vAlign w:val="center"/>
            <w:hideMark/>
          </w:tcPr>
          <w:p w14:paraId="39A7D325"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765C03BC" w14:textId="77777777" w:rsidR="00224D8E" w:rsidRPr="00224D8E" w:rsidRDefault="00224D8E" w:rsidP="00224D8E">
            <w:pPr>
              <w:spacing w:after="0" w:line="240" w:lineRule="auto"/>
              <w:rPr>
                <w:rFonts w:ascii="Times New Roman" w:eastAsia="Times New Roman" w:hAnsi="Times New Roman" w:cs="Times New Roman"/>
                <w:sz w:val="20"/>
                <w:szCs w:val="20"/>
                <w:lang w:eastAsia="en-AU"/>
              </w:rPr>
            </w:pPr>
          </w:p>
        </w:tc>
      </w:tr>
      <w:tr w:rsidR="00224D8E" w:rsidRPr="00224D8E" w14:paraId="76F529AA" w14:textId="77777777" w:rsidTr="00224D8E">
        <w:trPr>
          <w:trHeight w:val="60"/>
        </w:trPr>
        <w:tc>
          <w:tcPr>
            <w:tcW w:w="1885" w:type="dxa"/>
            <w:vMerge/>
            <w:tcBorders>
              <w:top w:val="nil"/>
              <w:left w:val="nil"/>
              <w:bottom w:val="single" w:sz="4" w:space="0" w:color="auto"/>
              <w:right w:val="nil"/>
            </w:tcBorders>
            <w:vAlign w:val="center"/>
            <w:hideMark/>
          </w:tcPr>
          <w:p w14:paraId="2F8831DF"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1890" w:type="dxa"/>
            <w:vMerge/>
            <w:tcBorders>
              <w:top w:val="nil"/>
              <w:left w:val="nil"/>
              <w:bottom w:val="single" w:sz="4" w:space="0" w:color="auto"/>
              <w:right w:val="nil"/>
            </w:tcBorders>
            <w:vAlign w:val="center"/>
            <w:hideMark/>
          </w:tcPr>
          <w:p w14:paraId="16EE01E5"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1949" w:type="dxa"/>
            <w:vMerge/>
            <w:tcBorders>
              <w:top w:val="nil"/>
              <w:left w:val="nil"/>
              <w:bottom w:val="single" w:sz="4" w:space="0" w:color="auto"/>
              <w:right w:val="nil"/>
            </w:tcBorders>
            <w:vAlign w:val="center"/>
            <w:hideMark/>
          </w:tcPr>
          <w:p w14:paraId="43CB656A" w14:textId="77777777" w:rsidR="00224D8E" w:rsidRPr="00224D8E" w:rsidRDefault="00224D8E" w:rsidP="000C05D7">
            <w:pPr>
              <w:spacing w:after="0" w:line="240" w:lineRule="auto"/>
              <w:jc w:val="center"/>
              <w:rPr>
                <w:rFonts w:ascii="Arial" w:eastAsia="Times New Roman" w:hAnsi="Arial" w:cs="Arial"/>
                <w:b/>
                <w:bCs/>
                <w:color w:val="000000"/>
                <w:sz w:val="20"/>
                <w:szCs w:val="20"/>
                <w:lang w:eastAsia="en-AU"/>
              </w:rPr>
            </w:pPr>
          </w:p>
        </w:tc>
        <w:tc>
          <w:tcPr>
            <w:tcW w:w="222" w:type="dxa"/>
            <w:tcBorders>
              <w:top w:val="nil"/>
              <w:left w:val="nil"/>
              <w:bottom w:val="nil"/>
              <w:right w:val="nil"/>
            </w:tcBorders>
            <w:shd w:val="clear" w:color="auto" w:fill="auto"/>
            <w:noWrap/>
            <w:vAlign w:val="bottom"/>
            <w:hideMark/>
          </w:tcPr>
          <w:p w14:paraId="6CFE6853" w14:textId="77777777" w:rsidR="00224D8E" w:rsidRPr="00224D8E" w:rsidRDefault="00224D8E" w:rsidP="00224D8E">
            <w:pPr>
              <w:spacing w:after="0" w:line="240" w:lineRule="auto"/>
              <w:rPr>
                <w:rFonts w:ascii="Times New Roman" w:eastAsia="Times New Roman" w:hAnsi="Times New Roman" w:cs="Times New Roman"/>
                <w:sz w:val="20"/>
                <w:szCs w:val="20"/>
                <w:lang w:eastAsia="en-AU"/>
              </w:rPr>
            </w:pPr>
          </w:p>
        </w:tc>
      </w:tr>
      <w:tr w:rsidR="00224D8E" w:rsidRPr="00224D8E" w14:paraId="183FE32A" w14:textId="77777777" w:rsidTr="00224D8E">
        <w:trPr>
          <w:trHeight w:val="300"/>
        </w:trPr>
        <w:tc>
          <w:tcPr>
            <w:tcW w:w="1885" w:type="dxa"/>
            <w:tcBorders>
              <w:top w:val="single" w:sz="4" w:space="0" w:color="auto"/>
              <w:left w:val="nil"/>
              <w:bottom w:val="nil"/>
              <w:right w:val="nil"/>
            </w:tcBorders>
            <w:shd w:val="clear" w:color="auto" w:fill="auto"/>
            <w:noWrap/>
            <w:vAlign w:val="bottom"/>
            <w:hideMark/>
          </w:tcPr>
          <w:p w14:paraId="364C6627"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tier 1</w:t>
            </w:r>
          </w:p>
        </w:tc>
        <w:tc>
          <w:tcPr>
            <w:tcW w:w="1890" w:type="dxa"/>
            <w:tcBorders>
              <w:top w:val="single" w:sz="4" w:space="0" w:color="auto"/>
              <w:left w:val="nil"/>
              <w:bottom w:val="nil"/>
              <w:right w:val="nil"/>
            </w:tcBorders>
            <w:shd w:val="clear" w:color="auto" w:fill="auto"/>
            <w:noWrap/>
            <w:vAlign w:val="bottom"/>
            <w:hideMark/>
          </w:tcPr>
          <w:p w14:paraId="2BF7C8B3"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$28 000</w:t>
            </w:r>
          </w:p>
        </w:tc>
        <w:tc>
          <w:tcPr>
            <w:tcW w:w="1949" w:type="dxa"/>
            <w:tcBorders>
              <w:top w:val="single" w:sz="4" w:space="0" w:color="auto"/>
              <w:left w:val="nil"/>
              <w:bottom w:val="nil"/>
              <w:right w:val="nil"/>
            </w:tcBorders>
            <w:shd w:val="clear" w:color="auto" w:fill="auto"/>
            <w:noWrap/>
            <w:vAlign w:val="bottom"/>
            <w:hideMark/>
          </w:tcPr>
          <w:p w14:paraId="5BDB4F65"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$140 000</w:t>
            </w:r>
          </w:p>
        </w:tc>
        <w:tc>
          <w:tcPr>
            <w:tcW w:w="222" w:type="dxa"/>
            <w:vAlign w:val="center"/>
            <w:hideMark/>
          </w:tcPr>
          <w:p w14:paraId="0781C3C4" w14:textId="77777777" w:rsidR="00224D8E" w:rsidRPr="00224D8E" w:rsidRDefault="00224D8E" w:rsidP="00224D8E">
            <w:pPr>
              <w:spacing w:after="0" w:line="240" w:lineRule="auto"/>
              <w:rPr>
                <w:rFonts w:ascii="Times New Roman" w:eastAsia="Times New Roman" w:hAnsi="Times New Roman" w:cs="Times New Roman"/>
                <w:sz w:val="20"/>
                <w:szCs w:val="20"/>
                <w:lang w:eastAsia="en-AU"/>
              </w:rPr>
            </w:pPr>
          </w:p>
        </w:tc>
      </w:tr>
      <w:tr w:rsidR="00224D8E" w:rsidRPr="00224D8E" w14:paraId="27A6563B" w14:textId="77777777" w:rsidTr="00224D8E">
        <w:trPr>
          <w:trHeight w:val="300"/>
        </w:trPr>
        <w:tc>
          <w:tcPr>
            <w:tcW w:w="1885" w:type="dxa"/>
            <w:tcBorders>
              <w:top w:val="nil"/>
              <w:left w:val="nil"/>
              <w:bottom w:val="nil"/>
              <w:right w:val="nil"/>
            </w:tcBorders>
            <w:shd w:val="clear" w:color="auto" w:fill="auto"/>
            <w:noWrap/>
            <w:vAlign w:val="bottom"/>
            <w:hideMark/>
          </w:tcPr>
          <w:p w14:paraId="65FA7522"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tier 2</w:t>
            </w:r>
          </w:p>
        </w:tc>
        <w:tc>
          <w:tcPr>
            <w:tcW w:w="1890" w:type="dxa"/>
            <w:tcBorders>
              <w:top w:val="nil"/>
              <w:left w:val="nil"/>
              <w:bottom w:val="nil"/>
              <w:right w:val="nil"/>
            </w:tcBorders>
            <w:shd w:val="clear" w:color="auto" w:fill="auto"/>
            <w:noWrap/>
            <w:vAlign w:val="bottom"/>
            <w:hideMark/>
          </w:tcPr>
          <w:p w14:paraId="546C8001" w14:textId="526B90AC" w:rsidR="00224D8E" w:rsidRPr="00224D8E" w:rsidRDefault="006B5BCB" w:rsidP="00224D8E">
            <w:pPr>
              <w:spacing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224D8E" w:rsidRPr="00224D8E">
              <w:rPr>
                <w:rFonts w:ascii="Times New Roman" w:eastAsia="Times New Roman" w:hAnsi="Times New Roman" w:cs="Times New Roman"/>
                <w:color w:val="000000"/>
                <w:sz w:val="20"/>
                <w:szCs w:val="20"/>
                <w:lang w:eastAsia="en-AU"/>
              </w:rPr>
              <w:t>$14 000</w:t>
            </w:r>
          </w:p>
        </w:tc>
        <w:tc>
          <w:tcPr>
            <w:tcW w:w="1949" w:type="dxa"/>
            <w:tcBorders>
              <w:top w:val="nil"/>
              <w:left w:val="nil"/>
              <w:bottom w:val="nil"/>
              <w:right w:val="nil"/>
            </w:tcBorders>
            <w:shd w:val="clear" w:color="auto" w:fill="auto"/>
            <w:noWrap/>
            <w:vAlign w:val="bottom"/>
            <w:hideMark/>
          </w:tcPr>
          <w:p w14:paraId="61777A5B"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$70 000</w:t>
            </w:r>
          </w:p>
        </w:tc>
        <w:tc>
          <w:tcPr>
            <w:tcW w:w="222" w:type="dxa"/>
            <w:vAlign w:val="center"/>
            <w:hideMark/>
          </w:tcPr>
          <w:p w14:paraId="3F9DE6A6" w14:textId="77777777" w:rsidR="00224D8E" w:rsidRPr="00224D8E" w:rsidRDefault="00224D8E" w:rsidP="00224D8E">
            <w:pPr>
              <w:spacing w:after="0" w:line="240" w:lineRule="auto"/>
              <w:rPr>
                <w:rFonts w:ascii="Times New Roman" w:eastAsia="Times New Roman" w:hAnsi="Times New Roman" w:cs="Times New Roman"/>
                <w:sz w:val="20"/>
                <w:szCs w:val="20"/>
                <w:lang w:eastAsia="en-AU"/>
              </w:rPr>
            </w:pPr>
          </w:p>
        </w:tc>
      </w:tr>
      <w:tr w:rsidR="00224D8E" w:rsidRPr="00224D8E" w14:paraId="48870DAB" w14:textId="77777777" w:rsidTr="00224D8E">
        <w:trPr>
          <w:trHeight w:val="300"/>
        </w:trPr>
        <w:tc>
          <w:tcPr>
            <w:tcW w:w="1885" w:type="dxa"/>
            <w:tcBorders>
              <w:top w:val="nil"/>
              <w:left w:val="nil"/>
              <w:bottom w:val="nil"/>
              <w:right w:val="nil"/>
            </w:tcBorders>
            <w:shd w:val="clear" w:color="auto" w:fill="auto"/>
            <w:noWrap/>
            <w:vAlign w:val="bottom"/>
            <w:hideMark/>
          </w:tcPr>
          <w:p w14:paraId="3346ECCD"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tier 3</w:t>
            </w:r>
          </w:p>
        </w:tc>
        <w:tc>
          <w:tcPr>
            <w:tcW w:w="1890" w:type="dxa"/>
            <w:tcBorders>
              <w:top w:val="nil"/>
              <w:left w:val="nil"/>
              <w:bottom w:val="nil"/>
              <w:right w:val="nil"/>
            </w:tcBorders>
            <w:shd w:val="clear" w:color="auto" w:fill="auto"/>
            <w:noWrap/>
            <w:vAlign w:val="bottom"/>
            <w:hideMark/>
          </w:tcPr>
          <w:p w14:paraId="42F7465F" w14:textId="39F76DC0" w:rsidR="00224D8E" w:rsidRPr="00224D8E" w:rsidRDefault="006B5BCB" w:rsidP="000242AC">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 xml:space="preserve">           </w:t>
            </w:r>
            <w:r w:rsidR="00224D8E" w:rsidRPr="00224D8E">
              <w:rPr>
                <w:rFonts w:ascii="Times New Roman" w:eastAsia="Times New Roman" w:hAnsi="Times New Roman" w:cs="Times New Roman"/>
                <w:color w:val="000000"/>
                <w:sz w:val="20"/>
                <w:szCs w:val="20"/>
                <w:lang w:eastAsia="en-AU"/>
              </w:rPr>
              <w:t>$7 000</w:t>
            </w:r>
          </w:p>
        </w:tc>
        <w:tc>
          <w:tcPr>
            <w:tcW w:w="1949" w:type="dxa"/>
            <w:tcBorders>
              <w:top w:val="nil"/>
              <w:left w:val="nil"/>
              <w:bottom w:val="nil"/>
              <w:right w:val="nil"/>
            </w:tcBorders>
            <w:shd w:val="clear" w:color="auto" w:fill="auto"/>
            <w:noWrap/>
            <w:vAlign w:val="bottom"/>
            <w:hideMark/>
          </w:tcPr>
          <w:p w14:paraId="23537272"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$35 000</w:t>
            </w:r>
          </w:p>
        </w:tc>
        <w:tc>
          <w:tcPr>
            <w:tcW w:w="222" w:type="dxa"/>
            <w:vAlign w:val="center"/>
            <w:hideMark/>
          </w:tcPr>
          <w:p w14:paraId="535A4146" w14:textId="77777777" w:rsidR="00224D8E" w:rsidRPr="00224D8E" w:rsidRDefault="00224D8E" w:rsidP="00224D8E">
            <w:pPr>
              <w:spacing w:after="0" w:line="240" w:lineRule="auto"/>
              <w:rPr>
                <w:rFonts w:ascii="Times New Roman" w:eastAsia="Times New Roman" w:hAnsi="Times New Roman" w:cs="Times New Roman"/>
                <w:sz w:val="20"/>
                <w:szCs w:val="20"/>
                <w:lang w:eastAsia="en-AU"/>
              </w:rPr>
            </w:pPr>
          </w:p>
        </w:tc>
      </w:tr>
      <w:tr w:rsidR="00224D8E" w:rsidRPr="00224D8E" w14:paraId="0B26E95E" w14:textId="77777777" w:rsidTr="00224D8E">
        <w:trPr>
          <w:trHeight w:val="300"/>
        </w:trPr>
        <w:tc>
          <w:tcPr>
            <w:tcW w:w="1885" w:type="dxa"/>
            <w:tcBorders>
              <w:top w:val="nil"/>
              <w:left w:val="nil"/>
              <w:bottom w:val="single" w:sz="4" w:space="0" w:color="auto"/>
              <w:right w:val="nil"/>
            </w:tcBorders>
            <w:shd w:val="clear" w:color="auto" w:fill="auto"/>
            <w:noWrap/>
            <w:vAlign w:val="bottom"/>
            <w:hideMark/>
          </w:tcPr>
          <w:p w14:paraId="002440E7"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tier 4</w:t>
            </w:r>
          </w:p>
        </w:tc>
        <w:tc>
          <w:tcPr>
            <w:tcW w:w="1890" w:type="dxa"/>
            <w:tcBorders>
              <w:top w:val="nil"/>
              <w:left w:val="nil"/>
              <w:bottom w:val="single" w:sz="4" w:space="0" w:color="auto"/>
              <w:right w:val="nil"/>
            </w:tcBorders>
            <w:shd w:val="clear" w:color="auto" w:fill="auto"/>
            <w:noWrap/>
            <w:vAlign w:val="bottom"/>
            <w:hideMark/>
          </w:tcPr>
          <w:p w14:paraId="09DA80FD"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$2 800</w:t>
            </w:r>
          </w:p>
        </w:tc>
        <w:tc>
          <w:tcPr>
            <w:tcW w:w="1949" w:type="dxa"/>
            <w:tcBorders>
              <w:top w:val="nil"/>
              <w:left w:val="nil"/>
              <w:bottom w:val="single" w:sz="4" w:space="0" w:color="auto"/>
              <w:right w:val="nil"/>
            </w:tcBorders>
            <w:shd w:val="clear" w:color="auto" w:fill="auto"/>
            <w:noWrap/>
            <w:vAlign w:val="bottom"/>
            <w:hideMark/>
          </w:tcPr>
          <w:p w14:paraId="1E931DB0" w14:textId="77777777" w:rsidR="00224D8E" w:rsidRPr="00224D8E" w:rsidRDefault="00224D8E" w:rsidP="00224D8E">
            <w:pPr>
              <w:spacing w:after="0" w:line="240" w:lineRule="auto"/>
              <w:jc w:val="center"/>
              <w:rPr>
                <w:rFonts w:ascii="Times New Roman" w:eastAsia="Times New Roman" w:hAnsi="Times New Roman" w:cs="Times New Roman"/>
                <w:color w:val="000000"/>
                <w:sz w:val="20"/>
                <w:szCs w:val="20"/>
                <w:lang w:eastAsia="en-AU"/>
              </w:rPr>
            </w:pPr>
            <w:r w:rsidRPr="00224D8E">
              <w:rPr>
                <w:rFonts w:ascii="Times New Roman" w:eastAsia="Times New Roman" w:hAnsi="Times New Roman" w:cs="Times New Roman"/>
                <w:color w:val="000000"/>
                <w:sz w:val="20"/>
                <w:szCs w:val="20"/>
                <w:lang w:eastAsia="en-AU"/>
              </w:rPr>
              <w:t>$14 000</w:t>
            </w:r>
          </w:p>
        </w:tc>
        <w:tc>
          <w:tcPr>
            <w:tcW w:w="222" w:type="dxa"/>
            <w:vAlign w:val="center"/>
            <w:hideMark/>
          </w:tcPr>
          <w:p w14:paraId="0CE6BE80" w14:textId="77777777" w:rsidR="00224D8E" w:rsidRPr="00224D8E" w:rsidRDefault="00224D8E" w:rsidP="00224D8E">
            <w:pPr>
              <w:spacing w:after="0" w:line="240" w:lineRule="auto"/>
              <w:rPr>
                <w:rFonts w:ascii="Times New Roman" w:eastAsia="Times New Roman" w:hAnsi="Times New Roman" w:cs="Times New Roman"/>
                <w:sz w:val="20"/>
                <w:szCs w:val="20"/>
                <w:lang w:eastAsia="en-AU"/>
              </w:rPr>
            </w:pPr>
          </w:p>
        </w:tc>
      </w:tr>
    </w:tbl>
    <w:p w14:paraId="70E382AC" w14:textId="77777777" w:rsidR="00224D8E" w:rsidRDefault="00224D8E" w:rsidP="00EE2C07">
      <w:pPr>
        <w:rPr>
          <w:rFonts w:ascii="Arial" w:hAnsi="Arial" w:cs="Arial"/>
          <w:color w:val="FF0000"/>
        </w:rPr>
      </w:pPr>
    </w:p>
    <w:p w14:paraId="7A38F3F8" w14:textId="254382BE" w:rsidR="006712E0" w:rsidRPr="00E4534A" w:rsidRDefault="006712E0" w:rsidP="00EE2C07">
      <w:pPr>
        <w:rPr>
          <w:rFonts w:ascii="Arial" w:hAnsi="Arial" w:cs="Arial"/>
          <w:color w:val="FF0000"/>
        </w:rPr>
      </w:pPr>
      <w:r w:rsidRPr="00D412C5">
        <w:rPr>
          <w:rFonts w:ascii="Arial" w:hAnsi="Arial" w:cs="Arial"/>
          <w:color w:val="000000" w:themeColor="text1"/>
        </w:rPr>
        <w:t xml:space="preserve">For </w:t>
      </w:r>
      <w:r w:rsidR="000F5E9E">
        <w:rPr>
          <w:rFonts w:ascii="Arial" w:hAnsi="Arial" w:cs="Arial"/>
          <w:color w:val="000000" w:themeColor="text1"/>
        </w:rPr>
        <w:t xml:space="preserve">civil penalty </w:t>
      </w:r>
      <w:r>
        <w:rPr>
          <w:rFonts w:ascii="Arial" w:hAnsi="Arial" w:cs="Arial"/>
          <w:color w:val="000000" w:themeColor="text1"/>
        </w:rPr>
        <w:t>tiers 1-</w:t>
      </w:r>
      <w:r w:rsidR="00940A18">
        <w:rPr>
          <w:rFonts w:ascii="Arial" w:hAnsi="Arial" w:cs="Arial"/>
          <w:color w:val="000000" w:themeColor="text1"/>
        </w:rPr>
        <w:t>4</w:t>
      </w:r>
      <w:r w:rsidRPr="00D412C5">
        <w:rPr>
          <w:rFonts w:ascii="Arial" w:hAnsi="Arial" w:cs="Arial"/>
          <w:color w:val="000000" w:themeColor="text1"/>
        </w:rPr>
        <w:t xml:space="preserve"> there are different maximum penalties for individuals and </w:t>
      </w:r>
      <w:r>
        <w:rPr>
          <w:rFonts w:ascii="Arial" w:hAnsi="Arial" w:cs="Arial"/>
          <w:color w:val="000000" w:themeColor="text1"/>
        </w:rPr>
        <w:t xml:space="preserve">for </w:t>
      </w:r>
      <w:r w:rsidRPr="00D412C5">
        <w:rPr>
          <w:rFonts w:ascii="Arial" w:hAnsi="Arial" w:cs="Arial"/>
          <w:color w:val="000000" w:themeColor="text1"/>
        </w:rPr>
        <w:t>bod</w:t>
      </w:r>
      <w:r w:rsidR="00B525EB">
        <w:rPr>
          <w:rFonts w:ascii="Arial" w:hAnsi="Arial" w:cs="Arial"/>
          <w:color w:val="000000" w:themeColor="text1"/>
        </w:rPr>
        <w:t>ies</w:t>
      </w:r>
      <w:r w:rsidRPr="00D412C5">
        <w:rPr>
          <w:rFonts w:ascii="Arial" w:hAnsi="Arial" w:cs="Arial"/>
          <w:color w:val="000000" w:themeColor="text1"/>
        </w:rPr>
        <w:t xml:space="preserve"> corporate</w:t>
      </w:r>
      <w:r>
        <w:rPr>
          <w:rFonts w:ascii="Arial" w:hAnsi="Arial" w:cs="Arial"/>
          <w:color w:val="000000" w:themeColor="text1"/>
        </w:rPr>
        <w:t xml:space="preserve">. </w:t>
      </w:r>
    </w:p>
    <w:p w14:paraId="50AF94E1" w14:textId="77777777" w:rsidR="00BF038A" w:rsidRDefault="00BF038A" w:rsidP="00BF038A">
      <w:pPr>
        <w:rPr>
          <w:rFonts w:ascii="Arial" w:hAnsi="Arial" w:cs="Arial"/>
        </w:rPr>
      </w:pPr>
      <w:r>
        <w:rPr>
          <w:rFonts w:ascii="Arial" w:hAnsi="Arial" w:cs="Arial"/>
          <w:b/>
          <w:bCs/>
        </w:rPr>
        <w:t xml:space="preserve">Clause 4 Indexation of maximum penalty amounts </w:t>
      </w:r>
    </w:p>
    <w:p w14:paraId="7AEF64B6" w14:textId="0746BF25" w:rsidR="00BF038A" w:rsidRDefault="00BF038A" w:rsidP="00BF038A">
      <w:pPr>
        <w:rPr>
          <w:rFonts w:ascii="Arial" w:hAnsi="Arial" w:cs="Arial"/>
          <w:iCs/>
        </w:rPr>
      </w:pPr>
      <w:bookmarkStart w:id="0" w:name="_Hlk135214796"/>
      <w:r w:rsidRPr="00720145">
        <w:rPr>
          <w:rFonts w:ascii="Arial" w:hAnsi="Arial" w:cs="Arial"/>
        </w:rPr>
        <w:t xml:space="preserve">Clause 4 </w:t>
      </w:r>
      <w:r w:rsidRPr="007058DF">
        <w:rPr>
          <w:rFonts w:ascii="Arial" w:hAnsi="Arial" w:cs="Arial"/>
        </w:rPr>
        <w:t>amend</w:t>
      </w:r>
      <w:r>
        <w:rPr>
          <w:rFonts w:ascii="Arial" w:hAnsi="Arial" w:cs="Arial"/>
        </w:rPr>
        <w:t>s</w:t>
      </w:r>
      <w:r w:rsidRPr="007058DF">
        <w:rPr>
          <w:rFonts w:ascii="Arial" w:hAnsi="Arial" w:cs="Arial"/>
        </w:rPr>
        <w:t xml:space="preserve"> the penalty levels in the model WHS Act to reflect increases in </w:t>
      </w:r>
      <w:r>
        <w:rPr>
          <w:rFonts w:ascii="Arial" w:hAnsi="Arial" w:cs="Arial"/>
        </w:rPr>
        <w:t>the</w:t>
      </w:r>
      <w:r w:rsidRPr="00720145">
        <w:rPr>
          <w:rFonts w:ascii="Arial" w:hAnsi="Arial" w:cs="Arial"/>
        </w:rPr>
        <w:t xml:space="preserve"> Consumer Price Index (CPI)</w:t>
      </w:r>
      <w:r w:rsidR="00B73AB4">
        <w:rPr>
          <w:rFonts w:ascii="Arial" w:hAnsi="Arial" w:cs="Arial"/>
        </w:rPr>
        <w:t>, as discussed at item [4] above. This</w:t>
      </w:r>
      <w:r>
        <w:rPr>
          <w:rFonts w:ascii="Arial" w:hAnsi="Arial" w:cs="Arial"/>
        </w:rPr>
        <w:t xml:space="preserve"> is achieved by introducing </w:t>
      </w:r>
      <w:r w:rsidRPr="00720145">
        <w:rPr>
          <w:rFonts w:ascii="Arial" w:hAnsi="Arial" w:cs="Arial"/>
        </w:rPr>
        <w:t>an indexation formula</w:t>
      </w:r>
      <w:r>
        <w:rPr>
          <w:rFonts w:ascii="Arial" w:hAnsi="Arial" w:cs="Arial"/>
        </w:rPr>
        <w:t>,</w:t>
      </w:r>
      <w:r w:rsidRPr="00720145">
        <w:rPr>
          <w:rFonts w:ascii="Arial" w:hAnsi="Arial" w:cs="Arial"/>
        </w:rPr>
        <w:t xml:space="preserve"> </w:t>
      </w:r>
      <w:r w:rsidRPr="00720145">
        <w:rPr>
          <w:rFonts w:ascii="Arial" w:hAnsi="Arial" w:cs="Arial"/>
          <w:iCs/>
        </w:rPr>
        <w:t xml:space="preserve">which is </w:t>
      </w:r>
      <w:r>
        <w:rPr>
          <w:rFonts w:ascii="Arial" w:hAnsi="Arial" w:cs="Arial"/>
          <w:iCs/>
        </w:rPr>
        <w:t xml:space="preserve">to be </w:t>
      </w:r>
      <w:r w:rsidRPr="00720145">
        <w:rPr>
          <w:rFonts w:ascii="Arial" w:hAnsi="Arial" w:cs="Arial"/>
          <w:iCs/>
        </w:rPr>
        <w:t xml:space="preserve">applied </w:t>
      </w:r>
      <w:r>
        <w:rPr>
          <w:rFonts w:ascii="Arial" w:hAnsi="Arial" w:cs="Arial"/>
          <w:iCs/>
        </w:rPr>
        <w:t xml:space="preserve">annually </w:t>
      </w:r>
      <w:r w:rsidRPr="00720145">
        <w:rPr>
          <w:rFonts w:ascii="Arial" w:hAnsi="Arial" w:cs="Arial"/>
          <w:iCs/>
        </w:rPr>
        <w:t>to all monetary penalties in the model WHS Act and the model WHS Regulations</w:t>
      </w:r>
      <w:r>
        <w:rPr>
          <w:rFonts w:ascii="Arial" w:hAnsi="Arial" w:cs="Arial"/>
          <w:iCs/>
        </w:rPr>
        <w:t xml:space="preserve">. </w:t>
      </w:r>
    </w:p>
    <w:p w14:paraId="4CF78650" w14:textId="77777777" w:rsidR="00BF038A" w:rsidRDefault="00BF038A" w:rsidP="00BF038A">
      <w:pPr>
        <w:rPr>
          <w:rFonts w:ascii="Arial" w:hAnsi="Arial" w:cs="Arial"/>
          <w:iCs/>
        </w:rPr>
      </w:pPr>
      <w:r>
        <w:rPr>
          <w:rFonts w:ascii="Arial" w:hAnsi="Arial" w:cs="Arial"/>
          <w:iCs/>
        </w:rPr>
        <w:t xml:space="preserve">Clause 4(1) establishes that each monetary penalty set out in clauses 1-3 must be indexed for the year commencing on 1 July 2024, and each subsequent year in accordance with clause 4. </w:t>
      </w:r>
    </w:p>
    <w:p w14:paraId="4EE88FFE" w14:textId="6F57A5A0" w:rsidR="00BF038A" w:rsidRDefault="00BF038A" w:rsidP="00BF038A">
      <w:pPr>
        <w:rPr>
          <w:rFonts w:ascii="Arial" w:hAnsi="Arial" w:cs="Arial"/>
          <w:iCs/>
        </w:rPr>
      </w:pPr>
      <w:r>
        <w:rPr>
          <w:rFonts w:ascii="Arial" w:hAnsi="Arial" w:cs="Arial"/>
          <w:iCs/>
        </w:rPr>
        <w:t xml:space="preserve">Clause 4(2) contains the formula for calculating the maximum amount of each monetary penalty that will </w:t>
      </w:r>
      <w:r w:rsidR="00927BA4">
        <w:rPr>
          <w:rFonts w:ascii="Arial" w:hAnsi="Arial" w:cs="Arial"/>
          <w:iCs/>
        </w:rPr>
        <w:t xml:space="preserve">apply </w:t>
      </w:r>
      <w:r>
        <w:rPr>
          <w:rFonts w:ascii="Arial" w:hAnsi="Arial" w:cs="Arial"/>
          <w:iCs/>
        </w:rPr>
        <w:t xml:space="preserve">in each year. The maximum amount is calculated </w:t>
      </w:r>
      <w:r w:rsidR="005337B8">
        <w:rPr>
          <w:rFonts w:ascii="Arial" w:hAnsi="Arial" w:cs="Arial"/>
          <w:iCs/>
        </w:rPr>
        <w:t>as follows</w:t>
      </w:r>
      <w:r>
        <w:rPr>
          <w:rFonts w:ascii="Arial" w:hAnsi="Arial" w:cs="Arial"/>
          <w:iCs/>
        </w:rPr>
        <w:t>—</w:t>
      </w:r>
    </w:p>
    <w:p w14:paraId="3394DB9E" w14:textId="7E735250" w:rsidR="005337B8" w:rsidRPr="002C72AA" w:rsidRDefault="005337B8" w:rsidP="002C72AA">
      <m:oMathPara>
        <m:oMathParaPr>
          <m:jc m:val="left"/>
        </m:oMathParaPr>
        <m:oMath>
          <m:r>
            <w:rPr>
              <w:rFonts w:ascii="Cambria Math" w:hAnsi="Cambria Math"/>
            </w:rPr>
            <m:t xml:space="preserve">A x </m:t>
          </m:r>
          <m:f>
            <m:fPr>
              <m:ctrlPr>
                <w:rPr>
                  <w:rFonts w:ascii="Cambria Math" w:hAnsi="Cambria Math"/>
                  <w:i/>
                  <w:kern w:val="2"/>
                  <w14:ligatures w14:val="standardContextual"/>
                </w:rPr>
              </m:ctrlPr>
            </m:fPr>
            <m:num>
              <m:r>
                <w:rPr>
                  <w:rFonts w:ascii="Cambria Math" w:hAnsi="Cambria Math"/>
                </w:rPr>
                <m:t>B</m:t>
              </m:r>
            </m:num>
            <m:den>
              <m:r>
                <w:rPr>
                  <w:rFonts w:ascii="Cambria Math" w:hAnsi="Cambria Math"/>
                </w:rPr>
                <m:t>C</m:t>
              </m:r>
            </m:den>
          </m:f>
        </m:oMath>
      </m:oMathPara>
    </w:p>
    <w:p w14:paraId="473831E3" w14:textId="1384AE44" w:rsidR="002C72AA" w:rsidRDefault="002C72AA" w:rsidP="00BF038A">
      <w:pPr>
        <w:rPr>
          <w:rFonts w:ascii="Arial" w:hAnsi="Arial" w:cs="Arial"/>
          <w:iCs/>
        </w:rPr>
      </w:pPr>
      <w:r>
        <w:rPr>
          <w:rFonts w:ascii="Arial" w:hAnsi="Arial" w:cs="Arial"/>
          <w:iCs/>
        </w:rPr>
        <w:t>where –</w:t>
      </w:r>
    </w:p>
    <w:p w14:paraId="59BEAD09" w14:textId="7B141AEF" w:rsidR="00FB5CAE" w:rsidRDefault="00FB5CAE" w:rsidP="00BF038A">
      <w:pPr>
        <w:ind w:left="720"/>
        <w:rPr>
          <w:rFonts w:ascii="Arial" w:hAnsi="Arial" w:cs="Arial"/>
          <w:iCs/>
        </w:rPr>
      </w:pPr>
      <w:r>
        <w:rPr>
          <w:rFonts w:ascii="Arial" w:hAnsi="Arial" w:cs="Arial"/>
          <w:iCs/>
        </w:rPr>
        <w:t xml:space="preserve">A </w:t>
      </w:r>
      <w:r w:rsidR="00E102A6">
        <w:rPr>
          <w:rFonts w:ascii="Arial" w:hAnsi="Arial" w:cs="Arial"/>
          <w:iCs/>
        </w:rPr>
        <w:t xml:space="preserve">is the maximum amount of a monetary penalty set out in clauses 1-3. </w:t>
      </w:r>
    </w:p>
    <w:p w14:paraId="4AE8D073" w14:textId="64CF38CA" w:rsidR="00BF038A" w:rsidRDefault="00925E3C" w:rsidP="00BF038A">
      <w:pPr>
        <w:ind w:left="720"/>
        <w:rPr>
          <w:rFonts w:ascii="Arial" w:hAnsi="Arial" w:cs="Arial"/>
          <w:iCs/>
        </w:rPr>
      </w:pPr>
      <w:r>
        <w:rPr>
          <w:rFonts w:ascii="Arial" w:hAnsi="Arial" w:cs="Arial"/>
          <w:iCs/>
        </w:rPr>
        <w:t>B</w:t>
      </w:r>
      <w:r w:rsidR="00BF038A">
        <w:rPr>
          <w:rFonts w:ascii="Arial" w:hAnsi="Arial" w:cs="Arial"/>
          <w:iCs/>
        </w:rPr>
        <w:t xml:space="preserve"> is the CPI number for the March quarter in the year immediately preceding the year for which the amount is calculated.</w:t>
      </w:r>
    </w:p>
    <w:p w14:paraId="6091A910" w14:textId="57BA2EF7" w:rsidR="00BF038A" w:rsidRDefault="00925E3C" w:rsidP="00BF038A">
      <w:pPr>
        <w:ind w:left="720"/>
        <w:rPr>
          <w:rFonts w:ascii="Arial" w:hAnsi="Arial" w:cs="Arial"/>
          <w:iCs/>
        </w:rPr>
      </w:pPr>
      <w:r>
        <w:rPr>
          <w:rFonts w:ascii="Arial" w:hAnsi="Arial" w:cs="Arial"/>
          <w:iCs/>
        </w:rPr>
        <w:t>C</w:t>
      </w:r>
      <w:r w:rsidR="00BF038A">
        <w:rPr>
          <w:rFonts w:ascii="Arial" w:hAnsi="Arial" w:cs="Arial"/>
          <w:iCs/>
        </w:rPr>
        <w:t xml:space="preserve"> is the CPI number for the March quarter of 2022. </w:t>
      </w:r>
    </w:p>
    <w:p w14:paraId="57C720DF" w14:textId="21EDEA8F" w:rsidR="006B5A43" w:rsidRDefault="006B5A43" w:rsidP="00224D8E">
      <w:pPr>
        <w:rPr>
          <w:rFonts w:ascii="Arial" w:hAnsi="Arial" w:cs="Arial"/>
          <w:iCs/>
        </w:rPr>
      </w:pPr>
      <w:r>
        <w:rPr>
          <w:rFonts w:ascii="Arial" w:hAnsi="Arial" w:cs="Arial"/>
          <w:iCs/>
        </w:rPr>
        <w:t>This formula is ad</w:t>
      </w:r>
      <w:r w:rsidR="000300CF">
        <w:rPr>
          <w:rFonts w:ascii="Arial" w:hAnsi="Arial" w:cs="Arial"/>
          <w:iCs/>
        </w:rPr>
        <w:t>a</w:t>
      </w:r>
      <w:r>
        <w:rPr>
          <w:rFonts w:ascii="Arial" w:hAnsi="Arial" w:cs="Arial"/>
          <w:iCs/>
        </w:rPr>
        <w:t>pted from the indexation formula used in s</w:t>
      </w:r>
      <w:r w:rsidR="008C713F">
        <w:rPr>
          <w:rFonts w:ascii="Arial" w:hAnsi="Arial" w:cs="Arial"/>
          <w:iCs/>
        </w:rPr>
        <w:t>ubs</w:t>
      </w:r>
      <w:r>
        <w:rPr>
          <w:rFonts w:ascii="Arial" w:hAnsi="Arial" w:cs="Arial"/>
          <w:iCs/>
        </w:rPr>
        <w:t>ection 242B</w:t>
      </w:r>
      <w:r w:rsidR="00C52B03">
        <w:rPr>
          <w:rFonts w:ascii="Arial" w:hAnsi="Arial" w:cs="Arial"/>
          <w:iCs/>
        </w:rPr>
        <w:t>(1)</w:t>
      </w:r>
      <w:r>
        <w:rPr>
          <w:rFonts w:ascii="Arial" w:hAnsi="Arial" w:cs="Arial"/>
          <w:iCs/>
        </w:rPr>
        <w:t xml:space="preserve"> of the NSW </w:t>
      </w:r>
      <w:r w:rsidRPr="00631456">
        <w:rPr>
          <w:rFonts w:ascii="Arial" w:hAnsi="Arial" w:cs="Arial"/>
          <w:i/>
        </w:rPr>
        <w:t>Work Health and Safety Act 2011</w:t>
      </w:r>
      <w:r>
        <w:rPr>
          <w:rFonts w:ascii="Arial" w:hAnsi="Arial" w:cs="Arial"/>
          <w:iCs/>
        </w:rPr>
        <w:t>.</w:t>
      </w:r>
    </w:p>
    <w:p w14:paraId="11A93B6C" w14:textId="7388879A" w:rsidR="000E5341" w:rsidRPr="00720145" w:rsidRDefault="00CD09BB" w:rsidP="00224D8E">
      <w:pPr>
        <w:rPr>
          <w:rFonts w:ascii="Arial" w:hAnsi="Arial" w:cs="Arial"/>
        </w:rPr>
      </w:pPr>
      <w:r>
        <w:rPr>
          <w:rFonts w:ascii="Arial" w:hAnsi="Arial" w:cs="Arial"/>
          <w:iCs/>
        </w:rPr>
        <w:t xml:space="preserve">The denominator year of 2022 applies because the calculation of the one-off increase </w:t>
      </w:r>
      <w:r w:rsidR="000771AC">
        <w:rPr>
          <w:rFonts w:ascii="Arial" w:hAnsi="Arial" w:cs="Arial"/>
          <w:iCs/>
        </w:rPr>
        <w:t>(of 39.03%) was f</w:t>
      </w:r>
      <w:r w:rsidR="00541667">
        <w:rPr>
          <w:rFonts w:ascii="Arial" w:hAnsi="Arial" w:cs="Arial"/>
          <w:iCs/>
        </w:rPr>
        <w:t>or the period from the commencement of the model WHS law in 2011 until 2021</w:t>
      </w:r>
      <w:r w:rsidR="009F3AAB">
        <w:rPr>
          <w:rFonts w:ascii="Arial" w:hAnsi="Arial" w:cs="Arial"/>
          <w:iCs/>
        </w:rPr>
        <w:t>.</w:t>
      </w:r>
    </w:p>
    <w:p w14:paraId="4F0FAA1F" w14:textId="2DAF041D" w:rsidR="00BF038A" w:rsidRDefault="00BF038A" w:rsidP="00BF038A">
      <w:pPr>
        <w:rPr>
          <w:rFonts w:ascii="Arial" w:hAnsi="Arial" w:cs="Arial"/>
          <w:color w:val="000000"/>
        </w:rPr>
      </w:pPr>
      <w:r>
        <w:rPr>
          <w:rFonts w:ascii="Arial" w:hAnsi="Arial" w:cs="Arial"/>
          <w:color w:val="000000"/>
        </w:rPr>
        <w:t xml:space="preserve">Clause 4(3) provides that if the maximum amount of a monetary penalty calculated for a year is less than the amount that applied in the previous year, then the amount for the previous year continues to apply. </w:t>
      </w:r>
      <w:r w:rsidR="000E5341">
        <w:rPr>
          <w:rFonts w:ascii="Arial" w:hAnsi="Arial" w:cs="Arial"/>
          <w:color w:val="000000"/>
        </w:rPr>
        <w:t>This ensures that penalty levels do not decrease.</w:t>
      </w:r>
    </w:p>
    <w:p w14:paraId="20B60E58" w14:textId="253AC3F3" w:rsidR="00A6409D" w:rsidRDefault="00BF038A" w:rsidP="0054683C">
      <w:pPr>
        <w:rPr>
          <w:rFonts w:ascii="Arial" w:hAnsi="Arial" w:cs="Arial"/>
          <w:i/>
          <w:iCs/>
          <w:color w:val="000000"/>
        </w:rPr>
      </w:pPr>
      <w:r>
        <w:rPr>
          <w:rFonts w:ascii="Arial" w:hAnsi="Arial" w:cs="Arial"/>
          <w:color w:val="000000"/>
        </w:rPr>
        <w:t xml:space="preserve">Clause 4(4) defines </w:t>
      </w:r>
      <w:r w:rsidRPr="00B46EAC">
        <w:rPr>
          <w:rFonts w:ascii="Arial" w:hAnsi="Arial" w:cs="Arial"/>
          <w:i/>
          <w:iCs/>
          <w:color w:val="000000"/>
        </w:rPr>
        <w:t>CPI number</w:t>
      </w:r>
      <w:r>
        <w:rPr>
          <w:rFonts w:ascii="Arial" w:hAnsi="Arial" w:cs="Arial"/>
          <w:color w:val="000000"/>
        </w:rPr>
        <w:t xml:space="preserve"> to mean the All Groups Consumer Price Index number, that is, the weighted average of the 8 Australian capital cities, published by the Australian Statistician. </w:t>
      </w:r>
      <w:r w:rsidRPr="00403DBE">
        <w:rPr>
          <w:rFonts w:ascii="Arial" w:hAnsi="Arial" w:cs="Arial"/>
          <w:i/>
          <w:iCs/>
          <w:color w:val="000000"/>
        </w:rPr>
        <w:t xml:space="preserve">Year </w:t>
      </w:r>
      <w:r>
        <w:rPr>
          <w:rFonts w:ascii="Arial" w:hAnsi="Arial" w:cs="Arial"/>
          <w:color w:val="000000"/>
        </w:rPr>
        <w:t xml:space="preserve">means a period of 12 months starting on 1 July. </w:t>
      </w:r>
      <w:bookmarkEnd w:id="0"/>
    </w:p>
    <w:p w14:paraId="333E12EF" w14:textId="77777777" w:rsidR="00DB7B44" w:rsidRDefault="00DB7B44">
      <w:pPr>
        <w:rPr>
          <w:rFonts w:ascii="Arial" w:hAnsi="Arial" w:cs="Arial"/>
          <w:i/>
          <w:iCs/>
          <w:color w:val="000000"/>
          <w:sz w:val="20"/>
          <w:szCs w:val="20"/>
        </w:rPr>
      </w:pPr>
      <w:r>
        <w:rPr>
          <w:rFonts w:ascii="Arial" w:hAnsi="Arial" w:cs="Arial"/>
          <w:i/>
          <w:iCs/>
          <w:color w:val="000000"/>
          <w:sz w:val="20"/>
          <w:szCs w:val="20"/>
        </w:rPr>
        <w:br w:type="page"/>
      </w:r>
    </w:p>
    <w:p w14:paraId="451F17DD" w14:textId="6CEF4BDB" w:rsidR="00887784" w:rsidRPr="00996B18" w:rsidRDefault="00887784" w:rsidP="00887784">
      <w:pPr>
        <w:rPr>
          <w:rFonts w:ascii="Arial" w:hAnsi="Arial" w:cs="Arial"/>
          <w:color w:val="000000"/>
          <w:sz w:val="20"/>
          <w:szCs w:val="20"/>
        </w:rPr>
      </w:pPr>
      <w:r w:rsidRPr="00674F30">
        <w:rPr>
          <w:rFonts w:ascii="Arial" w:hAnsi="Arial" w:cs="Arial"/>
          <w:i/>
          <w:iCs/>
          <w:color w:val="000000"/>
          <w:sz w:val="20"/>
          <w:szCs w:val="20"/>
        </w:rPr>
        <w:lastRenderedPageBreak/>
        <w:t xml:space="preserve">Example indexation of monetary value of penalty </w:t>
      </w:r>
      <w:r w:rsidR="00924BD7">
        <w:rPr>
          <w:rFonts w:ascii="Arial" w:hAnsi="Arial" w:cs="Arial"/>
          <w:i/>
          <w:iCs/>
          <w:color w:val="000000"/>
          <w:sz w:val="20"/>
          <w:szCs w:val="20"/>
        </w:rPr>
        <w:t>tier</w:t>
      </w:r>
      <w:r w:rsidRPr="00674F30">
        <w:rPr>
          <w:rFonts w:ascii="Arial" w:hAnsi="Arial" w:cs="Arial"/>
          <w:i/>
          <w:iCs/>
          <w:color w:val="000000"/>
          <w:sz w:val="20"/>
          <w:szCs w:val="20"/>
        </w:rPr>
        <w:t xml:space="preserve"> in accordance with clause 4(2):</w:t>
      </w:r>
      <w:r w:rsidRPr="00996B18">
        <w:rPr>
          <w:rFonts w:ascii="Arial" w:hAnsi="Arial" w:cs="Arial"/>
          <w:i/>
          <w:iCs/>
          <w:color w:val="000000"/>
          <w:sz w:val="20"/>
          <w:szCs w:val="20"/>
        </w:rPr>
        <w:t xml:space="preserve"> </w:t>
      </w:r>
    </w:p>
    <w:tbl>
      <w:tblPr>
        <w:tblStyle w:val="TableGrid"/>
        <w:tblW w:w="0" w:type="auto"/>
        <w:tblLook w:val="04A0" w:firstRow="1" w:lastRow="0" w:firstColumn="1" w:lastColumn="0" w:noHBand="0" w:noVBand="1"/>
      </w:tblPr>
      <w:tblGrid>
        <w:gridCol w:w="9016"/>
      </w:tblGrid>
      <w:tr w:rsidR="00887784" w:rsidRPr="00996B18" w14:paraId="3FB4F2DC" w14:textId="77777777" w:rsidTr="008466C1">
        <w:trPr>
          <w:trHeight w:val="557"/>
        </w:trPr>
        <w:tc>
          <w:tcPr>
            <w:tcW w:w="9016" w:type="dxa"/>
          </w:tcPr>
          <w:p w14:paraId="54E35BE4" w14:textId="44440F52" w:rsidR="00887784" w:rsidRPr="00996B18" w:rsidRDefault="00887784" w:rsidP="00BD2925">
            <w:pPr>
              <w:rPr>
                <w:rFonts w:ascii="Arial" w:hAnsi="Arial" w:cs="Arial"/>
                <w:color w:val="000000"/>
                <w:sz w:val="20"/>
                <w:szCs w:val="20"/>
              </w:rPr>
            </w:pPr>
            <w:r w:rsidRPr="00996B18">
              <w:rPr>
                <w:rFonts w:ascii="Arial" w:hAnsi="Arial" w:cs="Arial"/>
                <w:color w:val="000000"/>
                <w:sz w:val="20"/>
                <w:szCs w:val="20"/>
              </w:rPr>
              <w:t>E.g., if indexing the tier A penalty for a body corporate in 202</w:t>
            </w:r>
            <w:r w:rsidR="007D6F39">
              <w:rPr>
                <w:rFonts w:ascii="Arial" w:hAnsi="Arial" w:cs="Arial"/>
                <w:color w:val="000000"/>
                <w:sz w:val="20"/>
                <w:szCs w:val="20"/>
              </w:rPr>
              <w:t>4</w:t>
            </w:r>
            <w:r w:rsidRPr="00996B18">
              <w:rPr>
                <w:rFonts w:ascii="Arial" w:hAnsi="Arial" w:cs="Arial"/>
                <w:color w:val="000000"/>
                <w:sz w:val="20"/>
                <w:szCs w:val="20"/>
              </w:rPr>
              <w:t xml:space="preserve">: </w:t>
            </w:r>
          </w:p>
          <w:p w14:paraId="1B9DEF89" w14:textId="77777777" w:rsidR="007D6F39" w:rsidRDefault="007D6F39" w:rsidP="00BD2925">
            <w:pPr>
              <w:ind w:left="720"/>
              <w:rPr>
                <w:rFonts w:ascii="Arial" w:hAnsi="Arial" w:cs="Arial"/>
                <w:color w:val="000000"/>
                <w:sz w:val="20"/>
                <w:szCs w:val="20"/>
              </w:rPr>
            </w:pPr>
          </w:p>
          <w:p w14:paraId="31492C2B" w14:textId="36E8CA19" w:rsidR="00887784" w:rsidRPr="00996B18" w:rsidRDefault="00887784" w:rsidP="00BD2925">
            <w:pPr>
              <w:ind w:left="720"/>
              <w:rPr>
                <w:rFonts w:ascii="Arial" w:hAnsi="Arial" w:cs="Arial"/>
                <w:color w:val="000000"/>
                <w:sz w:val="20"/>
                <w:szCs w:val="20"/>
              </w:rPr>
            </w:pPr>
            <w:r w:rsidRPr="00996B18">
              <w:rPr>
                <w:rFonts w:ascii="Arial" w:hAnsi="Arial" w:cs="Arial"/>
                <w:color w:val="000000"/>
                <w:sz w:val="20"/>
                <w:szCs w:val="20"/>
              </w:rPr>
              <w:t xml:space="preserve">Current maximum penalty amount = </w:t>
            </w:r>
            <w:r w:rsidRPr="00996B18">
              <w:rPr>
                <w:rFonts w:ascii="Arial" w:hAnsi="Arial" w:cs="Arial"/>
                <w:sz w:val="20"/>
                <w:szCs w:val="20"/>
              </w:rPr>
              <w:t>$695 000</w:t>
            </w:r>
          </w:p>
          <w:p w14:paraId="5D602069" w14:textId="77777777" w:rsidR="007D6F39" w:rsidRDefault="007D6F39" w:rsidP="00BD2925">
            <w:pPr>
              <w:ind w:left="720"/>
              <w:rPr>
                <w:rFonts w:ascii="Arial" w:hAnsi="Arial" w:cs="Arial"/>
                <w:color w:val="000000"/>
                <w:sz w:val="20"/>
                <w:szCs w:val="20"/>
              </w:rPr>
            </w:pPr>
          </w:p>
          <w:p w14:paraId="5F304E80" w14:textId="449C2D24" w:rsidR="00887784" w:rsidRPr="00996B18" w:rsidRDefault="002C7EA9" w:rsidP="00BD2925">
            <w:pPr>
              <w:ind w:left="720"/>
              <w:rPr>
                <w:rFonts w:ascii="Arial" w:hAnsi="Arial" w:cs="Arial"/>
                <w:color w:val="000000"/>
                <w:sz w:val="20"/>
                <w:szCs w:val="20"/>
              </w:rPr>
            </w:pPr>
            <w:r>
              <w:rPr>
                <w:rFonts w:ascii="Arial" w:hAnsi="Arial" w:cs="Arial"/>
                <w:color w:val="000000"/>
                <w:sz w:val="20"/>
                <w:szCs w:val="20"/>
              </w:rPr>
              <w:t>B</w:t>
            </w:r>
            <w:r w:rsidR="00887784" w:rsidRPr="00996B18">
              <w:rPr>
                <w:rFonts w:ascii="Arial" w:hAnsi="Arial" w:cs="Arial"/>
                <w:color w:val="000000"/>
                <w:sz w:val="20"/>
                <w:szCs w:val="20"/>
              </w:rPr>
              <w:t xml:space="preserve"> = </w:t>
            </w:r>
            <w:r w:rsidR="006205F4">
              <w:rPr>
                <w:rFonts w:ascii="Arial" w:hAnsi="Arial" w:cs="Arial"/>
                <w:color w:val="000000"/>
                <w:sz w:val="20"/>
                <w:szCs w:val="20"/>
              </w:rPr>
              <w:t xml:space="preserve">132.6 </w:t>
            </w:r>
            <w:r w:rsidR="00887784" w:rsidRPr="00996B18">
              <w:rPr>
                <w:rFonts w:ascii="Arial" w:hAnsi="Arial" w:cs="Arial"/>
                <w:color w:val="000000"/>
                <w:sz w:val="20"/>
                <w:szCs w:val="20"/>
              </w:rPr>
              <w:t>(the CPI number for the March quarter in 202</w:t>
            </w:r>
            <w:r w:rsidR="00516558">
              <w:rPr>
                <w:rFonts w:ascii="Arial" w:hAnsi="Arial" w:cs="Arial"/>
                <w:color w:val="000000"/>
                <w:sz w:val="20"/>
                <w:szCs w:val="20"/>
              </w:rPr>
              <w:t>3</w:t>
            </w:r>
            <w:r w:rsidR="00887784" w:rsidRPr="00996B18">
              <w:rPr>
                <w:rFonts w:ascii="Arial" w:hAnsi="Arial" w:cs="Arial"/>
                <w:color w:val="000000"/>
                <w:sz w:val="20"/>
                <w:szCs w:val="20"/>
              </w:rPr>
              <w:t xml:space="preserve">, being the year immediately preceding the year for which the amount is calculated) </w:t>
            </w:r>
          </w:p>
          <w:p w14:paraId="75EFB090" w14:textId="77777777" w:rsidR="007D6F39" w:rsidRDefault="007D6F39" w:rsidP="00BD2925">
            <w:pPr>
              <w:ind w:left="720"/>
              <w:rPr>
                <w:rFonts w:ascii="Arial" w:hAnsi="Arial" w:cs="Arial"/>
                <w:color w:val="000000"/>
                <w:sz w:val="20"/>
                <w:szCs w:val="20"/>
              </w:rPr>
            </w:pPr>
          </w:p>
          <w:p w14:paraId="5B407F62" w14:textId="5C22AF43" w:rsidR="00887784" w:rsidRDefault="002C7EA9" w:rsidP="00BD2925">
            <w:pPr>
              <w:ind w:left="720"/>
              <w:rPr>
                <w:rFonts w:ascii="Arial" w:hAnsi="Arial" w:cs="Arial"/>
                <w:color w:val="000000"/>
                <w:sz w:val="20"/>
                <w:szCs w:val="20"/>
              </w:rPr>
            </w:pPr>
            <w:r>
              <w:rPr>
                <w:rFonts w:ascii="Arial" w:hAnsi="Arial" w:cs="Arial"/>
                <w:color w:val="000000"/>
                <w:sz w:val="20"/>
                <w:szCs w:val="20"/>
              </w:rPr>
              <w:t>C</w:t>
            </w:r>
            <w:r w:rsidR="00887784" w:rsidRPr="00996B18">
              <w:rPr>
                <w:rFonts w:ascii="Arial" w:hAnsi="Arial" w:cs="Arial"/>
                <w:color w:val="000000"/>
                <w:sz w:val="20"/>
                <w:szCs w:val="20"/>
              </w:rPr>
              <w:t xml:space="preserve"> = </w:t>
            </w:r>
            <w:r w:rsidR="006205F4" w:rsidRPr="00996B18">
              <w:rPr>
                <w:rFonts w:ascii="Arial" w:hAnsi="Arial" w:cs="Arial"/>
                <w:color w:val="000000"/>
                <w:sz w:val="20"/>
                <w:szCs w:val="20"/>
              </w:rPr>
              <w:t>117.9</w:t>
            </w:r>
            <w:r w:rsidR="00887784" w:rsidRPr="00996B18">
              <w:rPr>
                <w:rFonts w:ascii="Arial" w:hAnsi="Arial" w:cs="Arial"/>
                <w:color w:val="000000"/>
                <w:sz w:val="20"/>
                <w:szCs w:val="20"/>
              </w:rPr>
              <w:t>, being the CPI number for the March quarter of 2022</w:t>
            </w:r>
          </w:p>
          <w:p w14:paraId="763DBA1B" w14:textId="77777777" w:rsidR="007D6F39" w:rsidRPr="00996B18" w:rsidRDefault="007D6F39" w:rsidP="00BD2925">
            <w:pPr>
              <w:ind w:left="720"/>
              <w:rPr>
                <w:rFonts w:ascii="Arial" w:hAnsi="Arial" w:cs="Arial"/>
                <w:color w:val="000000"/>
                <w:sz w:val="20"/>
                <w:szCs w:val="20"/>
              </w:rPr>
            </w:pPr>
          </w:p>
          <w:p w14:paraId="5463A83E" w14:textId="77777777" w:rsidR="00887784" w:rsidRPr="00996B18" w:rsidRDefault="00887784" w:rsidP="00BD2925">
            <w:pPr>
              <w:rPr>
                <w:rFonts w:ascii="Arial" w:hAnsi="Arial" w:cs="Arial"/>
                <w:color w:val="000000"/>
                <w:sz w:val="20"/>
                <w:szCs w:val="20"/>
              </w:rPr>
            </w:pPr>
            <w:r w:rsidRPr="00996B18">
              <w:rPr>
                <w:rFonts w:ascii="Arial" w:hAnsi="Arial" w:cs="Arial"/>
                <w:color w:val="000000"/>
                <w:sz w:val="20"/>
                <w:szCs w:val="20"/>
              </w:rPr>
              <w:t xml:space="preserve">The formula is: </w:t>
            </w:r>
          </w:p>
          <w:p w14:paraId="0E3A43F8" w14:textId="454A196B" w:rsidR="00887784" w:rsidRPr="0054683C" w:rsidRDefault="00887784" w:rsidP="00BD2925">
            <w:pPr>
              <w:pStyle w:val="Sectiontext"/>
              <w:spacing w:after="120"/>
              <w:rPr>
                <w:rFonts w:ascii="Arial" w:hAnsi="Arial" w:cs="Arial"/>
                <w:sz w:val="20"/>
                <w:szCs w:val="20"/>
              </w:rPr>
            </w:pPr>
            <w:r w:rsidRPr="00996B18">
              <w:rPr>
                <w:rFonts w:ascii="Arial" w:hAnsi="Arial" w:cs="Arial"/>
                <w:sz w:val="20"/>
                <w:szCs w:val="20"/>
              </w:rPr>
              <w:t xml:space="preserve">$695 000 x </w:t>
            </w:r>
            <w:r w:rsidR="009F21C1">
              <w:rPr>
                <w:rFonts w:ascii="Arial" w:hAnsi="Arial" w:cs="Arial"/>
                <w:sz w:val="20"/>
                <w:szCs w:val="20"/>
              </w:rPr>
              <w:t>132.6</w:t>
            </w:r>
            <w:r w:rsidR="006205F4">
              <w:rPr>
                <w:rFonts w:ascii="Arial" w:hAnsi="Arial" w:cs="Arial"/>
                <w:sz w:val="20"/>
                <w:szCs w:val="20"/>
              </w:rPr>
              <w:t>/</w:t>
            </w:r>
            <w:r w:rsidR="006205F4" w:rsidRPr="00996B18">
              <w:rPr>
                <w:rFonts w:ascii="Arial" w:hAnsi="Arial" w:cs="Arial"/>
                <w:sz w:val="20"/>
                <w:szCs w:val="20"/>
              </w:rPr>
              <w:t>117.9</w:t>
            </w:r>
            <w:r w:rsidRPr="00996B18">
              <w:rPr>
                <w:rFonts w:ascii="Arial" w:hAnsi="Arial" w:cs="Arial"/>
                <w:sz w:val="20"/>
                <w:szCs w:val="20"/>
              </w:rPr>
              <w:t xml:space="preserve"> = $</w:t>
            </w:r>
            <w:r w:rsidR="00A5062B" w:rsidRPr="00A5062B">
              <w:rPr>
                <w:rFonts w:ascii="Arial" w:hAnsi="Arial" w:cs="Arial"/>
                <w:sz w:val="20"/>
                <w:szCs w:val="20"/>
              </w:rPr>
              <w:t>781,653.9440203561</w:t>
            </w:r>
          </w:p>
          <w:p w14:paraId="66CF1E31" w14:textId="77777777" w:rsidR="00887784" w:rsidRDefault="00887784" w:rsidP="00BD2925">
            <w:pPr>
              <w:rPr>
                <w:rFonts w:ascii="Arial" w:hAnsi="Arial" w:cs="Arial"/>
                <w:color w:val="000000"/>
                <w:sz w:val="20"/>
                <w:szCs w:val="20"/>
              </w:rPr>
            </w:pPr>
            <w:r w:rsidRPr="00996B18">
              <w:rPr>
                <w:rFonts w:ascii="Arial" w:eastAsia="Times New Roman" w:hAnsi="Arial" w:cs="Arial"/>
                <w:color w:val="000000"/>
                <w:sz w:val="20"/>
                <w:szCs w:val="20"/>
                <w:lang w:eastAsia="en-AU"/>
              </w:rPr>
              <w:t xml:space="preserve">This will be rounded </w:t>
            </w:r>
            <w:r w:rsidR="001E5B4B">
              <w:rPr>
                <w:rFonts w:ascii="Arial" w:eastAsia="Times New Roman" w:hAnsi="Arial" w:cs="Arial"/>
                <w:color w:val="000000"/>
                <w:sz w:val="20"/>
                <w:szCs w:val="20"/>
                <w:lang w:eastAsia="en-AU"/>
              </w:rPr>
              <w:t>up</w:t>
            </w:r>
            <w:r w:rsidR="00C81A6C">
              <w:rPr>
                <w:rFonts w:ascii="Arial" w:eastAsia="Times New Roman" w:hAnsi="Arial" w:cs="Arial"/>
                <w:color w:val="000000"/>
                <w:sz w:val="20"/>
                <w:szCs w:val="20"/>
                <w:lang w:eastAsia="en-AU"/>
              </w:rPr>
              <w:t xml:space="preserve"> to the nearest $1000</w:t>
            </w:r>
            <w:r w:rsidRPr="00996B18">
              <w:rPr>
                <w:rFonts w:ascii="Arial" w:eastAsia="Times New Roman" w:hAnsi="Arial" w:cs="Arial"/>
                <w:color w:val="000000"/>
                <w:sz w:val="20"/>
                <w:szCs w:val="20"/>
                <w:lang w:eastAsia="en-AU"/>
              </w:rPr>
              <w:t xml:space="preserve"> in accordance with clause 5 = $</w:t>
            </w:r>
            <w:r w:rsidR="001E5B4B">
              <w:rPr>
                <w:rFonts w:ascii="Arial" w:eastAsia="Times New Roman" w:hAnsi="Arial" w:cs="Arial"/>
                <w:color w:val="000000"/>
                <w:sz w:val="20"/>
                <w:szCs w:val="20"/>
                <w:lang w:eastAsia="en-AU"/>
              </w:rPr>
              <w:t>78</w:t>
            </w:r>
            <w:r w:rsidR="00D5577C">
              <w:rPr>
                <w:rFonts w:ascii="Arial" w:eastAsia="Times New Roman" w:hAnsi="Arial" w:cs="Arial"/>
                <w:color w:val="000000"/>
                <w:sz w:val="20"/>
                <w:szCs w:val="20"/>
                <w:lang w:eastAsia="en-AU"/>
              </w:rPr>
              <w:t>2 000</w:t>
            </w:r>
            <w:r w:rsidRPr="00996B18">
              <w:rPr>
                <w:rFonts w:ascii="Arial" w:hAnsi="Arial" w:cs="Arial"/>
                <w:color w:val="000000"/>
                <w:sz w:val="20"/>
                <w:szCs w:val="20"/>
              </w:rPr>
              <w:t>.</w:t>
            </w:r>
          </w:p>
          <w:p w14:paraId="1498F0A8" w14:textId="77777777" w:rsidR="00F77366" w:rsidRDefault="00F77366" w:rsidP="00BD2925">
            <w:pPr>
              <w:rPr>
                <w:rFonts w:ascii="Arial" w:eastAsia="Times New Roman" w:hAnsi="Arial" w:cs="Arial"/>
                <w:color w:val="000000"/>
                <w:sz w:val="20"/>
                <w:szCs w:val="20"/>
                <w:lang w:eastAsia="en-AU"/>
              </w:rPr>
            </w:pPr>
          </w:p>
          <w:p w14:paraId="28F60558" w14:textId="77777777" w:rsidR="006E3D3A" w:rsidRDefault="005A7676" w:rsidP="00BD2925">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Therefore, the tier A maximum penalty amount for a body corporate </w:t>
            </w:r>
            <w:r w:rsidR="00E2384E">
              <w:rPr>
                <w:rFonts w:ascii="Arial" w:eastAsia="Times New Roman" w:hAnsi="Arial" w:cs="Arial"/>
                <w:color w:val="000000"/>
                <w:sz w:val="20"/>
                <w:szCs w:val="20"/>
                <w:lang w:eastAsia="en-AU"/>
              </w:rPr>
              <w:t>from 1 July</w:t>
            </w:r>
            <w:r>
              <w:rPr>
                <w:rFonts w:ascii="Arial" w:eastAsia="Times New Roman" w:hAnsi="Arial" w:cs="Arial"/>
                <w:color w:val="000000"/>
                <w:sz w:val="20"/>
                <w:szCs w:val="20"/>
                <w:lang w:eastAsia="en-AU"/>
              </w:rPr>
              <w:t xml:space="preserve"> 2024 will </w:t>
            </w:r>
            <w:proofErr w:type="gramStart"/>
            <w:r>
              <w:rPr>
                <w:rFonts w:ascii="Arial" w:eastAsia="Times New Roman" w:hAnsi="Arial" w:cs="Arial"/>
                <w:color w:val="000000"/>
                <w:sz w:val="20"/>
                <w:szCs w:val="20"/>
                <w:lang w:eastAsia="en-AU"/>
              </w:rPr>
              <w:t>be</w:t>
            </w:r>
            <w:proofErr w:type="gramEnd"/>
            <w:r>
              <w:rPr>
                <w:rFonts w:ascii="Arial" w:eastAsia="Times New Roman" w:hAnsi="Arial" w:cs="Arial"/>
                <w:color w:val="000000"/>
                <w:sz w:val="20"/>
                <w:szCs w:val="20"/>
                <w:lang w:eastAsia="en-AU"/>
              </w:rPr>
              <w:t xml:space="preserve"> </w:t>
            </w:r>
          </w:p>
          <w:p w14:paraId="0B86714B" w14:textId="17BC2C23" w:rsidR="005A7676" w:rsidRPr="00764227" w:rsidRDefault="005A7676" w:rsidP="00BD2925">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$782 000.</w:t>
            </w:r>
          </w:p>
        </w:tc>
      </w:tr>
    </w:tbl>
    <w:p w14:paraId="6E487214" w14:textId="77777777" w:rsidR="00887784" w:rsidRPr="00635F8F" w:rsidRDefault="00887784" w:rsidP="0054683C">
      <w:pPr>
        <w:rPr>
          <w:rFonts w:ascii="Arial" w:hAnsi="Arial" w:cs="Arial"/>
          <w:i/>
          <w:iCs/>
          <w:color w:val="000000"/>
        </w:rPr>
      </w:pPr>
    </w:p>
    <w:p w14:paraId="324E4719" w14:textId="7DCC5001" w:rsidR="00B45F69" w:rsidRDefault="00B45F69" w:rsidP="00EE2C07">
      <w:pPr>
        <w:rPr>
          <w:rFonts w:ascii="Arial" w:hAnsi="Arial" w:cs="Arial"/>
          <w:b/>
          <w:bCs/>
        </w:rPr>
      </w:pPr>
      <w:r>
        <w:rPr>
          <w:rFonts w:ascii="Arial" w:hAnsi="Arial" w:cs="Arial"/>
          <w:b/>
          <w:bCs/>
        </w:rPr>
        <w:t xml:space="preserve">Clause 5 Rounding of maximum penalty amounts </w:t>
      </w:r>
    </w:p>
    <w:p w14:paraId="431A4000" w14:textId="0AA7F8E8" w:rsidR="00CF5374" w:rsidRPr="005452B4" w:rsidRDefault="00C802E8" w:rsidP="00EE2C07">
      <w:pPr>
        <w:rPr>
          <w:rFonts w:ascii="Arial" w:hAnsi="Arial" w:cs="Arial"/>
        </w:rPr>
      </w:pPr>
      <w:r w:rsidRPr="0077105C">
        <w:rPr>
          <w:rFonts w:ascii="Arial" w:hAnsi="Arial" w:cs="Arial"/>
        </w:rPr>
        <w:t>Clause 5</w:t>
      </w:r>
      <w:r w:rsidR="00425A2A" w:rsidRPr="0077105C">
        <w:rPr>
          <w:rFonts w:ascii="Arial" w:hAnsi="Arial" w:cs="Arial"/>
        </w:rPr>
        <w:t xml:space="preserve"> </w:t>
      </w:r>
      <w:r w:rsidR="00C73B32" w:rsidRPr="0077105C">
        <w:rPr>
          <w:rFonts w:ascii="Arial" w:hAnsi="Arial" w:cs="Arial"/>
        </w:rPr>
        <w:t>specifies that</w:t>
      </w:r>
      <w:r w:rsidR="008A386B">
        <w:rPr>
          <w:rFonts w:ascii="Arial" w:hAnsi="Arial" w:cs="Arial"/>
        </w:rPr>
        <w:t xml:space="preserve"> </w:t>
      </w:r>
      <w:r w:rsidR="006773EB" w:rsidRPr="0077105C">
        <w:rPr>
          <w:rFonts w:ascii="Arial" w:hAnsi="Arial" w:cs="Arial"/>
          <w:iCs/>
        </w:rPr>
        <w:t>for penalties under $10,000</w:t>
      </w:r>
      <w:r w:rsidR="005F7B9C">
        <w:rPr>
          <w:rFonts w:ascii="Arial" w:hAnsi="Arial" w:cs="Arial"/>
          <w:iCs/>
        </w:rPr>
        <w:t xml:space="preserve"> and not a multiple of $100</w:t>
      </w:r>
      <w:r w:rsidR="006773EB" w:rsidRPr="0077105C">
        <w:rPr>
          <w:rFonts w:ascii="Arial" w:hAnsi="Arial" w:cs="Arial"/>
          <w:iCs/>
        </w:rPr>
        <w:t xml:space="preserve">, </w:t>
      </w:r>
      <w:r w:rsidR="00C73B32" w:rsidRPr="0077105C">
        <w:rPr>
          <w:rFonts w:ascii="Arial" w:hAnsi="Arial" w:cs="Arial"/>
        </w:rPr>
        <w:t xml:space="preserve">the </w:t>
      </w:r>
      <w:r w:rsidR="000E0326">
        <w:rPr>
          <w:rFonts w:ascii="Arial" w:hAnsi="Arial" w:cs="Arial"/>
        </w:rPr>
        <w:t xml:space="preserve">maximum </w:t>
      </w:r>
      <w:r w:rsidR="006773EB">
        <w:rPr>
          <w:rFonts w:ascii="Arial" w:hAnsi="Arial" w:cs="Arial"/>
        </w:rPr>
        <w:t xml:space="preserve">amount of a monetary penalty will be rounded down to the </w:t>
      </w:r>
      <w:r w:rsidR="0077105C" w:rsidRPr="0077105C">
        <w:rPr>
          <w:rFonts w:ascii="Arial" w:hAnsi="Arial" w:cs="Arial"/>
          <w:iCs/>
        </w:rPr>
        <w:t xml:space="preserve">nearest $100 </w:t>
      </w:r>
      <w:r w:rsidR="00D35D8D">
        <w:rPr>
          <w:rFonts w:ascii="Arial" w:hAnsi="Arial" w:cs="Arial"/>
          <w:iCs/>
        </w:rPr>
        <w:t>and an amount of $50 is rounded down</w:t>
      </w:r>
      <w:r w:rsidR="00FB4054">
        <w:rPr>
          <w:rFonts w:ascii="Arial" w:hAnsi="Arial" w:cs="Arial"/>
          <w:iCs/>
        </w:rPr>
        <w:t xml:space="preserve">. </w:t>
      </w:r>
      <w:r w:rsidR="005F7B9C">
        <w:rPr>
          <w:rFonts w:ascii="Arial" w:hAnsi="Arial" w:cs="Arial"/>
          <w:iCs/>
        </w:rPr>
        <w:t>For p</w:t>
      </w:r>
      <w:r w:rsidR="00A0317B">
        <w:rPr>
          <w:rFonts w:ascii="Arial" w:hAnsi="Arial" w:cs="Arial"/>
          <w:iCs/>
        </w:rPr>
        <w:t xml:space="preserve">enalties more than $10,000 and not a multiple of $1000, the maximum amount of the penalty must be rounded to the nearest $1000 and an amount of $500 is rounded down. </w:t>
      </w:r>
    </w:p>
    <w:p w14:paraId="74FB057D" w14:textId="593E38EA" w:rsidR="00B45F69" w:rsidRDefault="00B45F69" w:rsidP="00EE2C07">
      <w:pPr>
        <w:rPr>
          <w:rFonts w:ascii="Arial" w:hAnsi="Arial" w:cs="Arial"/>
          <w:b/>
          <w:bCs/>
        </w:rPr>
      </w:pPr>
      <w:r>
        <w:rPr>
          <w:rFonts w:ascii="Arial" w:hAnsi="Arial" w:cs="Arial"/>
          <w:b/>
          <w:bCs/>
        </w:rPr>
        <w:t xml:space="preserve">Clause 6 Public notification of adjusted maximum penalty amounts </w:t>
      </w:r>
    </w:p>
    <w:p w14:paraId="27408669" w14:textId="524C7395" w:rsidR="00CF5374" w:rsidRPr="008A36B0" w:rsidRDefault="00C802E8" w:rsidP="00EE2C07">
      <w:pPr>
        <w:rPr>
          <w:rFonts w:ascii="Arial" w:hAnsi="Arial" w:cs="Arial"/>
        </w:rPr>
      </w:pPr>
      <w:r w:rsidRPr="007911BA">
        <w:rPr>
          <w:rFonts w:ascii="Arial" w:hAnsi="Arial" w:cs="Arial"/>
        </w:rPr>
        <w:t xml:space="preserve">Clause </w:t>
      </w:r>
      <w:r>
        <w:rPr>
          <w:rFonts w:ascii="Arial" w:hAnsi="Arial" w:cs="Arial"/>
        </w:rPr>
        <w:t>6</w:t>
      </w:r>
      <w:r w:rsidR="00EA0069">
        <w:rPr>
          <w:rFonts w:ascii="Arial" w:hAnsi="Arial" w:cs="Arial"/>
        </w:rPr>
        <w:t xml:space="preserve"> provides that as soon as practicable after publication by the Australian Stati</w:t>
      </w:r>
      <w:r w:rsidR="004150BF">
        <w:rPr>
          <w:rFonts w:ascii="Arial" w:hAnsi="Arial" w:cs="Arial"/>
        </w:rPr>
        <w:t>stician of the CPI number for the March quarter each year the regulator must give notice of the maximum amount of each monetary penalty calculated under this Schedule</w:t>
      </w:r>
      <w:r w:rsidR="00B72D3D">
        <w:rPr>
          <w:rFonts w:ascii="Arial" w:hAnsi="Arial" w:cs="Arial"/>
        </w:rPr>
        <w:t xml:space="preserve"> on an appropriate government website, and in the Government Gazette. </w:t>
      </w:r>
    </w:p>
    <w:p w14:paraId="443B0A82" w14:textId="73E35518" w:rsidR="00B45F69" w:rsidRDefault="000F5D5F" w:rsidP="00EE2C07">
      <w:pPr>
        <w:rPr>
          <w:rFonts w:ascii="Arial" w:hAnsi="Arial" w:cs="Arial"/>
          <w:b/>
          <w:bCs/>
        </w:rPr>
      </w:pPr>
      <w:r>
        <w:rPr>
          <w:rFonts w:ascii="Arial" w:hAnsi="Arial" w:cs="Arial"/>
          <w:b/>
          <w:bCs/>
        </w:rPr>
        <w:t xml:space="preserve">Item [23] Appendix </w:t>
      </w:r>
    </w:p>
    <w:p w14:paraId="4A84C7C7" w14:textId="77777777" w:rsidR="00A26241" w:rsidRDefault="006F57C1" w:rsidP="00E312D6">
      <w:pPr>
        <w:rPr>
          <w:rFonts w:ascii="Arial" w:hAnsi="Arial" w:cs="Arial"/>
        </w:rPr>
      </w:pPr>
      <w:r w:rsidRPr="00464B61">
        <w:rPr>
          <w:rFonts w:ascii="Arial" w:hAnsi="Arial" w:cs="Arial"/>
          <w:color w:val="000000" w:themeColor="text1"/>
        </w:rPr>
        <w:t>This item amends the table of jurisdictional notes in the Appendix to include</w:t>
      </w:r>
      <w:r w:rsidR="00025C69" w:rsidRPr="00464B61">
        <w:rPr>
          <w:rFonts w:ascii="Arial" w:hAnsi="Arial" w:cs="Arial"/>
          <w:color w:val="000000" w:themeColor="text1"/>
        </w:rPr>
        <w:t xml:space="preserve"> </w:t>
      </w:r>
      <w:r w:rsidR="007741F5" w:rsidRPr="00464B61">
        <w:rPr>
          <w:rFonts w:ascii="Arial" w:hAnsi="Arial" w:cs="Arial"/>
          <w:color w:val="000000" w:themeColor="text1"/>
        </w:rPr>
        <w:t xml:space="preserve">jurisdictional notes </w:t>
      </w:r>
      <w:r w:rsidR="00CD518C" w:rsidRPr="00464B61">
        <w:rPr>
          <w:rFonts w:ascii="Arial" w:hAnsi="Arial" w:cs="Arial"/>
          <w:color w:val="000000" w:themeColor="text1"/>
        </w:rPr>
        <w:t xml:space="preserve">relating to </w:t>
      </w:r>
      <w:r w:rsidR="007B540E">
        <w:rPr>
          <w:rFonts w:ascii="Arial" w:hAnsi="Arial" w:cs="Arial"/>
        </w:rPr>
        <w:t>the offence of industrial manslaughter</w:t>
      </w:r>
      <w:r w:rsidR="00A26241">
        <w:rPr>
          <w:rFonts w:ascii="Arial" w:hAnsi="Arial" w:cs="Arial"/>
        </w:rPr>
        <w:t xml:space="preserve">. </w:t>
      </w:r>
    </w:p>
    <w:p w14:paraId="64FD8A23" w14:textId="69C018CD" w:rsidR="00F0495F" w:rsidRPr="00E312D6" w:rsidRDefault="00032569" w:rsidP="00E312D6">
      <w:pPr>
        <w:rPr>
          <w:rFonts w:ascii="Arial" w:hAnsi="Arial" w:cs="Arial"/>
        </w:rPr>
      </w:pPr>
      <w:r>
        <w:rPr>
          <w:rFonts w:ascii="Arial" w:hAnsi="Arial" w:cs="Arial"/>
        </w:rPr>
        <w:t>Section 4</w:t>
      </w:r>
      <w:r w:rsidR="00A25331">
        <w:rPr>
          <w:rFonts w:ascii="Arial" w:hAnsi="Arial" w:cs="Arial"/>
        </w:rPr>
        <w:t xml:space="preserve"> inserts </w:t>
      </w:r>
      <w:r w:rsidR="00A7611E">
        <w:rPr>
          <w:rFonts w:ascii="Arial" w:hAnsi="Arial" w:cs="Arial"/>
        </w:rPr>
        <w:t>a jurisdictional note. The jurisdictional note to s</w:t>
      </w:r>
      <w:r w:rsidR="00204FF9">
        <w:rPr>
          <w:rFonts w:ascii="Arial" w:hAnsi="Arial" w:cs="Arial"/>
        </w:rPr>
        <w:t>ection</w:t>
      </w:r>
      <w:r w:rsidR="00A7611E">
        <w:rPr>
          <w:rFonts w:ascii="Arial" w:hAnsi="Arial" w:cs="Arial"/>
        </w:rPr>
        <w:t xml:space="preserve"> </w:t>
      </w:r>
      <w:r w:rsidR="00C1395D">
        <w:rPr>
          <w:rFonts w:ascii="Arial" w:hAnsi="Arial" w:cs="Arial"/>
        </w:rPr>
        <w:t>4</w:t>
      </w:r>
      <w:r w:rsidR="00A7611E">
        <w:rPr>
          <w:rFonts w:ascii="Arial" w:hAnsi="Arial" w:cs="Arial"/>
        </w:rPr>
        <w:t xml:space="preserve"> provides </w:t>
      </w:r>
      <w:r w:rsidR="009F0515">
        <w:rPr>
          <w:rFonts w:ascii="Arial" w:hAnsi="Arial" w:cs="Arial"/>
        </w:rPr>
        <w:t xml:space="preserve">that a </w:t>
      </w:r>
      <w:r w:rsidR="009C302A">
        <w:rPr>
          <w:rFonts w:ascii="Arial" w:hAnsi="Arial" w:cs="Arial"/>
        </w:rPr>
        <w:t xml:space="preserve">jurisdiction that creates the offence of industrial manslaughter </w:t>
      </w:r>
      <w:r w:rsidR="008D3436">
        <w:rPr>
          <w:rFonts w:ascii="Arial" w:hAnsi="Arial" w:cs="Arial"/>
        </w:rPr>
        <w:t xml:space="preserve">will need to insert a monetary penalty </w:t>
      </w:r>
      <w:r w:rsidR="004F4DEE">
        <w:rPr>
          <w:rFonts w:ascii="Arial" w:hAnsi="Arial" w:cs="Arial"/>
        </w:rPr>
        <w:t xml:space="preserve">provided for </w:t>
      </w:r>
      <w:r w:rsidR="008D3436">
        <w:rPr>
          <w:rFonts w:ascii="Arial" w:hAnsi="Arial" w:cs="Arial"/>
        </w:rPr>
        <w:t>in Schedule 4</w:t>
      </w:r>
      <w:r w:rsidR="008973FC">
        <w:rPr>
          <w:rFonts w:ascii="Arial" w:hAnsi="Arial" w:cs="Arial"/>
        </w:rPr>
        <w:t xml:space="preserve">, and </w:t>
      </w:r>
      <w:r w:rsidR="00FA4755">
        <w:rPr>
          <w:rFonts w:ascii="Arial" w:hAnsi="Arial" w:cs="Arial"/>
        </w:rPr>
        <w:t xml:space="preserve">explains that the </w:t>
      </w:r>
      <w:r w:rsidR="008973FC">
        <w:rPr>
          <w:rFonts w:ascii="Arial" w:hAnsi="Arial" w:cs="Arial"/>
        </w:rPr>
        <w:t>recommend</w:t>
      </w:r>
      <w:r w:rsidR="002269E7">
        <w:rPr>
          <w:rFonts w:ascii="Arial" w:hAnsi="Arial" w:cs="Arial"/>
        </w:rPr>
        <w:t>ed</w:t>
      </w:r>
      <w:r w:rsidR="008973FC">
        <w:rPr>
          <w:rFonts w:ascii="Arial" w:hAnsi="Arial" w:cs="Arial"/>
        </w:rPr>
        <w:t xml:space="preserve"> maximum monetary penalty </w:t>
      </w:r>
      <w:r w:rsidR="002269E7">
        <w:rPr>
          <w:rFonts w:ascii="Arial" w:hAnsi="Arial" w:cs="Arial"/>
        </w:rPr>
        <w:t xml:space="preserve">applies only to a body corporate and is $18 million. </w:t>
      </w:r>
    </w:p>
    <w:p w14:paraId="3FE04003" w14:textId="343A4ECA" w:rsidR="00F36808" w:rsidRPr="00464B61" w:rsidRDefault="00CB631C" w:rsidP="00435DCB">
      <w:pPr>
        <w:rPr>
          <w:rFonts w:ascii="Arial" w:hAnsi="Arial" w:cs="Arial"/>
          <w:color w:val="000000" w:themeColor="text1"/>
        </w:rPr>
      </w:pPr>
      <w:r>
        <w:rPr>
          <w:rFonts w:ascii="Arial" w:hAnsi="Arial" w:cs="Arial"/>
        </w:rPr>
        <w:t xml:space="preserve">Section 30A inserts a </w:t>
      </w:r>
      <w:r w:rsidR="00C1395D">
        <w:rPr>
          <w:rFonts w:ascii="Arial" w:hAnsi="Arial" w:cs="Arial"/>
        </w:rPr>
        <w:t xml:space="preserve">jurisdictional note which </w:t>
      </w:r>
      <w:r w:rsidR="00F36808">
        <w:rPr>
          <w:rFonts w:ascii="Arial" w:hAnsi="Arial" w:cs="Arial"/>
        </w:rPr>
        <w:t>provides that each jurisdiction may insert local provisions to create an offence of industrial manslaughter</w:t>
      </w:r>
      <w:r w:rsidR="00462D22">
        <w:rPr>
          <w:rFonts w:ascii="Arial" w:hAnsi="Arial" w:cs="Arial"/>
        </w:rPr>
        <w:t>. Th</w:t>
      </w:r>
      <w:r w:rsidR="00435DCB">
        <w:rPr>
          <w:rFonts w:ascii="Arial" w:hAnsi="Arial" w:cs="Arial"/>
        </w:rPr>
        <w:t>e</w:t>
      </w:r>
      <w:r w:rsidR="00462D22">
        <w:rPr>
          <w:rFonts w:ascii="Arial" w:hAnsi="Arial" w:cs="Arial"/>
        </w:rPr>
        <w:t xml:space="preserve"> note</w:t>
      </w:r>
      <w:r w:rsidR="00C67CB9">
        <w:rPr>
          <w:rFonts w:ascii="Arial" w:hAnsi="Arial" w:cs="Arial"/>
        </w:rPr>
        <w:t xml:space="preserve"> </w:t>
      </w:r>
      <w:r w:rsidR="00F36808" w:rsidRPr="00464B61">
        <w:rPr>
          <w:rFonts w:ascii="Arial" w:hAnsi="Arial" w:cs="Arial"/>
          <w:color w:val="000000" w:themeColor="text1"/>
        </w:rPr>
        <w:t>clarifies that the offence of industrial manslaughter is in addition to the existing offence under s</w:t>
      </w:r>
      <w:r w:rsidR="00204FF9" w:rsidRPr="00464B61">
        <w:rPr>
          <w:rFonts w:ascii="Arial" w:hAnsi="Arial" w:cs="Arial"/>
          <w:color w:val="000000" w:themeColor="text1"/>
        </w:rPr>
        <w:t>ection</w:t>
      </w:r>
      <w:r w:rsidR="00F36808" w:rsidRPr="00464B61">
        <w:rPr>
          <w:rFonts w:ascii="Arial" w:hAnsi="Arial" w:cs="Arial"/>
          <w:color w:val="000000" w:themeColor="text1"/>
        </w:rPr>
        <w:t xml:space="preserve"> 31 (Gross negligence or reckless conduct – Category 1) and addresses conduct by a person that represents a gross deviation from the reasonable standard of care resulting in a work-related fatality. </w:t>
      </w:r>
      <w:r w:rsidR="00435DCB" w:rsidRPr="00464B61">
        <w:rPr>
          <w:rFonts w:ascii="Arial" w:hAnsi="Arial" w:cs="Arial"/>
          <w:color w:val="000000" w:themeColor="text1"/>
        </w:rPr>
        <w:t xml:space="preserve">The note also </w:t>
      </w:r>
      <w:r w:rsidR="00F36808" w:rsidRPr="00464B61">
        <w:rPr>
          <w:rFonts w:ascii="Arial" w:hAnsi="Arial" w:cs="Arial"/>
          <w:color w:val="000000" w:themeColor="text1"/>
        </w:rPr>
        <w:t xml:space="preserve">recommends that the maximum penalty for the offence is 20 years imprisonment for an individual, and </w:t>
      </w:r>
      <w:r w:rsidR="001105A2" w:rsidRPr="00464B61">
        <w:rPr>
          <w:rFonts w:ascii="Arial" w:hAnsi="Arial" w:cs="Arial"/>
          <w:color w:val="000000" w:themeColor="text1"/>
        </w:rPr>
        <w:t>for a body corporate an</w:t>
      </w:r>
      <w:r w:rsidR="00C854BA" w:rsidRPr="00464B61">
        <w:rPr>
          <w:rFonts w:ascii="Arial" w:hAnsi="Arial" w:cs="Arial"/>
          <w:color w:val="000000" w:themeColor="text1"/>
        </w:rPr>
        <w:t xml:space="preserve"> industrial manslaughter monetary penalty</w:t>
      </w:r>
      <w:r w:rsidR="001105A2" w:rsidRPr="00464B61">
        <w:rPr>
          <w:rFonts w:ascii="Arial" w:hAnsi="Arial" w:cs="Arial"/>
          <w:color w:val="000000" w:themeColor="text1"/>
        </w:rPr>
        <w:t xml:space="preserve">. </w:t>
      </w:r>
    </w:p>
    <w:p w14:paraId="139D6DED" w14:textId="10F7B0B6" w:rsidR="00F36808" w:rsidRPr="00464B61" w:rsidRDefault="00763D65" w:rsidP="00EE2C07">
      <w:pPr>
        <w:rPr>
          <w:rFonts w:ascii="Arial" w:hAnsi="Arial" w:cs="Arial"/>
          <w:color w:val="000000" w:themeColor="text1"/>
        </w:rPr>
      </w:pPr>
      <w:r w:rsidRPr="00464B61">
        <w:rPr>
          <w:rFonts w:ascii="Arial" w:hAnsi="Arial" w:cs="Arial"/>
          <w:color w:val="000000" w:themeColor="text1"/>
        </w:rPr>
        <w:t>Schedule 4</w:t>
      </w:r>
      <w:r w:rsidR="00B73101" w:rsidRPr="00464B61">
        <w:rPr>
          <w:rFonts w:ascii="Arial" w:hAnsi="Arial" w:cs="Arial"/>
          <w:color w:val="000000" w:themeColor="text1"/>
        </w:rPr>
        <w:t xml:space="preserve"> (pen</w:t>
      </w:r>
      <w:r w:rsidR="00DB6AD1" w:rsidRPr="00464B61">
        <w:rPr>
          <w:rFonts w:ascii="Arial" w:hAnsi="Arial" w:cs="Arial"/>
          <w:color w:val="000000" w:themeColor="text1"/>
        </w:rPr>
        <w:t>alty amounts)</w:t>
      </w:r>
      <w:r w:rsidRPr="00464B61">
        <w:rPr>
          <w:rFonts w:ascii="Arial" w:hAnsi="Arial" w:cs="Arial"/>
          <w:color w:val="000000" w:themeColor="text1"/>
        </w:rPr>
        <w:t>, clause 1A</w:t>
      </w:r>
      <w:r w:rsidR="00DB6AD1" w:rsidRPr="00464B61">
        <w:rPr>
          <w:rFonts w:ascii="Arial" w:hAnsi="Arial" w:cs="Arial"/>
          <w:color w:val="000000" w:themeColor="text1"/>
        </w:rPr>
        <w:t xml:space="preserve"> (maximum monetary penalties – industrial manslaughter)</w:t>
      </w:r>
      <w:r w:rsidRPr="00464B61">
        <w:rPr>
          <w:rFonts w:ascii="Arial" w:hAnsi="Arial" w:cs="Arial"/>
          <w:color w:val="000000" w:themeColor="text1"/>
        </w:rPr>
        <w:t xml:space="preserve"> </w:t>
      </w:r>
      <w:r w:rsidR="00E41B63" w:rsidRPr="00464B61">
        <w:rPr>
          <w:rFonts w:ascii="Arial" w:hAnsi="Arial" w:cs="Arial"/>
          <w:color w:val="000000" w:themeColor="text1"/>
        </w:rPr>
        <w:t xml:space="preserve">inserts a jurisdictional note </w:t>
      </w:r>
      <w:r w:rsidR="001140BA" w:rsidRPr="00464B61">
        <w:rPr>
          <w:rFonts w:ascii="Arial" w:hAnsi="Arial" w:cs="Arial"/>
          <w:color w:val="000000" w:themeColor="text1"/>
        </w:rPr>
        <w:t xml:space="preserve">which provides that a jurisdiction that creates the offence of industrial manslaughter should insert a clause providing for the maximum </w:t>
      </w:r>
      <w:r w:rsidR="001140BA" w:rsidRPr="00464B61">
        <w:rPr>
          <w:rFonts w:ascii="Arial" w:hAnsi="Arial" w:cs="Arial"/>
          <w:color w:val="000000" w:themeColor="text1"/>
        </w:rPr>
        <w:lastRenderedPageBreak/>
        <w:t>monetary penalty payable for the offence by a body corporate</w:t>
      </w:r>
      <w:r w:rsidR="00AD76EA" w:rsidRPr="00464B61">
        <w:rPr>
          <w:rFonts w:ascii="Arial" w:hAnsi="Arial" w:cs="Arial"/>
          <w:color w:val="000000" w:themeColor="text1"/>
        </w:rPr>
        <w:t xml:space="preserve"> and recommends a maximum penalty of $18 million. </w:t>
      </w:r>
    </w:p>
    <w:p w14:paraId="709C7D2A" w14:textId="77777777" w:rsidR="007B540E" w:rsidRDefault="007B540E" w:rsidP="00EE2C07">
      <w:pPr>
        <w:rPr>
          <w:rFonts w:ascii="Arial" w:hAnsi="Arial" w:cs="Arial"/>
          <w:color w:val="000000"/>
        </w:rPr>
      </w:pPr>
    </w:p>
    <w:p w14:paraId="1857CD1E" w14:textId="1BBC7E3D" w:rsidR="00ED0E63" w:rsidRDefault="00ED0E63" w:rsidP="00ED0E63">
      <w:pPr>
        <w:rPr>
          <w:rFonts w:ascii="Arial" w:hAnsi="Arial" w:cs="Arial"/>
          <w:b/>
          <w:bCs/>
        </w:rPr>
      </w:pPr>
      <w:r>
        <w:rPr>
          <w:rFonts w:ascii="Arial" w:hAnsi="Arial" w:cs="Arial"/>
          <w:b/>
          <w:bCs/>
        </w:rPr>
        <w:t xml:space="preserve">Item [24] Appendix </w:t>
      </w:r>
    </w:p>
    <w:p w14:paraId="481BBF28" w14:textId="7266C71B" w:rsidR="00196810" w:rsidRDefault="009C6B2E" w:rsidP="00ED0E63">
      <w:pPr>
        <w:rPr>
          <w:rFonts w:ascii="Arial" w:hAnsi="Arial" w:cs="Arial"/>
        </w:rPr>
      </w:pPr>
      <w:r w:rsidRPr="009C6B2E">
        <w:rPr>
          <w:rFonts w:ascii="Arial" w:hAnsi="Arial" w:cs="Arial"/>
        </w:rPr>
        <w:t xml:space="preserve">This item </w:t>
      </w:r>
      <w:r w:rsidR="00F91C95">
        <w:rPr>
          <w:rFonts w:ascii="Arial" w:hAnsi="Arial" w:cs="Arial"/>
        </w:rPr>
        <w:t>omits</w:t>
      </w:r>
      <w:r w:rsidRPr="009C6B2E">
        <w:rPr>
          <w:rFonts w:ascii="Arial" w:hAnsi="Arial" w:cs="Arial"/>
        </w:rPr>
        <w:t xml:space="preserve"> </w:t>
      </w:r>
      <w:r>
        <w:rPr>
          <w:rFonts w:ascii="Arial" w:hAnsi="Arial" w:cs="Arial"/>
        </w:rPr>
        <w:t xml:space="preserve">the jurisdictional note </w:t>
      </w:r>
      <w:r w:rsidR="00E736FE">
        <w:rPr>
          <w:rFonts w:ascii="Arial" w:hAnsi="Arial" w:cs="Arial"/>
        </w:rPr>
        <w:t xml:space="preserve">to </w:t>
      </w:r>
      <w:r w:rsidR="00CC5199">
        <w:rPr>
          <w:rFonts w:ascii="Arial" w:hAnsi="Arial" w:cs="Arial"/>
        </w:rPr>
        <w:t>s</w:t>
      </w:r>
      <w:r w:rsidR="00204FF9">
        <w:rPr>
          <w:rFonts w:ascii="Arial" w:hAnsi="Arial" w:cs="Arial"/>
        </w:rPr>
        <w:t>ection</w:t>
      </w:r>
      <w:r w:rsidR="00CC5199">
        <w:rPr>
          <w:rFonts w:ascii="Arial" w:hAnsi="Arial" w:cs="Arial"/>
        </w:rPr>
        <w:t xml:space="preserve"> </w:t>
      </w:r>
      <w:r w:rsidR="00E736FE">
        <w:rPr>
          <w:rFonts w:ascii="Arial" w:hAnsi="Arial" w:cs="Arial"/>
        </w:rPr>
        <w:t xml:space="preserve">‘244’ </w:t>
      </w:r>
      <w:r w:rsidR="00196810">
        <w:rPr>
          <w:rFonts w:ascii="Arial" w:hAnsi="Arial" w:cs="Arial"/>
        </w:rPr>
        <w:t xml:space="preserve">from the table and inserts instead: </w:t>
      </w:r>
    </w:p>
    <w:p w14:paraId="67293404" w14:textId="0EEE7C3D" w:rsidR="00A850B0" w:rsidRPr="009C6B2E" w:rsidRDefault="00E736FE" w:rsidP="00A850B0">
      <w:pPr>
        <w:ind w:left="720"/>
        <w:rPr>
          <w:rFonts w:ascii="Arial" w:hAnsi="Arial" w:cs="Arial"/>
        </w:rPr>
      </w:pPr>
      <w:r>
        <w:rPr>
          <w:rFonts w:ascii="Arial" w:hAnsi="Arial" w:cs="Arial"/>
        </w:rPr>
        <w:t xml:space="preserve"> 244-244D</w:t>
      </w:r>
      <w:r w:rsidR="00A850B0">
        <w:rPr>
          <w:rFonts w:ascii="Arial" w:hAnsi="Arial" w:cs="Arial"/>
        </w:rPr>
        <w:t xml:space="preserve">  </w:t>
      </w:r>
      <w:r w:rsidR="00A850B0" w:rsidRPr="00A850B0">
        <w:rPr>
          <w:rFonts w:ascii="Arial" w:hAnsi="Arial" w:cs="Arial"/>
        </w:rPr>
        <w:t>A jurisdiction may omit these sections if the relevant laws of the jurisdiction</w:t>
      </w:r>
      <w:r w:rsidR="007F029C">
        <w:rPr>
          <w:rFonts w:ascii="Arial" w:hAnsi="Arial" w:cs="Arial"/>
        </w:rPr>
        <w:t xml:space="preserve"> (</w:t>
      </w:r>
      <w:r w:rsidR="00FA4637">
        <w:rPr>
          <w:rFonts w:ascii="Arial" w:hAnsi="Arial" w:cs="Arial"/>
        </w:rPr>
        <w:t>i.e. attribution and aggregation)</w:t>
      </w:r>
      <w:r w:rsidR="00A850B0" w:rsidRPr="00A850B0">
        <w:rPr>
          <w:rFonts w:ascii="Arial" w:hAnsi="Arial" w:cs="Arial"/>
        </w:rPr>
        <w:t xml:space="preserve"> already provide for this.</w:t>
      </w:r>
      <w:r w:rsidR="00A850B0">
        <w:t xml:space="preserve"> </w:t>
      </w:r>
    </w:p>
    <w:p w14:paraId="3597B717" w14:textId="77777777" w:rsidR="00ED0E63" w:rsidRPr="00AC2163" w:rsidRDefault="00ED0E63" w:rsidP="00AA61E6">
      <w:pPr>
        <w:jc w:val="center"/>
        <w:rPr>
          <w:rFonts w:ascii="Arial" w:hAnsi="Arial" w:cs="Arial"/>
          <w:color w:val="000000"/>
        </w:rPr>
      </w:pPr>
    </w:p>
    <w:p w14:paraId="33C0C470" w14:textId="2277EFA6" w:rsidR="00EE2C07" w:rsidRDefault="00EE2C07" w:rsidP="00AA61E6">
      <w:pPr>
        <w:jc w:val="center"/>
        <w:rPr>
          <w:rFonts w:ascii="Arial" w:hAnsi="Arial" w:cs="Arial"/>
          <w:b/>
        </w:rPr>
      </w:pPr>
      <w:r w:rsidRPr="00EE2C07">
        <w:rPr>
          <w:rFonts w:ascii="Arial" w:hAnsi="Arial" w:cs="Arial"/>
          <w:b/>
        </w:rPr>
        <w:t xml:space="preserve">Schedule </w:t>
      </w:r>
      <w:r>
        <w:rPr>
          <w:rFonts w:ascii="Arial" w:hAnsi="Arial" w:cs="Arial"/>
          <w:b/>
        </w:rPr>
        <w:t>2</w:t>
      </w:r>
      <w:r w:rsidR="00ED0E63">
        <w:rPr>
          <w:rFonts w:ascii="Arial" w:hAnsi="Arial" w:cs="Arial"/>
          <w:b/>
        </w:rPr>
        <w:t xml:space="preserve"> – Amendments to the model WHS Regulations</w:t>
      </w:r>
    </w:p>
    <w:p w14:paraId="67A05501" w14:textId="51CCBAEB" w:rsidR="00ED0E63" w:rsidRDefault="00ED0E63">
      <w:pPr>
        <w:rPr>
          <w:color w:val="000000" w:themeColor="text1"/>
        </w:rPr>
      </w:pPr>
    </w:p>
    <w:p w14:paraId="42E7A2E0" w14:textId="5A653AE2" w:rsidR="00D4758F" w:rsidRDefault="00D4758F" w:rsidP="00D4758F">
      <w:pPr>
        <w:rPr>
          <w:rFonts w:ascii="Arial" w:hAnsi="Arial" w:cs="Arial"/>
          <w:b/>
          <w:bCs/>
        </w:rPr>
      </w:pPr>
      <w:r w:rsidRPr="00A71C5C">
        <w:rPr>
          <w:rFonts w:ascii="Arial" w:hAnsi="Arial" w:cs="Arial"/>
          <w:b/>
          <w:bCs/>
        </w:rPr>
        <w:t xml:space="preserve">Item [1] </w:t>
      </w:r>
      <w:r w:rsidR="00A71C5C" w:rsidRPr="00A71C5C">
        <w:rPr>
          <w:rFonts w:ascii="Arial" w:hAnsi="Arial" w:cs="Arial"/>
          <w:b/>
          <w:bCs/>
        </w:rPr>
        <w:t>Regulations 19, 22, 46, 47, 50(3), 66(2) and (5), 68, 70, 77(5), 85(1)–(3), 149, 150(1) and (2), 151, 162(4), 165(1), 176(2), 182(4), 187, 188, 195, 196, 198, 200, 213, 224, 235, 236, 239, 253, 254, 294–296, 298, 301, 302, 303(3), 304(2)–(4), 308, 310, 311, 312, 313(3), 316, 317, 327, 336–338, 344(3), (5) and (6), 346(3), 347(3), 369, 371(2), 372, 373, 385, 387, 388, 398(2), 401, 403, 409, 410, 415(2), 425– 428, 429(5), 430, 432(5), 433, 438, 439, 446, 448, 451(5), 454, 455, 464(3), 465, 466, 482(3), 529, 547, 548, 551, 553, 555(5), 557(8), 560, 562, 563, 567(4), 570 and 576</w:t>
      </w:r>
    </w:p>
    <w:p w14:paraId="4B604A75" w14:textId="404C8E22" w:rsidR="00D4758F" w:rsidRDefault="00A71C5C" w:rsidP="00D4758F">
      <w:pPr>
        <w:rPr>
          <w:rFonts w:ascii="Arial" w:hAnsi="Arial" w:cs="Arial"/>
          <w:b/>
          <w:bCs/>
        </w:rPr>
      </w:pPr>
      <w:r w:rsidRPr="00790303">
        <w:rPr>
          <w:rFonts w:ascii="Arial" w:hAnsi="Arial" w:cs="Arial"/>
        </w:rPr>
        <w:t xml:space="preserve">This item </w:t>
      </w:r>
      <w:r>
        <w:rPr>
          <w:rFonts w:ascii="Arial" w:hAnsi="Arial" w:cs="Arial"/>
        </w:rPr>
        <w:t xml:space="preserve">amends regulations </w:t>
      </w:r>
      <w:r w:rsidRPr="00A71C5C">
        <w:rPr>
          <w:rFonts w:ascii="Arial" w:hAnsi="Arial" w:cs="Arial"/>
        </w:rPr>
        <w:t>19, 22, 46, 47, 50(3), 66(2) and (5), 68, 70, 77(5), 85(1)–(3), 149, 150(1) and (2), 151, 162(4), 165(1), 176(2), 182(4), 187, 188, 195, 196, 198, 200, 213, 224, 235, 236, 239, 253, 254, 294–296, 298, 301, 302, 303(3), 304(2)–(4), 308, 310, 311, 312, 313(3), 316, 317, 327, 336–338, 344(3), (5) and (6), 346(3), 347(3), 369, 371(2), 372, 373, 385, 387, 388, 398(2), 401, 403, 409, 410, 415(2), 425– 428, 429(5), 430, 432(5), 433, 438, 439, 446, 448, 451(5), 454, 455, 464(3), 465, 466, 482(3), 529, 547, 548, 551, 553, 555(5), 557(8), 560, 562, 563, 567(4), 570 and 576</w:t>
      </w:r>
      <w:r>
        <w:rPr>
          <w:rFonts w:ascii="Arial" w:hAnsi="Arial" w:cs="Arial"/>
        </w:rPr>
        <w:t xml:space="preserve"> to </w:t>
      </w:r>
      <w:r w:rsidRPr="00A92467">
        <w:rPr>
          <w:rFonts w:ascii="Arial" w:hAnsi="Arial" w:cs="Arial"/>
        </w:rPr>
        <w:t xml:space="preserve">have a maximum tier </w:t>
      </w:r>
      <w:r>
        <w:rPr>
          <w:rFonts w:ascii="Arial" w:hAnsi="Arial" w:cs="Arial"/>
        </w:rPr>
        <w:t>G</w:t>
      </w:r>
      <w:r w:rsidRPr="00A92467">
        <w:rPr>
          <w:rFonts w:ascii="Arial" w:hAnsi="Arial" w:cs="Arial"/>
        </w:rPr>
        <w:t xml:space="preserve"> monetary penalty.</w:t>
      </w:r>
      <w:r>
        <w:rPr>
          <w:rFonts w:ascii="Arial" w:hAnsi="Arial" w:cs="Arial"/>
        </w:rPr>
        <w:t xml:space="preserve"> </w:t>
      </w:r>
    </w:p>
    <w:p w14:paraId="48155799" w14:textId="1DC828D7" w:rsidR="00D4758F" w:rsidRDefault="00D4758F" w:rsidP="00D4758F">
      <w:pPr>
        <w:rPr>
          <w:rFonts w:ascii="Arial" w:hAnsi="Arial" w:cs="Arial"/>
          <w:b/>
          <w:bCs/>
        </w:rPr>
      </w:pPr>
      <w:r w:rsidRPr="006E468D">
        <w:rPr>
          <w:rFonts w:ascii="Arial" w:hAnsi="Arial" w:cs="Arial"/>
          <w:b/>
          <w:bCs/>
        </w:rPr>
        <w:t>Item [2</w:t>
      </w:r>
      <w:r w:rsidRPr="00DC44D3">
        <w:rPr>
          <w:rFonts w:ascii="Arial" w:hAnsi="Arial" w:cs="Arial"/>
          <w:b/>
          <w:bCs/>
        </w:rPr>
        <w:t>]</w:t>
      </w:r>
      <w:r w:rsidR="00CA6569" w:rsidRPr="00DC44D3">
        <w:rPr>
          <w:rFonts w:ascii="Arial" w:hAnsi="Arial" w:cs="Arial"/>
          <w:b/>
          <w:bCs/>
        </w:rPr>
        <w:t xml:space="preserve"> Regulations</w:t>
      </w:r>
      <w:r w:rsidR="00CA6569" w:rsidRPr="00CA6569">
        <w:rPr>
          <w:rFonts w:ascii="Arial" w:hAnsi="Arial" w:cs="Arial"/>
          <w:b/>
          <w:bCs/>
        </w:rPr>
        <w:t xml:space="preserve"> 39–45, 48, 49, 50(1), 53, 55, 57–59, 61, 64, 65, 67, 69, 71–75, 76(1), 78–80, 84, 154–161, 163, 164, 166, 168, 177–179, 183, 184A, 189–194, 197, 199, 201, 202, 204–212, 215, 216, 218, 219, 222, 223, 225, 231–234, 238, 240, 241, 299, 300, 306, 309, 314, 329, 330–335, 339, 340(1) and (2), 341–343, 344(1), 345, 346(1), 347(1), 348–350, 352–363, 365–368, 370, 371(1), 374—377, 379, 389, 391(2), 395–397, 398(1), 399, 400, 402, 405–408, 411–414, 415(1), 416, 417, 419, 420, 422, 424, 429(2) and (3), 432(2) and (3), 434–437, 440–443, 445(1), 449, 450, 451(2) and (3), 452, 453, 456–460, 462, 463, 464(1), 467–477, 479–481, 482(1) and (2), 483, 484, 536, 554, 555(1) and (4), 556, 557(1) and (5)–(7), 558, 559, 564–566, 567(1)–(3), 568, 569, 571, 572(1), 573–575</w:t>
      </w:r>
    </w:p>
    <w:p w14:paraId="75CE7467" w14:textId="2B76DDD2" w:rsidR="00D4758F" w:rsidRPr="00C70302" w:rsidRDefault="00CA6569" w:rsidP="00D4758F">
      <w:pPr>
        <w:rPr>
          <w:rFonts w:ascii="Arial" w:hAnsi="Arial" w:cs="Arial"/>
          <w:b/>
          <w:bCs/>
        </w:rPr>
      </w:pPr>
      <w:r w:rsidRPr="00790303">
        <w:rPr>
          <w:rFonts w:ascii="Arial" w:hAnsi="Arial" w:cs="Arial"/>
        </w:rPr>
        <w:t xml:space="preserve">This item </w:t>
      </w:r>
      <w:r>
        <w:rPr>
          <w:rFonts w:ascii="Arial" w:hAnsi="Arial" w:cs="Arial"/>
        </w:rPr>
        <w:t xml:space="preserve">amends regulations </w:t>
      </w:r>
      <w:r w:rsidRPr="00CA6569">
        <w:rPr>
          <w:rFonts w:ascii="Arial" w:hAnsi="Arial" w:cs="Arial"/>
        </w:rPr>
        <w:t>39–45, 48, 49, 50(1), 53, 55, 57–59, 61, 64, 65, 67, 69, 71–75, 76(1), 78–80, 84, 154–161, 163, 164, 166, 168, 177–179, 183, 184A, 189–194, 197, 199, 201, 202, 204–212, 215, 216, 218, 219, 222, 223, 225, 231–234, 238, 240, 241, 299, 300, 306, 309, 314, 329, 330–335, 339, 340(1) and (2), 341–343, 344(1), 345, 346(1), 347(1), 348–350, 352–363, 365–368, 370, 371(1), 374—377, 379, 389, 391(2), 395–397, 398(1), 399, 400, 402, 405–408, 411–414, 415(1), 416, 417, 419, 420, 422, 424, 429(2) and (3), 432(2) and (3), 434–437, 440–443, 445(1), 449, 450, 451(2) and (3), 452, 453, 456–460, 462, 463, 464(1), 467–477, 479–481, 482(1) and (2), 483, 484, 536, 554, 555(1) and (4), 556, 557(1) and (5)–(7), 558, 559, 564–566, 567(1)–(3), 568, 569, 571, 572(1), 573–575</w:t>
      </w:r>
      <w:r>
        <w:rPr>
          <w:rFonts w:ascii="Arial" w:hAnsi="Arial" w:cs="Arial"/>
        </w:rPr>
        <w:t xml:space="preserve"> to </w:t>
      </w:r>
      <w:r w:rsidRPr="00A92467">
        <w:rPr>
          <w:rFonts w:ascii="Arial" w:hAnsi="Arial" w:cs="Arial"/>
        </w:rPr>
        <w:t xml:space="preserve">have a maximum tier </w:t>
      </w:r>
      <w:r>
        <w:rPr>
          <w:rFonts w:ascii="Arial" w:hAnsi="Arial" w:cs="Arial"/>
        </w:rPr>
        <w:t>E</w:t>
      </w:r>
      <w:r w:rsidRPr="00A92467">
        <w:rPr>
          <w:rFonts w:ascii="Arial" w:hAnsi="Arial" w:cs="Arial"/>
        </w:rPr>
        <w:t xml:space="preserve"> monetary penalty.</w:t>
      </w:r>
      <w:r>
        <w:rPr>
          <w:rFonts w:ascii="Arial" w:hAnsi="Arial" w:cs="Arial"/>
        </w:rPr>
        <w:t xml:space="preserve"> </w:t>
      </w:r>
    </w:p>
    <w:p w14:paraId="0C547BDF" w14:textId="069D98C8" w:rsidR="00D4758F" w:rsidRDefault="00D4758F" w:rsidP="00D4758F">
      <w:pPr>
        <w:rPr>
          <w:rFonts w:ascii="Arial" w:hAnsi="Arial" w:cs="Arial"/>
          <w:b/>
          <w:bCs/>
        </w:rPr>
      </w:pPr>
      <w:r w:rsidRPr="00C70302">
        <w:rPr>
          <w:rFonts w:ascii="Arial" w:hAnsi="Arial" w:cs="Arial"/>
          <w:b/>
          <w:bCs/>
        </w:rPr>
        <w:lastRenderedPageBreak/>
        <w:t>Item [3]</w:t>
      </w:r>
      <w:r w:rsidR="00DE3694" w:rsidRPr="00C70302">
        <w:rPr>
          <w:rFonts w:ascii="Arial" w:hAnsi="Arial" w:cs="Arial"/>
          <w:b/>
          <w:bCs/>
        </w:rPr>
        <w:t xml:space="preserve"> </w:t>
      </w:r>
      <w:r w:rsidR="00DE3694" w:rsidRPr="00DE3694">
        <w:rPr>
          <w:rFonts w:ascii="Arial" w:hAnsi="Arial" w:cs="Arial"/>
          <w:b/>
          <w:bCs/>
        </w:rPr>
        <w:t>Regulations 50(2), 66(3), 76(2), 77(2)–(4), 85(4), 94, 96–98, 111, 124–127, 139, 142, 150(3), 162(2), (3) and (5), 165(2), 170, 175, 176(3), 180, 181, 182(2), (3) and (5), 226, 228–230, 237, 242, 260, 262, 273, 275, 282, 287, 288, 288D, 303(1), (2) and (4), 304(5), 313(1), (2) and (4), 326, 340(3) and (4), 364, 378, 390, 391(3), 404, 418, 423, 444, 445(3) and (4), 461, 505–507, 512, 513, 525, 572(4), 587, 588, 593, 594 and 607</w:t>
      </w:r>
    </w:p>
    <w:p w14:paraId="4F395EB6" w14:textId="74C5E93C" w:rsidR="00DE3694" w:rsidRDefault="00DE3694" w:rsidP="00DE3694">
      <w:pPr>
        <w:rPr>
          <w:rFonts w:ascii="Arial" w:hAnsi="Arial" w:cs="Arial"/>
          <w:b/>
          <w:bCs/>
        </w:rPr>
      </w:pPr>
      <w:r w:rsidRPr="00790303">
        <w:rPr>
          <w:rFonts w:ascii="Arial" w:hAnsi="Arial" w:cs="Arial"/>
        </w:rPr>
        <w:t xml:space="preserve">This item </w:t>
      </w:r>
      <w:r>
        <w:rPr>
          <w:rFonts w:ascii="Arial" w:hAnsi="Arial" w:cs="Arial"/>
        </w:rPr>
        <w:t xml:space="preserve">amends regulations </w:t>
      </w:r>
      <w:r w:rsidRPr="00DE3694">
        <w:rPr>
          <w:rFonts w:ascii="Arial" w:hAnsi="Arial" w:cs="Arial"/>
        </w:rPr>
        <w:t>50(2), 66(3), 76(2), 77(2)–(4), 85(4), 94, 96–98, 111, 124–127, 139, 142, 150(3), 162(2), (3) and (5), 165(2), 170, 175, 176(3), 180, 181, 182(2), (3) and (5), 226, 228–230, 237, 242, 260, 262, 273, 275, 282, 287, 288, 288D, 303(1), (2) and (4), 304(5), 313(1), (2) and (4), 326, 340(3) and (4), 364, 378, 390, 391(3), 404, 418, 423, 444, 445(3) and (4), 461, 505–507, 512, 513, 525, 572(4), 587, 588, 593, 594 and 607</w:t>
      </w:r>
      <w:r>
        <w:rPr>
          <w:rFonts w:ascii="Arial" w:hAnsi="Arial" w:cs="Arial"/>
        </w:rPr>
        <w:t xml:space="preserve"> to </w:t>
      </w:r>
      <w:r w:rsidRPr="00A92467">
        <w:rPr>
          <w:rFonts w:ascii="Arial" w:hAnsi="Arial" w:cs="Arial"/>
        </w:rPr>
        <w:t xml:space="preserve">have a maximum tier </w:t>
      </w:r>
      <w:r>
        <w:rPr>
          <w:rFonts w:ascii="Arial" w:hAnsi="Arial" w:cs="Arial"/>
        </w:rPr>
        <w:t>I</w:t>
      </w:r>
      <w:r w:rsidRPr="00A92467">
        <w:rPr>
          <w:rFonts w:ascii="Arial" w:hAnsi="Arial" w:cs="Arial"/>
        </w:rPr>
        <w:t xml:space="preserve"> monetary penalty.</w:t>
      </w:r>
      <w:r>
        <w:rPr>
          <w:rFonts w:ascii="Arial" w:hAnsi="Arial" w:cs="Arial"/>
        </w:rPr>
        <w:t xml:space="preserve"> </w:t>
      </w:r>
    </w:p>
    <w:p w14:paraId="2020D595" w14:textId="77777777" w:rsidR="00D4758F" w:rsidRDefault="00D4758F" w:rsidP="00D4758F">
      <w:pPr>
        <w:rPr>
          <w:rFonts w:ascii="Arial" w:hAnsi="Arial" w:cs="Arial"/>
          <w:b/>
          <w:bCs/>
          <w:u w:val="single"/>
        </w:rPr>
      </w:pPr>
    </w:p>
    <w:p w14:paraId="09031782" w14:textId="4FAF785B" w:rsidR="000A56F9" w:rsidRPr="000A56F9" w:rsidRDefault="00D4758F" w:rsidP="000A56F9">
      <w:pPr>
        <w:rPr>
          <w:rFonts w:ascii="Arial" w:hAnsi="Arial" w:cs="Arial"/>
          <w:b/>
          <w:bCs/>
          <w:u w:val="single"/>
        </w:rPr>
      </w:pPr>
      <w:r w:rsidRPr="00F32FBB">
        <w:rPr>
          <w:rFonts w:ascii="Arial" w:hAnsi="Arial" w:cs="Arial"/>
          <w:b/>
          <w:bCs/>
          <w:u w:val="single"/>
        </w:rPr>
        <w:t>Item [</w:t>
      </w:r>
      <w:r>
        <w:rPr>
          <w:rFonts w:ascii="Arial" w:hAnsi="Arial" w:cs="Arial"/>
          <w:b/>
          <w:bCs/>
          <w:u w:val="single"/>
        </w:rPr>
        <w:t>4</w:t>
      </w:r>
      <w:r w:rsidRPr="00F32FBB">
        <w:rPr>
          <w:rFonts w:ascii="Arial" w:hAnsi="Arial" w:cs="Arial"/>
          <w:b/>
          <w:bCs/>
          <w:u w:val="single"/>
        </w:rPr>
        <w:t>]</w:t>
      </w:r>
      <w:r>
        <w:rPr>
          <w:rFonts w:ascii="Arial" w:hAnsi="Arial" w:cs="Arial"/>
          <w:b/>
          <w:bCs/>
          <w:u w:val="single"/>
        </w:rPr>
        <w:t xml:space="preserve"> Amendment of regulation 55C (Managing psychosocial risks)</w:t>
      </w:r>
    </w:p>
    <w:p w14:paraId="2ED6CA73" w14:textId="00C20640" w:rsidR="000B1E23" w:rsidRPr="00464B61" w:rsidRDefault="00DE3694" w:rsidP="00C2028C">
      <w:pPr>
        <w:pStyle w:val="NormalWeb"/>
        <w:rPr>
          <w:rFonts w:ascii="Arial" w:hAnsi="Arial" w:cs="Arial"/>
          <w:color w:val="000000" w:themeColor="text1"/>
        </w:rPr>
      </w:pPr>
      <w:r w:rsidRPr="00464B61">
        <w:rPr>
          <w:rFonts w:ascii="Arial" w:hAnsi="Arial" w:cs="Arial"/>
          <w:color w:val="000000" w:themeColor="text1"/>
        </w:rPr>
        <w:t xml:space="preserve">This </w:t>
      </w:r>
      <w:r w:rsidR="00EF0247" w:rsidRPr="00464B61">
        <w:rPr>
          <w:rFonts w:ascii="Arial" w:hAnsi="Arial" w:cs="Arial"/>
          <w:color w:val="000000" w:themeColor="text1"/>
        </w:rPr>
        <w:t xml:space="preserve">is a technical amendment to regulations 55C and 55D. This item </w:t>
      </w:r>
      <w:r w:rsidRPr="00464B61">
        <w:rPr>
          <w:rFonts w:ascii="Arial" w:hAnsi="Arial" w:cs="Arial"/>
          <w:color w:val="000000" w:themeColor="text1"/>
        </w:rPr>
        <w:t>amends regulation 55C</w:t>
      </w:r>
      <w:r w:rsidR="00C2028C" w:rsidRPr="00464B61">
        <w:rPr>
          <w:rFonts w:ascii="Arial" w:hAnsi="Arial" w:cs="Arial"/>
          <w:color w:val="000000" w:themeColor="text1"/>
        </w:rPr>
        <w:t xml:space="preserve"> to clarify that a person conducting a business or undertaking must</w:t>
      </w:r>
      <w:r w:rsidR="000B1E23" w:rsidRPr="00464B61">
        <w:rPr>
          <w:rFonts w:ascii="Arial" w:hAnsi="Arial" w:cs="Arial"/>
          <w:color w:val="000000" w:themeColor="text1"/>
        </w:rPr>
        <w:t xml:space="preserve"> </w:t>
      </w:r>
      <w:r w:rsidR="00435E79" w:rsidRPr="00464B61">
        <w:rPr>
          <w:rFonts w:ascii="Arial" w:hAnsi="Arial" w:cs="Arial"/>
          <w:color w:val="000000" w:themeColor="text1"/>
        </w:rPr>
        <w:t>manage psychosocial risks in accordance with Part 3.1 (other than regulation 36)</w:t>
      </w:r>
      <w:r w:rsidR="00435E79">
        <w:rPr>
          <w:rFonts w:ascii="Arial" w:hAnsi="Arial" w:cs="Arial"/>
          <w:color w:val="000000" w:themeColor="text1"/>
        </w:rPr>
        <w:t xml:space="preserve"> and </w:t>
      </w:r>
      <w:r w:rsidR="00897A69" w:rsidRPr="00464B61">
        <w:rPr>
          <w:rFonts w:ascii="Arial" w:hAnsi="Arial" w:cs="Arial"/>
          <w:color w:val="000000" w:themeColor="text1"/>
        </w:rPr>
        <w:t xml:space="preserve">implement </w:t>
      </w:r>
      <w:r w:rsidR="003B739D">
        <w:rPr>
          <w:rFonts w:ascii="Arial" w:hAnsi="Arial" w:cs="Arial"/>
          <w:color w:val="000000" w:themeColor="text1"/>
        </w:rPr>
        <w:t xml:space="preserve">the </w:t>
      </w:r>
      <w:r w:rsidR="00897A69" w:rsidRPr="00464B61">
        <w:rPr>
          <w:rFonts w:ascii="Arial" w:hAnsi="Arial" w:cs="Arial"/>
          <w:color w:val="000000" w:themeColor="text1"/>
        </w:rPr>
        <w:t xml:space="preserve">control measures </w:t>
      </w:r>
      <w:r w:rsidR="003B739D">
        <w:rPr>
          <w:rFonts w:ascii="Arial" w:hAnsi="Arial" w:cs="Arial"/>
          <w:color w:val="000000" w:themeColor="text1"/>
        </w:rPr>
        <w:t>required by</w:t>
      </w:r>
      <w:r w:rsidR="00897A69" w:rsidRPr="00464B61">
        <w:rPr>
          <w:rFonts w:ascii="Arial" w:hAnsi="Arial" w:cs="Arial"/>
          <w:color w:val="000000" w:themeColor="text1"/>
        </w:rPr>
        <w:t xml:space="preserve"> regulation 55D</w:t>
      </w:r>
      <w:r w:rsidR="003B739D">
        <w:rPr>
          <w:rFonts w:ascii="Arial" w:hAnsi="Arial" w:cs="Arial"/>
          <w:color w:val="000000" w:themeColor="text1"/>
        </w:rPr>
        <w:t xml:space="preserve">. </w:t>
      </w:r>
    </w:p>
    <w:p w14:paraId="0E42D937" w14:textId="1C98BF27" w:rsidR="00D4758F" w:rsidRPr="00224D8E" w:rsidRDefault="00C2028C" w:rsidP="00D4758F">
      <w:pPr>
        <w:rPr>
          <w:rFonts w:ascii="Arial" w:hAnsi="Arial" w:cs="Arial"/>
          <w:b/>
          <w:bCs/>
        </w:rPr>
      </w:pPr>
      <w:r w:rsidRPr="004518BE">
        <w:rPr>
          <w:rFonts w:ascii="Arial" w:hAnsi="Arial" w:cs="Arial"/>
        </w:rPr>
        <w:t xml:space="preserve">This item also </w:t>
      </w:r>
      <w:r w:rsidR="009F2BA7">
        <w:rPr>
          <w:rFonts w:ascii="Arial" w:hAnsi="Arial" w:cs="Arial"/>
        </w:rPr>
        <w:t>includes</w:t>
      </w:r>
      <w:r w:rsidR="009F2BA7" w:rsidRPr="004518BE">
        <w:rPr>
          <w:rFonts w:ascii="Arial" w:hAnsi="Arial" w:cs="Arial"/>
        </w:rPr>
        <w:t xml:space="preserve"> </w:t>
      </w:r>
      <w:r w:rsidRPr="004518BE">
        <w:rPr>
          <w:rFonts w:ascii="Arial" w:hAnsi="Arial" w:cs="Arial"/>
        </w:rPr>
        <w:t xml:space="preserve">a regulation 9 note </w:t>
      </w:r>
      <w:r w:rsidR="00C45C6A">
        <w:rPr>
          <w:rFonts w:ascii="Arial" w:hAnsi="Arial" w:cs="Arial"/>
        </w:rPr>
        <w:t xml:space="preserve">at the foot of </w:t>
      </w:r>
      <w:r w:rsidRPr="004518BE">
        <w:rPr>
          <w:rFonts w:ascii="Arial" w:hAnsi="Arial" w:cs="Arial"/>
        </w:rPr>
        <w:t xml:space="preserve">regulation 55C which </w:t>
      </w:r>
      <w:r w:rsidR="0077761F">
        <w:rPr>
          <w:rFonts w:ascii="Arial" w:hAnsi="Arial" w:cs="Arial"/>
        </w:rPr>
        <w:t xml:space="preserve">has the effect </w:t>
      </w:r>
      <w:r w:rsidRPr="004518BE">
        <w:rPr>
          <w:rFonts w:ascii="Arial" w:hAnsi="Arial" w:cs="Arial"/>
        </w:rPr>
        <w:t xml:space="preserve"> that </w:t>
      </w:r>
      <w:r w:rsidR="004518BE" w:rsidRPr="004518BE">
        <w:rPr>
          <w:rFonts w:ascii="Arial" w:hAnsi="Arial" w:cs="Arial"/>
        </w:rPr>
        <w:t>for a PCBU to comply with s</w:t>
      </w:r>
      <w:r w:rsidR="005E15A9">
        <w:rPr>
          <w:rFonts w:ascii="Arial" w:hAnsi="Arial" w:cs="Arial"/>
        </w:rPr>
        <w:t>ection</w:t>
      </w:r>
      <w:r w:rsidR="004518BE" w:rsidRPr="004518BE">
        <w:rPr>
          <w:rFonts w:ascii="Arial" w:hAnsi="Arial" w:cs="Arial"/>
        </w:rPr>
        <w:t xml:space="preserve"> 19</w:t>
      </w:r>
      <w:r w:rsidR="007C71A4">
        <w:rPr>
          <w:rFonts w:ascii="Arial" w:hAnsi="Arial" w:cs="Arial"/>
        </w:rPr>
        <w:t xml:space="preserve"> (primary duty of care)</w:t>
      </w:r>
      <w:r w:rsidR="00504386">
        <w:rPr>
          <w:rFonts w:ascii="Arial" w:hAnsi="Arial" w:cs="Arial"/>
        </w:rPr>
        <w:t>,</w:t>
      </w:r>
      <w:r w:rsidR="004518BE" w:rsidRPr="004518BE">
        <w:rPr>
          <w:rFonts w:ascii="Arial" w:hAnsi="Arial" w:cs="Arial"/>
        </w:rPr>
        <w:t xml:space="preserve"> </w:t>
      </w:r>
      <w:r w:rsidR="004518BE">
        <w:rPr>
          <w:rFonts w:ascii="Arial" w:hAnsi="Arial" w:cs="Arial"/>
        </w:rPr>
        <w:t>they must comply</w:t>
      </w:r>
      <w:r w:rsidR="004518BE" w:rsidRPr="004518BE">
        <w:rPr>
          <w:rFonts w:ascii="Arial" w:hAnsi="Arial" w:cs="Arial"/>
        </w:rPr>
        <w:t xml:space="preserve"> with reg</w:t>
      </w:r>
      <w:r w:rsidR="00504386">
        <w:rPr>
          <w:rFonts w:ascii="Arial" w:hAnsi="Arial" w:cs="Arial"/>
        </w:rPr>
        <w:t>ulation</w:t>
      </w:r>
      <w:r w:rsidR="004518BE" w:rsidRPr="004518BE">
        <w:rPr>
          <w:rFonts w:ascii="Arial" w:hAnsi="Arial" w:cs="Arial"/>
        </w:rPr>
        <w:t xml:space="preserve"> 55</w:t>
      </w:r>
      <w:r w:rsidR="00032121">
        <w:rPr>
          <w:rFonts w:ascii="Arial" w:hAnsi="Arial" w:cs="Arial"/>
        </w:rPr>
        <w:t>C</w:t>
      </w:r>
      <w:r w:rsidR="004518BE" w:rsidRPr="004518BE">
        <w:rPr>
          <w:rFonts w:ascii="Arial" w:hAnsi="Arial" w:cs="Arial"/>
        </w:rPr>
        <w:t xml:space="preserve">. </w:t>
      </w:r>
      <w:r w:rsidR="009F2BA7" w:rsidRPr="00613587">
        <w:rPr>
          <w:rFonts w:ascii="Arial" w:hAnsi="Arial" w:cs="Arial"/>
        </w:rPr>
        <w:t xml:space="preserve">Regulation 9 explains the effect of </w:t>
      </w:r>
      <w:r w:rsidR="009F2BA7">
        <w:rPr>
          <w:rFonts w:ascii="Arial" w:hAnsi="Arial" w:cs="Arial"/>
        </w:rPr>
        <w:t xml:space="preserve">a </w:t>
      </w:r>
      <w:r w:rsidR="009F2BA7" w:rsidRPr="00613587">
        <w:rPr>
          <w:rFonts w:ascii="Arial" w:hAnsi="Arial" w:cs="Arial"/>
        </w:rPr>
        <w:t>note linking a regulation to health and safety duties in the Act.</w:t>
      </w:r>
    </w:p>
    <w:p w14:paraId="3593BCF1" w14:textId="77777777" w:rsidR="00D4758F" w:rsidRDefault="00D4758F" w:rsidP="00D4758F">
      <w:pPr>
        <w:rPr>
          <w:rFonts w:ascii="Arial" w:hAnsi="Arial" w:cs="Arial"/>
          <w:b/>
          <w:bCs/>
          <w:u w:val="single"/>
        </w:rPr>
      </w:pPr>
      <w:r w:rsidRPr="00F32FBB">
        <w:rPr>
          <w:rFonts w:ascii="Arial" w:hAnsi="Arial" w:cs="Arial"/>
          <w:b/>
          <w:bCs/>
          <w:u w:val="single"/>
        </w:rPr>
        <w:t>Item [</w:t>
      </w:r>
      <w:r>
        <w:rPr>
          <w:rFonts w:ascii="Arial" w:hAnsi="Arial" w:cs="Arial"/>
          <w:b/>
          <w:bCs/>
          <w:u w:val="single"/>
        </w:rPr>
        <w:t>5</w:t>
      </w:r>
      <w:r w:rsidRPr="00F32FBB">
        <w:rPr>
          <w:rFonts w:ascii="Arial" w:hAnsi="Arial" w:cs="Arial"/>
          <w:b/>
          <w:bCs/>
          <w:u w:val="single"/>
        </w:rPr>
        <w:t>]</w:t>
      </w:r>
      <w:r>
        <w:rPr>
          <w:rFonts w:ascii="Arial" w:hAnsi="Arial" w:cs="Arial"/>
          <w:b/>
          <w:bCs/>
          <w:u w:val="single"/>
        </w:rPr>
        <w:t xml:space="preserve"> Amendment of regulation 55D (Control measures)</w:t>
      </w:r>
    </w:p>
    <w:p w14:paraId="15A5E1AF" w14:textId="196931F3" w:rsidR="004C38F2" w:rsidRPr="004C38F2" w:rsidRDefault="004C38F2">
      <w:pPr>
        <w:rPr>
          <w:rFonts w:ascii="Arial" w:hAnsi="Arial" w:cs="Arial"/>
          <w:color w:val="000000" w:themeColor="text1"/>
        </w:rPr>
      </w:pPr>
      <w:r w:rsidRPr="004C38F2">
        <w:rPr>
          <w:rFonts w:ascii="Arial" w:hAnsi="Arial" w:cs="Arial"/>
          <w:color w:val="000000" w:themeColor="text1"/>
        </w:rPr>
        <w:t xml:space="preserve">This item </w:t>
      </w:r>
      <w:r w:rsidR="0093138A">
        <w:rPr>
          <w:rFonts w:ascii="Arial" w:hAnsi="Arial" w:cs="Arial"/>
          <w:color w:val="000000" w:themeColor="text1"/>
        </w:rPr>
        <w:t>omits</w:t>
      </w:r>
      <w:r w:rsidRPr="004C38F2">
        <w:rPr>
          <w:rFonts w:ascii="Arial" w:hAnsi="Arial" w:cs="Arial"/>
          <w:color w:val="000000" w:themeColor="text1"/>
        </w:rPr>
        <w:t xml:space="preserve"> the </w:t>
      </w:r>
      <w:r w:rsidR="00C2028C">
        <w:rPr>
          <w:rFonts w:ascii="Arial" w:hAnsi="Arial" w:cs="Arial"/>
          <w:color w:val="000000" w:themeColor="text1"/>
        </w:rPr>
        <w:t xml:space="preserve">regulation 9 </w:t>
      </w:r>
      <w:r w:rsidRPr="004C38F2">
        <w:rPr>
          <w:rFonts w:ascii="Arial" w:hAnsi="Arial" w:cs="Arial"/>
          <w:color w:val="000000" w:themeColor="text1"/>
        </w:rPr>
        <w:t xml:space="preserve">note </w:t>
      </w:r>
      <w:r w:rsidR="003A5160">
        <w:rPr>
          <w:rFonts w:ascii="Arial" w:hAnsi="Arial" w:cs="Arial"/>
          <w:color w:val="000000" w:themeColor="text1"/>
        </w:rPr>
        <w:t>at the foot of</w:t>
      </w:r>
      <w:r w:rsidRPr="004C38F2">
        <w:rPr>
          <w:rFonts w:ascii="Arial" w:hAnsi="Arial" w:cs="Arial"/>
          <w:color w:val="000000" w:themeColor="text1"/>
        </w:rPr>
        <w:t xml:space="preserve"> regulation 55D</w:t>
      </w:r>
      <w:r w:rsidR="00B4585B">
        <w:rPr>
          <w:rFonts w:ascii="Arial" w:hAnsi="Arial" w:cs="Arial"/>
          <w:color w:val="000000" w:themeColor="text1"/>
        </w:rPr>
        <w:t>(3)</w:t>
      </w:r>
      <w:r w:rsidR="00CF0967">
        <w:rPr>
          <w:rFonts w:ascii="Arial" w:hAnsi="Arial" w:cs="Arial"/>
          <w:color w:val="000000" w:themeColor="text1"/>
        </w:rPr>
        <w:t>, and item [4] inse</w:t>
      </w:r>
      <w:r w:rsidR="00F97AE8">
        <w:rPr>
          <w:rFonts w:ascii="Arial" w:hAnsi="Arial" w:cs="Arial"/>
          <w:color w:val="000000" w:themeColor="text1"/>
        </w:rPr>
        <w:t>r</w:t>
      </w:r>
      <w:r w:rsidR="00CF0967">
        <w:rPr>
          <w:rFonts w:ascii="Arial" w:hAnsi="Arial" w:cs="Arial"/>
          <w:color w:val="000000" w:themeColor="text1"/>
        </w:rPr>
        <w:t xml:space="preserve">ts a reg 9 note to regulation 55C. </w:t>
      </w:r>
    </w:p>
    <w:sectPr w:rsidR="004C38F2" w:rsidRPr="004C38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C145" w14:textId="77777777" w:rsidR="00727ECF" w:rsidRDefault="00727ECF" w:rsidP="000B18C1">
      <w:pPr>
        <w:spacing w:after="0" w:line="240" w:lineRule="auto"/>
      </w:pPr>
      <w:r>
        <w:separator/>
      </w:r>
    </w:p>
  </w:endnote>
  <w:endnote w:type="continuationSeparator" w:id="0">
    <w:p w14:paraId="37047749" w14:textId="77777777" w:rsidR="00727ECF" w:rsidRDefault="00727ECF" w:rsidP="000B18C1">
      <w:pPr>
        <w:spacing w:after="0" w:line="240" w:lineRule="auto"/>
      </w:pPr>
      <w:r>
        <w:continuationSeparator/>
      </w:r>
    </w:p>
  </w:endnote>
  <w:endnote w:type="continuationNotice" w:id="1">
    <w:p w14:paraId="42EF0265" w14:textId="77777777" w:rsidR="00727ECF" w:rsidRDefault="00727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0AB7" w14:textId="77777777" w:rsidR="00727ECF" w:rsidRDefault="00727ECF" w:rsidP="000B18C1">
      <w:pPr>
        <w:spacing w:after="0" w:line="240" w:lineRule="auto"/>
      </w:pPr>
      <w:r>
        <w:separator/>
      </w:r>
    </w:p>
  </w:footnote>
  <w:footnote w:type="continuationSeparator" w:id="0">
    <w:p w14:paraId="368EF488" w14:textId="77777777" w:rsidR="00727ECF" w:rsidRDefault="00727ECF" w:rsidP="000B18C1">
      <w:pPr>
        <w:spacing w:after="0" w:line="240" w:lineRule="auto"/>
      </w:pPr>
      <w:r>
        <w:continuationSeparator/>
      </w:r>
    </w:p>
  </w:footnote>
  <w:footnote w:type="continuationNotice" w:id="1">
    <w:p w14:paraId="52437A70" w14:textId="77777777" w:rsidR="00727ECF" w:rsidRDefault="00727E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5E1"/>
    <w:multiLevelType w:val="hybridMultilevel"/>
    <w:tmpl w:val="7562C3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66473"/>
    <w:multiLevelType w:val="hybridMultilevel"/>
    <w:tmpl w:val="8C620E8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FC7791"/>
    <w:multiLevelType w:val="hybridMultilevel"/>
    <w:tmpl w:val="9F9CB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D5B6B"/>
    <w:multiLevelType w:val="hybridMultilevel"/>
    <w:tmpl w:val="BD2A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B652D"/>
    <w:multiLevelType w:val="hybridMultilevel"/>
    <w:tmpl w:val="7DCEDFEA"/>
    <w:lvl w:ilvl="0" w:tplc="FFFFFFFF">
      <w:start w:val="1"/>
      <w:numFmt w:val="decimal"/>
      <w:lvlText w:val="%1."/>
      <w:lvlJc w:val="left"/>
      <w:pPr>
        <w:ind w:left="360" w:hanging="360"/>
      </w:pPr>
      <w:rPr>
        <w:rFonts w:ascii="Arial" w:hAnsi="Arial" w:cs="Arial" w:hint="default"/>
        <w:i w:val="0"/>
        <w:iCs w:val="0"/>
      </w:rPr>
    </w:lvl>
    <w:lvl w:ilvl="1" w:tplc="0C090019">
      <w:start w:val="1"/>
      <w:numFmt w:val="lowerLetter"/>
      <w:lvlText w:val="%2."/>
      <w:lvlJc w:val="left"/>
      <w:pPr>
        <w:ind w:left="1080" w:hanging="360"/>
      </w:pPr>
      <w:rPr>
        <w:rFonts w:hint="default"/>
      </w:rPr>
    </w:lvl>
    <w:lvl w:ilvl="2" w:tplc="FFFFFFFF">
      <w:start w:val="1"/>
      <w:numFmt w:val="bullet"/>
      <w:lvlText w:val="o"/>
      <w:lvlJc w:val="left"/>
      <w:pPr>
        <w:ind w:left="1800" w:hanging="18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A3570F2"/>
    <w:multiLevelType w:val="hybridMultilevel"/>
    <w:tmpl w:val="8C620E8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B8B237E"/>
    <w:multiLevelType w:val="hybridMultilevel"/>
    <w:tmpl w:val="B25E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F0AD0"/>
    <w:multiLevelType w:val="hybridMultilevel"/>
    <w:tmpl w:val="5930E1CA"/>
    <w:lvl w:ilvl="0" w:tplc="B6EAAFC0">
      <w:start w:val="1"/>
      <w:numFmt w:val="decimal"/>
      <w:lvlText w:val="%1."/>
      <w:lvlJc w:val="left"/>
      <w:pPr>
        <w:ind w:left="360" w:hanging="360"/>
      </w:pPr>
      <w:rPr>
        <w:rFonts w:ascii="Arial" w:hAnsi="Arial" w:cs="Arial" w:hint="default"/>
        <w:i w:val="0"/>
        <w:iCs w:val="0"/>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3515B91"/>
    <w:multiLevelType w:val="hybridMultilevel"/>
    <w:tmpl w:val="CB2E41A2"/>
    <w:lvl w:ilvl="0" w:tplc="F47832CC">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C839FA"/>
    <w:multiLevelType w:val="hybridMultilevel"/>
    <w:tmpl w:val="CF709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16636"/>
    <w:multiLevelType w:val="hybridMultilevel"/>
    <w:tmpl w:val="3B102BAC"/>
    <w:lvl w:ilvl="0" w:tplc="A85A0A94">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876D24"/>
    <w:multiLevelType w:val="hybridMultilevel"/>
    <w:tmpl w:val="992A8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6206D0"/>
    <w:multiLevelType w:val="hybridMultilevel"/>
    <w:tmpl w:val="8C620E8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A171662"/>
    <w:multiLevelType w:val="hybridMultilevel"/>
    <w:tmpl w:val="B1CC8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D14309"/>
    <w:multiLevelType w:val="hybridMultilevel"/>
    <w:tmpl w:val="CF2E9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CF0D2A"/>
    <w:multiLevelType w:val="hybridMultilevel"/>
    <w:tmpl w:val="A2A4D95C"/>
    <w:lvl w:ilvl="0" w:tplc="230039CA">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CC80DB26">
      <w:numFmt w:val="bullet"/>
      <w:lvlText w:val="•"/>
      <w:lvlJc w:val="left"/>
      <w:pPr>
        <w:ind w:left="2340" w:hanging="720"/>
      </w:pPr>
      <w:rPr>
        <w:rFonts w:ascii="Arial" w:eastAsia="Times New Roman"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E853D44"/>
    <w:multiLevelType w:val="hybridMultilevel"/>
    <w:tmpl w:val="0388D368"/>
    <w:lvl w:ilvl="0" w:tplc="5372D6FC">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6F9F6E68"/>
    <w:multiLevelType w:val="hybridMultilevel"/>
    <w:tmpl w:val="B17A3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DF2223"/>
    <w:multiLevelType w:val="hybridMultilevel"/>
    <w:tmpl w:val="C1C8B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8873024">
    <w:abstractNumId w:val="11"/>
  </w:num>
  <w:num w:numId="2" w16cid:durableId="183247246">
    <w:abstractNumId w:val="17"/>
  </w:num>
  <w:num w:numId="3" w16cid:durableId="248271486">
    <w:abstractNumId w:val="9"/>
  </w:num>
  <w:num w:numId="4" w16cid:durableId="1731688266">
    <w:abstractNumId w:val="2"/>
  </w:num>
  <w:num w:numId="5" w16cid:durableId="240406354">
    <w:abstractNumId w:val="8"/>
  </w:num>
  <w:num w:numId="6" w16cid:durableId="531497731">
    <w:abstractNumId w:val="15"/>
  </w:num>
  <w:num w:numId="7" w16cid:durableId="178550725">
    <w:abstractNumId w:val="0"/>
  </w:num>
  <w:num w:numId="8" w16cid:durableId="1286426090">
    <w:abstractNumId w:val="13"/>
  </w:num>
  <w:num w:numId="9" w16cid:durableId="493377669">
    <w:abstractNumId w:val="6"/>
  </w:num>
  <w:num w:numId="10" w16cid:durableId="1245453106">
    <w:abstractNumId w:val="18"/>
  </w:num>
  <w:num w:numId="11" w16cid:durableId="1154101649">
    <w:abstractNumId w:val="10"/>
  </w:num>
  <w:num w:numId="12" w16cid:durableId="1266498382">
    <w:abstractNumId w:val="7"/>
  </w:num>
  <w:num w:numId="13" w16cid:durableId="1711875153">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408332">
    <w:abstractNumId w:val="4"/>
  </w:num>
  <w:num w:numId="15" w16cid:durableId="1825311959">
    <w:abstractNumId w:val="5"/>
  </w:num>
  <w:num w:numId="16" w16cid:durableId="872227178">
    <w:abstractNumId w:val="3"/>
  </w:num>
  <w:num w:numId="17" w16cid:durableId="457842381">
    <w:abstractNumId w:val="14"/>
  </w:num>
  <w:num w:numId="18" w16cid:durableId="722563460">
    <w:abstractNumId w:val="16"/>
  </w:num>
  <w:num w:numId="19" w16cid:durableId="2067794245">
    <w:abstractNumId w:val="12"/>
  </w:num>
  <w:num w:numId="20" w16cid:durableId="149167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946F8A-BECC-4017-B18A-DC440E2DB646}"/>
    <w:docVar w:name="dgnword-eventsink" w:val="2175537258288"/>
  </w:docVars>
  <w:rsids>
    <w:rsidRoot w:val="00EE2C07"/>
    <w:rsid w:val="0000325F"/>
    <w:rsid w:val="0000476C"/>
    <w:rsid w:val="000047A9"/>
    <w:rsid w:val="00007F99"/>
    <w:rsid w:val="00011A68"/>
    <w:rsid w:val="00011E59"/>
    <w:rsid w:val="000147A7"/>
    <w:rsid w:val="000154E9"/>
    <w:rsid w:val="00015810"/>
    <w:rsid w:val="000219A7"/>
    <w:rsid w:val="000242AC"/>
    <w:rsid w:val="00024EC3"/>
    <w:rsid w:val="00025C69"/>
    <w:rsid w:val="000300CF"/>
    <w:rsid w:val="00030946"/>
    <w:rsid w:val="00032121"/>
    <w:rsid w:val="0003222D"/>
    <w:rsid w:val="00032569"/>
    <w:rsid w:val="000370FF"/>
    <w:rsid w:val="000376E6"/>
    <w:rsid w:val="00040CF9"/>
    <w:rsid w:val="00046B72"/>
    <w:rsid w:val="000478E0"/>
    <w:rsid w:val="00051FAA"/>
    <w:rsid w:val="00053E73"/>
    <w:rsid w:val="0006284B"/>
    <w:rsid w:val="00065718"/>
    <w:rsid w:val="00066832"/>
    <w:rsid w:val="000749C4"/>
    <w:rsid w:val="000762AE"/>
    <w:rsid w:val="00076384"/>
    <w:rsid w:val="000771AC"/>
    <w:rsid w:val="00082951"/>
    <w:rsid w:val="00083F5D"/>
    <w:rsid w:val="00086948"/>
    <w:rsid w:val="0009006F"/>
    <w:rsid w:val="0009062A"/>
    <w:rsid w:val="0009064B"/>
    <w:rsid w:val="000A0750"/>
    <w:rsid w:val="000A12BA"/>
    <w:rsid w:val="000A3A58"/>
    <w:rsid w:val="000A3DB5"/>
    <w:rsid w:val="000A4289"/>
    <w:rsid w:val="000A4631"/>
    <w:rsid w:val="000A4DF3"/>
    <w:rsid w:val="000A56F9"/>
    <w:rsid w:val="000A718B"/>
    <w:rsid w:val="000B18C1"/>
    <w:rsid w:val="000B1E23"/>
    <w:rsid w:val="000B38BF"/>
    <w:rsid w:val="000B3D01"/>
    <w:rsid w:val="000C05D7"/>
    <w:rsid w:val="000D1339"/>
    <w:rsid w:val="000D3628"/>
    <w:rsid w:val="000D4798"/>
    <w:rsid w:val="000D47A4"/>
    <w:rsid w:val="000D73CC"/>
    <w:rsid w:val="000E0326"/>
    <w:rsid w:val="000E0D65"/>
    <w:rsid w:val="000E4555"/>
    <w:rsid w:val="000E472C"/>
    <w:rsid w:val="000E5341"/>
    <w:rsid w:val="000E5480"/>
    <w:rsid w:val="000E64DC"/>
    <w:rsid w:val="000F32B8"/>
    <w:rsid w:val="000F4B59"/>
    <w:rsid w:val="000F536D"/>
    <w:rsid w:val="000F5D5F"/>
    <w:rsid w:val="000F5E9E"/>
    <w:rsid w:val="0010479B"/>
    <w:rsid w:val="001105A2"/>
    <w:rsid w:val="0011341F"/>
    <w:rsid w:val="001140BA"/>
    <w:rsid w:val="00114CE6"/>
    <w:rsid w:val="00117878"/>
    <w:rsid w:val="00117D03"/>
    <w:rsid w:val="00122F59"/>
    <w:rsid w:val="00126935"/>
    <w:rsid w:val="001270FA"/>
    <w:rsid w:val="00127209"/>
    <w:rsid w:val="001273B2"/>
    <w:rsid w:val="00131607"/>
    <w:rsid w:val="001324DF"/>
    <w:rsid w:val="00134E6A"/>
    <w:rsid w:val="001352CF"/>
    <w:rsid w:val="00135DCA"/>
    <w:rsid w:val="00153DB5"/>
    <w:rsid w:val="001547BE"/>
    <w:rsid w:val="00154C95"/>
    <w:rsid w:val="00156388"/>
    <w:rsid w:val="00160371"/>
    <w:rsid w:val="00162F8B"/>
    <w:rsid w:val="00164972"/>
    <w:rsid w:val="00165DE1"/>
    <w:rsid w:val="00166044"/>
    <w:rsid w:val="001710E7"/>
    <w:rsid w:val="001757B5"/>
    <w:rsid w:val="00177DC4"/>
    <w:rsid w:val="00180532"/>
    <w:rsid w:val="00182229"/>
    <w:rsid w:val="0018294A"/>
    <w:rsid w:val="001831BD"/>
    <w:rsid w:val="0018363F"/>
    <w:rsid w:val="001843E8"/>
    <w:rsid w:val="001854AE"/>
    <w:rsid w:val="0019238D"/>
    <w:rsid w:val="00194C09"/>
    <w:rsid w:val="00196810"/>
    <w:rsid w:val="001A3E61"/>
    <w:rsid w:val="001A6534"/>
    <w:rsid w:val="001B42F1"/>
    <w:rsid w:val="001B6F54"/>
    <w:rsid w:val="001B7C4F"/>
    <w:rsid w:val="001C1B32"/>
    <w:rsid w:val="001C328B"/>
    <w:rsid w:val="001D0D31"/>
    <w:rsid w:val="001D1DB3"/>
    <w:rsid w:val="001D3965"/>
    <w:rsid w:val="001D45AE"/>
    <w:rsid w:val="001D511D"/>
    <w:rsid w:val="001D534E"/>
    <w:rsid w:val="001D6A08"/>
    <w:rsid w:val="001D6ABB"/>
    <w:rsid w:val="001D6E68"/>
    <w:rsid w:val="001D71FB"/>
    <w:rsid w:val="001E0B71"/>
    <w:rsid w:val="001E24A3"/>
    <w:rsid w:val="001E5B4B"/>
    <w:rsid w:val="001E7138"/>
    <w:rsid w:val="001E7D5F"/>
    <w:rsid w:val="001F02C1"/>
    <w:rsid w:val="001F20D8"/>
    <w:rsid w:val="001F3A4B"/>
    <w:rsid w:val="001F7BC9"/>
    <w:rsid w:val="00200723"/>
    <w:rsid w:val="00200986"/>
    <w:rsid w:val="00204FF9"/>
    <w:rsid w:val="002203EB"/>
    <w:rsid w:val="00220B59"/>
    <w:rsid w:val="0022127B"/>
    <w:rsid w:val="00222E6E"/>
    <w:rsid w:val="00224D8E"/>
    <w:rsid w:val="002269E7"/>
    <w:rsid w:val="00226D17"/>
    <w:rsid w:val="00230526"/>
    <w:rsid w:val="002312F4"/>
    <w:rsid w:val="00236F34"/>
    <w:rsid w:val="00237659"/>
    <w:rsid w:val="00240B14"/>
    <w:rsid w:val="00241335"/>
    <w:rsid w:val="00245ED8"/>
    <w:rsid w:val="002468C4"/>
    <w:rsid w:val="00252965"/>
    <w:rsid w:val="00254880"/>
    <w:rsid w:val="002567C5"/>
    <w:rsid w:val="00257B51"/>
    <w:rsid w:val="0026555A"/>
    <w:rsid w:val="00273C2C"/>
    <w:rsid w:val="00280244"/>
    <w:rsid w:val="00282AF7"/>
    <w:rsid w:val="002832FF"/>
    <w:rsid w:val="002856BF"/>
    <w:rsid w:val="00286380"/>
    <w:rsid w:val="00286C65"/>
    <w:rsid w:val="00286CFC"/>
    <w:rsid w:val="002903A3"/>
    <w:rsid w:val="0029075E"/>
    <w:rsid w:val="0029423C"/>
    <w:rsid w:val="0029474F"/>
    <w:rsid w:val="00294A67"/>
    <w:rsid w:val="00297F0D"/>
    <w:rsid w:val="002A0ADE"/>
    <w:rsid w:val="002A119A"/>
    <w:rsid w:val="002A2B96"/>
    <w:rsid w:val="002B0E1E"/>
    <w:rsid w:val="002B43B2"/>
    <w:rsid w:val="002B7794"/>
    <w:rsid w:val="002B78AF"/>
    <w:rsid w:val="002C1087"/>
    <w:rsid w:val="002C31A3"/>
    <w:rsid w:val="002C42FF"/>
    <w:rsid w:val="002C4C0D"/>
    <w:rsid w:val="002C5D8A"/>
    <w:rsid w:val="002C6063"/>
    <w:rsid w:val="002C72AA"/>
    <w:rsid w:val="002C7EA9"/>
    <w:rsid w:val="002D1BAB"/>
    <w:rsid w:val="002D2FB6"/>
    <w:rsid w:val="002D471A"/>
    <w:rsid w:val="002D499F"/>
    <w:rsid w:val="002D4F0F"/>
    <w:rsid w:val="002D5D41"/>
    <w:rsid w:val="002E6D09"/>
    <w:rsid w:val="002F02AF"/>
    <w:rsid w:val="002F3979"/>
    <w:rsid w:val="002F4A23"/>
    <w:rsid w:val="002F6241"/>
    <w:rsid w:val="002F7A39"/>
    <w:rsid w:val="00302F2F"/>
    <w:rsid w:val="003051A8"/>
    <w:rsid w:val="003076E0"/>
    <w:rsid w:val="00311020"/>
    <w:rsid w:val="00311271"/>
    <w:rsid w:val="00311EFF"/>
    <w:rsid w:val="0031310F"/>
    <w:rsid w:val="0031377F"/>
    <w:rsid w:val="00314B0A"/>
    <w:rsid w:val="00314D63"/>
    <w:rsid w:val="00314F65"/>
    <w:rsid w:val="003172AB"/>
    <w:rsid w:val="00317ED7"/>
    <w:rsid w:val="00324DB3"/>
    <w:rsid w:val="003250D8"/>
    <w:rsid w:val="0032639B"/>
    <w:rsid w:val="003310E8"/>
    <w:rsid w:val="00333CE4"/>
    <w:rsid w:val="003416BF"/>
    <w:rsid w:val="00341DD0"/>
    <w:rsid w:val="0034321E"/>
    <w:rsid w:val="00344C7D"/>
    <w:rsid w:val="003451B9"/>
    <w:rsid w:val="00345365"/>
    <w:rsid w:val="00350250"/>
    <w:rsid w:val="0035694F"/>
    <w:rsid w:val="00357EA5"/>
    <w:rsid w:val="00363701"/>
    <w:rsid w:val="00367AFB"/>
    <w:rsid w:val="0037015F"/>
    <w:rsid w:val="00371409"/>
    <w:rsid w:val="00376F7C"/>
    <w:rsid w:val="00383371"/>
    <w:rsid w:val="003845A7"/>
    <w:rsid w:val="00391A05"/>
    <w:rsid w:val="00392273"/>
    <w:rsid w:val="0039651B"/>
    <w:rsid w:val="003A024C"/>
    <w:rsid w:val="003A0FDD"/>
    <w:rsid w:val="003A26B2"/>
    <w:rsid w:val="003A4B3E"/>
    <w:rsid w:val="003A5160"/>
    <w:rsid w:val="003A597A"/>
    <w:rsid w:val="003A6BC1"/>
    <w:rsid w:val="003B739D"/>
    <w:rsid w:val="003B7AFE"/>
    <w:rsid w:val="003C1285"/>
    <w:rsid w:val="003C13C6"/>
    <w:rsid w:val="003C228A"/>
    <w:rsid w:val="003C5197"/>
    <w:rsid w:val="003D4C00"/>
    <w:rsid w:val="003D53C7"/>
    <w:rsid w:val="003D6CDD"/>
    <w:rsid w:val="003E1376"/>
    <w:rsid w:val="003E271C"/>
    <w:rsid w:val="003E35AC"/>
    <w:rsid w:val="003E76B1"/>
    <w:rsid w:val="003E7F96"/>
    <w:rsid w:val="003F3683"/>
    <w:rsid w:val="003F3AF6"/>
    <w:rsid w:val="003F6028"/>
    <w:rsid w:val="00401C0F"/>
    <w:rsid w:val="004022AE"/>
    <w:rsid w:val="00403DBE"/>
    <w:rsid w:val="00403E18"/>
    <w:rsid w:val="00411931"/>
    <w:rsid w:val="00413661"/>
    <w:rsid w:val="00414112"/>
    <w:rsid w:val="004150BF"/>
    <w:rsid w:val="0042377B"/>
    <w:rsid w:val="00423833"/>
    <w:rsid w:val="00424244"/>
    <w:rsid w:val="00425A2A"/>
    <w:rsid w:val="00426B91"/>
    <w:rsid w:val="00432349"/>
    <w:rsid w:val="0043257E"/>
    <w:rsid w:val="00432CA4"/>
    <w:rsid w:val="00435DCB"/>
    <w:rsid w:val="00435E79"/>
    <w:rsid w:val="00437D5F"/>
    <w:rsid w:val="00440373"/>
    <w:rsid w:val="0044052C"/>
    <w:rsid w:val="00440E79"/>
    <w:rsid w:val="00442826"/>
    <w:rsid w:val="00442A55"/>
    <w:rsid w:val="004441EC"/>
    <w:rsid w:val="0044530C"/>
    <w:rsid w:val="004518BE"/>
    <w:rsid w:val="00452992"/>
    <w:rsid w:val="0045316F"/>
    <w:rsid w:val="00456608"/>
    <w:rsid w:val="0045750B"/>
    <w:rsid w:val="00462D22"/>
    <w:rsid w:val="00463DD6"/>
    <w:rsid w:val="00464B61"/>
    <w:rsid w:val="00464DBD"/>
    <w:rsid w:val="004704C1"/>
    <w:rsid w:val="004710EB"/>
    <w:rsid w:val="0047145D"/>
    <w:rsid w:val="0047260B"/>
    <w:rsid w:val="004743CA"/>
    <w:rsid w:val="004779A3"/>
    <w:rsid w:val="0048098F"/>
    <w:rsid w:val="004810D7"/>
    <w:rsid w:val="00484814"/>
    <w:rsid w:val="00491164"/>
    <w:rsid w:val="004960AF"/>
    <w:rsid w:val="00497361"/>
    <w:rsid w:val="004A6C15"/>
    <w:rsid w:val="004A77DF"/>
    <w:rsid w:val="004B0416"/>
    <w:rsid w:val="004B1A4E"/>
    <w:rsid w:val="004B1BCB"/>
    <w:rsid w:val="004B3506"/>
    <w:rsid w:val="004B4F6C"/>
    <w:rsid w:val="004C0E63"/>
    <w:rsid w:val="004C2A60"/>
    <w:rsid w:val="004C38F2"/>
    <w:rsid w:val="004C656E"/>
    <w:rsid w:val="004C69C3"/>
    <w:rsid w:val="004D1984"/>
    <w:rsid w:val="004D2843"/>
    <w:rsid w:val="004D3AFF"/>
    <w:rsid w:val="004D5780"/>
    <w:rsid w:val="004D6208"/>
    <w:rsid w:val="004E25F7"/>
    <w:rsid w:val="004E4B47"/>
    <w:rsid w:val="004E5304"/>
    <w:rsid w:val="004F0423"/>
    <w:rsid w:val="004F0521"/>
    <w:rsid w:val="004F0E67"/>
    <w:rsid w:val="004F1CAD"/>
    <w:rsid w:val="004F3B5D"/>
    <w:rsid w:val="004F4DEE"/>
    <w:rsid w:val="004F72DA"/>
    <w:rsid w:val="00500AD8"/>
    <w:rsid w:val="00504386"/>
    <w:rsid w:val="0050538A"/>
    <w:rsid w:val="00506024"/>
    <w:rsid w:val="0050678D"/>
    <w:rsid w:val="00507809"/>
    <w:rsid w:val="005107E8"/>
    <w:rsid w:val="00512E39"/>
    <w:rsid w:val="005141BB"/>
    <w:rsid w:val="0051561D"/>
    <w:rsid w:val="00516558"/>
    <w:rsid w:val="00517AAD"/>
    <w:rsid w:val="00520610"/>
    <w:rsid w:val="005213A9"/>
    <w:rsid w:val="00522467"/>
    <w:rsid w:val="005227AC"/>
    <w:rsid w:val="005236A9"/>
    <w:rsid w:val="005337B8"/>
    <w:rsid w:val="00536CAD"/>
    <w:rsid w:val="00537E0F"/>
    <w:rsid w:val="0054109B"/>
    <w:rsid w:val="00541667"/>
    <w:rsid w:val="00542549"/>
    <w:rsid w:val="00542982"/>
    <w:rsid w:val="005441CA"/>
    <w:rsid w:val="005452B4"/>
    <w:rsid w:val="00545FAB"/>
    <w:rsid w:val="0054683C"/>
    <w:rsid w:val="00546B9F"/>
    <w:rsid w:val="00547252"/>
    <w:rsid w:val="00547ED4"/>
    <w:rsid w:val="00551939"/>
    <w:rsid w:val="00551EE4"/>
    <w:rsid w:val="0056131B"/>
    <w:rsid w:val="005613ED"/>
    <w:rsid w:val="0056182B"/>
    <w:rsid w:val="00562D0A"/>
    <w:rsid w:val="005632A6"/>
    <w:rsid w:val="00570777"/>
    <w:rsid w:val="0057357D"/>
    <w:rsid w:val="00573E74"/>
    <w:rsid w:val="00580C09"/>
    <w:rsid w:val="005906F0"/>
    <w:rsid w:val="00590B63"/>
    <w:rsid w:val="005921A2"/>
    <w:rsid w:val="00593E38"/>
    <w:rsid w:val="005967D3"/>
    <w:rsid w:val="005A24F0"/>
    <w:rsid w:val="005A5748"/>
    <w:rsid w:val="005A7676"/>
    <w:rsid w:val="005B23CB"/>
    <w:rsid w:val="005B24E4"/>
    <w:rsid w:val="005B3066"/>
    <w:rsid w:val="005B460E"/>
    <w:rsid w:val="005B6793"/>
    <w:rsid w:val="005C00DF"/>
    <w:rsid w:val="005C1462"/>
    <w:rsid w:val="005C2993"/>
    <w:rsid w:val="005C41E2"/>
    <w:rsid w:val="005D26D3"/>
    <w:rsid w:val="005D377A"/>
    <w:rsid w:val="005D3D13"/>
    <w:rsid w:val="005D5019"/>
    <w:rsid w:val="005D65DA"/>
    <w:rsid w:val="005D666D"/>
    <w:rsid w:val="005E0451"/>
    <w:rsid w:val="005E15A9"/>
    <w:rsid w:val="005E18C2"/>
    <w:rsid w:val="005E226B"/>
    <w:rsid w:val="005E760C"/>
    <w:rsid w:val="005F05C0"/>
    <w:rsid w:val="005F45D6"/>
    <w:rsid w:val="005F4E4E"/>
    <w:rsid w:val="005F7B9C"/>
    <w:rsid w:val="00601EAB"/>
    <w:rsid w:val="0060642E"/>
    <w:rsid w:val="0061353F"/>
    <w:rsid w:val="00614356"/>
    <w:rsid w:val="006205F4"/>
    <w:rsid w:val="0062119F"/>
    <w:rsid w:val="0062249D"/>
    <w:rsid w:val="00630E67"/>
    <w:rsid w:val="00631456"/>
    <w:rsid w:val="00634085"/>
    <w:rsid w:val="0063459D"/>
    <w:rsid w:val="00635386"/>
    <w:rsid w:val="00635F8F"/>
    <w:rsid w:val="00641A58"/>
    <w:rsid w:val="006460F3"/>
    <w:rsid w:val="0064669F"/>
    <w:rsid w:val="00647BAE"/>
    <w:rsid w:val="006528E1"/>
    <w:rsid w:val="00664882"/>
    <w:rsid w:val="00664D98"/>
    <w:rsid w:val="0066619E"/>
    <w:rsid w:val="006712E0"/>
    <w:rsid w:val="006773EB"/>
    <w:rsid w:val="00681963"/>
    <w:rsid w:val="006866A8"/>
    <w:rsid w:val="00687337"/>
    <w:rsid w:val="006957D6"/>
    <w:rsid w:val="0069690C"/>
    <w:rsid w:val="006973E6"/>
    <w:rsid w:val="006A20B4"/>
    <w:rsid w:val="006B38FE"/>
    <w:rsid w:val="006B5A43"/>
    <w:rsid w:val="006B5BCB"/>
    <w:rsid w:val="006C163D"/>
    <w:rsid w:val="006C300E"/>
    <w:rsid w:val="006C6CD5"/>
    <w:rsid w:val="006D0BD7"/>
    <w:rsid w:val="006D4113"/>
    <w:rsid w:val="006D5610"/>
    <w:rsid w:val="006D6BC5"/>
    <w:rsid w:val="006E359F"/>
    <w:rsid w:val="006E3D3A"/>
    <w:rsid w:val="006E459A"/>
    <w:rsid w:val="006E468D"/>
    <w:rsid w:val="006E7F6E"/>
    <w:rsid w:val="006F28BC"/>
    <w:rsid w:val="006F57C1"/>
    <w:rsid w:val="0070020B"/>
    <w:rsid w:val="007005A2"/>
    <w:rsid w:val="007039C8"/>
    <w:rsid w:val="00707C53"/>
    <w:rsid w:val="007114C6"/>
    <w:rsid w:val="00712772"/>
    <w:rsid w:val="00713660"/>
    <w:rsid w:val="007173ED"/>
    <w:rsid w:val="00720145"/>
    <w:rsid w:val="007272F8"/>
    <w:rsid w:val="00727ECF"/>
    <w:rsid w:val="0073526D"/>
    <w:rsid w:val="00740F95"/>
    <w:rsid w:val="007602F3"/>
    <w:rsid w:val="00763798"/>
    <w:rsid w:val="00763D65"/>
    <w:rsid w:val="00764227"/>
    <w:rsid w:val="00764C34"/>
    <w:rsid w:val="00767346"/>
    <w:rsid w:val="0077105C"/>
    <w:rsid w:val="007741F5"/>
    <w:rsid w:val="00774330"/>
    <w:rsid w:val="00775160"/>
    <w:rsid w:val="0077761F"/>
    <w:rsid w:val="007800D2"/>
    <w:rsid w:val="00780F14"/>
    <w:rsid w:val="00782A3B"/>
    <w:rsid w:val="00783FC6"/>
    <w:rsid w:val="007846D2"/>
    <w:rsid w:val="00784D51"/>
    <w:rsid w:val="00790CC9"/>
    <w:rsid w:val="007911BA"/>
    <w:rsid w:val="007917ED"/>
    <w:rsid w:val="00792980"/>
    <w:rsid w:val="00794DAB"/>
    <w:rsid w:val="00795F5B"/>
    <w:rsid w:val="00796CDD"/>
    <w:rsid w:val="007A3001"/>
    <w:rsid w:val="007A3B8E"/>
    <w:rsid w:val="007A4EB0"/>
    <w:rsid w:val="007A6194"/>
    <w:rsid w:val="007A684D"/>
    <w:rsid w:val="007A7995"/>
    <w:rsid w:val="007A7BB0"/>
    <w:rsid w:val="007B0584"/>
    <w:rsid w:val="007B3BE9"/>
    <w:rsid w:val="007B540E"/>
    <w:rsid w:val="007B7F71"/>
    <w:rsid w:val="007C0DC9"/>
    <w:rsid w:val="007C1D4F"/>
    <w:rsid w:val="007C263B"/>
    <w:rsid w:val="007C37C2"/>
    <w:rsid w:val="007C62AE"/>
    <w:rsid w:val="007C6365"/>
    <w:rsid w:val="007C71A4"/>
    <w:rsid w:val="007D1FAE"/>
    <w:rsid w:val="007D2AFA"/>
    <w:rsid w:val="007D35BE"/>
    <w:rsid w:val="007D6F39"/>
    <w:rsid w:val="007D7985"/>
    <w:rsid w:val="007E0519"/>
    <w:rsid w:val="007E2D50"/>
    <w:rsid w:val="007F029C"/>
    <w:rsid w:val="007F0E07"/>
    <w:rsid w:val="007F44B7"/>
    <w:rsid w:val="007F4F9D"/>
    <w:rsid w:val="00800384"/>
    <w:rsid w:val="00800ED1"/>
    <w:rsid w:val="00802AFF"/>
    <w:rsid w:val="008055FC"/>
    <w:rsid w:val="00806169"/>
    <w:rsid w:val="00810467"/>
    <w:rsid w:val="008111A1"/>
    <w:rsid w:val="00814D73"/>
    <w:rsid w:val="00815E1C"/>
    <w:rsid w:val="00816B13"/>
    <w:rsid w:val="008206C7"/>
    <w:rsid w:val="008210BD"/>
    <w:rsid w:val="008214F0"/>
    <w:rsid w:val="0082194A"/>
    <w:rsid w:val="0082412F"/>
    <w:rsid w:val="00824155"/>
    <w:rsid w:val="0082607B"/>
    <w:rsid w:val="00826670"/>
    <w:rsid w:val="00826B76"/>
    <w:rsid w:val="00827269"/>
    <w:rsid w:val="00827327"/>
    <w:rsid w:val="0082745B"/>
    <w:rsid w:val="008276E3"/>
    <w:rsid w:val="008304EB"/>
    <w:rsid w:val="00831D4D"/>
    <w:rsid w:val="008326BE"/>
    <w:rsid w:val="0083393B"/>
    <w:rsid w:val="00836EC6"/>
    <w:rsid w:val="00843EB9"/>
    <w:rsid w:val="00845171"/>
    <w:rsid w:val="008466C1"/>
    <w:rsid w:val="00851DFD"/>
    <w:rsid w:val="00860EB7"/>
    <w:rsid w:val="008649D0"/>
    <w:rsid w:val="008668BD"/>
    <w:rsid w:val="00867ACD"/>
    <w:rsid w:val="0087402C"/>
    <w:rsid w:val="008740E1"/>
    <w:rsid w:val="008757D9"/>
    <w:rsid w:val="00875871"/>
    <w:rsid w:val="00876972"/>
    <w:rsid w:val="00881BF7"/>
    <w:rsid w:val="00887784"/>
    <w:rsid w:val="0088798B"/>
    <w:rsid w:val="00892317"/>
    <w:rsid w:val="008924EC"/>
    <w:rsid w:val="00893E27"/>
    <w:rsid w:val="008973FC"/>
    <w:rsid w:val="00897A69"/>
    <w:rsid w:val="008A0B3C"/>
    <w:rsid w:val="008A36B0"/>
    <w:rsid w:val="008A386B"/>
    <w:rsid w:val="008A3956"/>
    <w:rsid w:val="008B0BF2"/>
    <w:rsid w:val="008B0D69"/>
    <w:rsid w:val="008B0E6C"/>
    <w:rsid w:val="008B2342"/>
    <w:rsid w:val="008C0570"/>
    <w:rsid w:val="008C23FA"/>
    <w:rsid w:val="008C44A1"/>
    <w:rsid w:val="008C4FE1"/>
    <w:rsid w:val="008C713F"/>
    <w:rsid w:val="008C7E9D"/>
    <w:rsid w:val="008D2826"/>
    <w:rsid w:val="008D3436"/>
    <w:rsid w:val="008D4F59"/>
    <w:rsid w:val="008D4F9A"/>
    <w:rsid w:val="008D683D"/>
    <w:rsid w:val="008D6A04"/>
    <w:rsid w:val="008E5D09"/>
    <w:rsid w:val="008E7FD0"/>
    <w:rsid w:val="008F103F"/>
    <w:rsid w:val="008F139F"/>
    <w:rsid w:val="008F1701"/>
    <w:rsid w:val="008F323F"/>
    <w:rsid w:val="008F5B85"/>
    <w:rsid w:val="008F7957"/>
    <w:rsid w:val="008F7D7A"/>
    <w:rsid w:val="0090158D"/>
    <w:rsid w:val="00901954"/>
    <w:rsid w:val="00904FE3"/>
    <w:rsid w:val="00906274"/>
    <w:rsid w:val="009064F1"/>
    <w:rsid w:val="00907494"/>
    <w:rsid w:val="009100BA"/>
    <w:rsid w:val="00911E73"/>
    <w:rsid w:val="0091204E"/>
    <w:rsid w:val="00913733"/>
    <w:rsid w:val="009137BA"/>
    <w:rsid w:val="00921DB0"/>
    <w:rsid w:val="00924BD7"/>
    <w:rsid w:val="00925E3C"/>
    <w:rsid w:val="00927BA4"/>
    <w:rsid w:val="0093138A"/>
    <w:rsid w:val="00940A18"/>
    <w:rsid w:val="00941763"/>
    <w:rsid w:val="00941AB0"/>
    <w:rsid w:val="00943FC9"/>
    <w:rsid w:val="00952CFB"/>
    <w:rsid w:val="009568F3"/>
    <w:rsid w:val="00957260"/>
    <w:rsid w:val="00957611"/>
    <w:rsid w:val="0096447A"/>
    <w:rsid w:val="0097021B"/>
    <w:rsid w:val="0097740A"/>
    <w:rsid w:val="009776C8"/>
    <w:rsid w:val="009778F0"/>
    <w:rsid w:val="00981C9C"/>
    <w:rsid w:val="00983567"/>
    <w:rsid w:val="00986346"/>
    <w:rsid w:val="00992A94"/>
    <w:rsid w:val="00993140"/>
    <w:rsid w:val="00994260"/>
    <w:rsid w:val="00995D12"/>
    <w:rsid w:val="00995D8E"/>
    <w:rsid w:val="00996709"/>
    <w:rsid w:val="00996CE6"/>
    <w:rsid w:val="009A0AFC"/>
    <w:rsid w:val="009A12F5"/>
    <w:rsid w:val="009A2E90"/>
    <w:rsid w:val="009A4977"/>
    <w:rsid w:val="009A64FE"/>
    <w:rsid w:val="009B2B57"/>
    <w:rsid w:val="009C2AD7"/>
    <w:rsid w:val="009C2B64"/>
    <w:rsid w:val="009C302A"/>
    <w:rsid w:val="009C3110"/>
    <w:rsid w:val="009C34F5"/>
    <w:rsid w:val="009C38B8"/>
    <w:rsid w:val="009C53F5"/>
    <w:rsid w:val="009C6B2E"/>
    <w:rsid w:val="009D11B8"/>
    <w:rsid w:val="009D1431"/>
    <w:rsid w:val="009D6373"/>
    <w:rsid w:val="009D7064"/>
    <w:rsid w:val="009D7E64"/>
    <w:rsid w:val="009E03E4"/>
    <w:rsid w:val="009E1FE1"/>
    <w:rsid w:val="009E7C5A"/>
    <w:rsid w:val="009F022C"/>
    <w:rsid w:val="009F0515"/>
    <w:rsid w:val="009F0E45"/>
    <w:rsid w:val="009F16AA"/>
    <w:rsid w:val="009F21C1"/>
    <w:rsid w:val="009F2BA7"/>
    <w:rsid w:val="009F3976"/>
    <w:rsid w:val="009F3AAB"/>
    <w:rsid w:val="009F67F2"/>
    <w:rsid w:val="00A02984"/>
    <w:rsid w:val="00A02B2A"/>
    <w:rsid w:val="00A0317B"/>
    <w:rsid w:val="00A109EE"/>
    <w:rsid w:val="00A14277"/>
    <w:rsid w:val="00A1713B"/>
    <w:rsid w:val="00A20BDF"/>
    <w:rsid w:val="00A21B30"/>
    <w:rsid w:val="00A25331"/>
    <w:rsid w:val="00A26241"/>
    <w:rsid w:val="00A336AE"/>
    <w:rsid w:val="00A42362"/>
    <w:rsid w:val="00A43042"/>
    <w:rsid w:val="00A4442D"/>
    <w:rsid w:val="00A45CB9"/>
    <w:rsid w:val="00A45E3F"/>
    <w:rsid w:val="00A5062B"/>
    <w:rsid w:val="00A5108A"/>
    <w:rsid w:val="00A51E14"/>
    <w:rsid w:val="00A53CF4"/>
    <w:rsid w:val="00A560EE"/>
    <w:rsid w:val="00A56BBD"/>
    <w:rsid w:val="00A60C76"/>
    <w:rsid w:val="00A635E9"/>
    <w:rsid w:val="00A63825"/>
    <w:rsid w:val="00A6409D"/>
    <w:rsid w:val="00A7106A"/>
    <w:rsid w:val="00A71C5C"/>
    <w:rsid w:val="00A74EF9"/>
    <w:rsid w:val="00A7584C"/>
    <w:rsid w:val="00A7611E"/>
    <w:rsid w:val="00A762BB"/>
    <w:rsid w:val="00A81D3B"/>
    <w:rsid w:val="00A82128"/>
    <w:rsid w:val="00A84192"/>
    <w:rsid w:val="00A850B0"/>
    <w:rsid w:val="00A85AB7"/>
    <w:rsid w:val="00A9113E"/>
    <w:rsid w:val="00A919B3"/>
    <w:rsid w:val="00A92467"/>
    <w:rsid w:val="00A9248F"/>
    <w:rsid w:val="00A92816"/>
    <w:rsid w:val="00A929D9"/>
    <w:rsid w:val="00A940AA"/>
    <w:rsid w:val="00A95AD8"/>
    <w:rsid w:val="00A95D7D"/>
    <w:rsid w:val="00AA19E0"/>
    <w:rsid w:val="00AA1C85"/>
    <w:rsid w:val="00AA1CA4"/>
    <w:rsid w:val="00AA2455"/>
    <w:rsid w:val="00AA2813"/>
    <w:rsid w:val="00AA4DD2"/>
    <w:rsid w:val="00AA5F08"/>
    <w:rsid w:val="00AA61E6"/>
    <w:rsid w:val="00AA7426"/>
    <w:rsid w:val="00AB0678"/>
    <w:rsid w:val="00AB0AAA"/>
    <w:rsid w:val="00AB20A6"/>
    <w:rsid w:val="00AB4A17"/>
    <w:rsid w:val="00AB4AB1"/>
    <w:rsid w:val="00AC17EA"/>
    <w:rsid w:val="00AC2163"/>
    <w:rsid w:val="00AC21E4"/>
    <w:rsid w:val="00AC2D2A"/>
    <w:rsid w:val="00AC6E8F"/>
    <w:rsid w:val="00AD2531"/>
    <w:rsid w:val="00AD39AF"/>
    <w:rsid w:val="00AD76EA"/>
    <w:rsid w:val="00AE38F0"/>
    <w:rsid w:val="00AE3968"/>
    <w:rsid w:val="00AE4D09"/>
    <w:rsid w:val="00AF0EA0"/>
    <w:rsid w:val="00AF25F8"/>
    <w:rsid w:val="00AF3241"/>
    <w:rsid w:val="00AF60E1"/>
    <w:rsid w:val="00AF6D91"/>
    <w:rsid w:val="00B009E0"/>
    <w:rsid w:val="00B00DC4"/>
    <w:rsid w:val="00B0667C"/>
    <w:rsid w:val="00B078DD"/>
    <w:rsid w:val="00B07FDA"/>
    <w:rsid w:val="00B1136F"/>
    <w:rsid w:val="00B11F22"/>
    <w:rsid w:val="00B122CA"/>
    <w:rsid w:val="00B13768"/>
    <w:rsid w:val="00B13BD6"/>
    <w:rsid w:val="00B146B1"/>
    <w:rsid w:val="00B1526E"/>
    <w:rsid w:val="00B16D09"/>
    <w:rsid w:val="00B312CA"/>
    <w:rsid w:val="00B34255"/>
    <w:rsid w:val="00B4585B"/>
    <w:rsid w:val="00B45F69"/>
    <w:rsid w:val="00B46EAC"/>
    <w:rsid w:val="00B525EB"/>
    <w:rsid w:val="00B55A64"/>
    <w:rsid w:val="00B56AE4"/>
    <w:rsid w:val="00B62BD2"/>
    <w:rsid w:val="00B640F8"/>
    <w:rsid w:val="00B72D3D"/>
    <w:rsid w:val="00B73101"/>
    <w:rsid w:val="00B73AB4"/>
    <w:rsid w:val="00B74061"/>
    <w:rsid w:val="00B7578A"/>
    <w:rsid w:val="00B82DA6"/>
    <w:rsid w:val="00B85564"/>
    <w:rsid w:val="00B875D6"/>
    <w:rsid w:val="00B87B9A"/>
    <w:rsid w:val="00B91D9A"/>
    <w:rsid w:val="00B937B1"/>
    <w:rsid w:val="00B95659"/>
    <w:rsid w:val="00B963FC"/>
    <w:rsid w:val="00BA0896"/>
    <w:rsid w:val="00BA437A"/>
    <w:rsid w:val="00BB2B0F"/>
    <w:rsid w:val="00BB2F0D"/>
    <w:rsid w:val="00BB30B8"/>
    <w:rsid w:val="00BB5914"/>
    <w:rsid w:val="00BB7277"/>
    <w:rsid w:val="00BB7FFD"/>
    <w:rsid w:val="00BC0ECB"/>
    <w:rsid w:val="00BC5C92"/>
    <w:rsid w:val="00BC6809"/>
    <w:rsid w:val="00BC720B"/>
    <w:rsid w:val="00BD01F4"/>
    <w:rsid w:val="00BD10C1"/>
    <w:rsid w:val="00BD3BE2"/>
    <w:rsid w:val="00BE0084"/>
    <w:rsid w:val="00BE31D6"/>
    <w:rsid w:val="00BE4523"/>
    <w:rsid w:val="00BE591E"/>
    <w:rsid w:val="00BE5C57"/>
    <w:rsid w:val="00BE77DE"/>
    <w:rsid w:val="00BE78FF"/>
    <w:rsid w:val="00BF038A"/>
    <w:rsid w:val="00BF1958"/>
    <w:rsid w:val="00BF341F"/>
    <w:rsid w:val="00BF3E76"/>
    <w:rsid w:val="00BF46BB"/>
    <w:rsid w:val="00C0192A"/>
    <w:rsid w:val="00C023A8"/>
    <w:rsid w:val="00C070AB"/>
    <w:rsid w:val="00C11BB6"/>
    <w:rsid w:val="00C1395D"/>
    <w:rsid w:val="00C161CA"/>
    <w:rsid w:val="00C1767D"/>
    <w:rsid w:val="00C17C4C"/>
    <w:rsid w:val="00C2028C"/>
    <w:rsid w:val="00C2069F"/>
    <w:rsid w:val="00C22902"/>
    <w:rsid w:val="00C23769"/>
    <w:rsid w:val="00C25FA6"/>
    <w:rsid w:val="00C3366F"/>
    <w:rsid w:val="00C36054"/>
    <w:rsid w:val="00C36B73"/>
    <w:rsid w:val="00C377B6"/>
    <w:rsid w:val="00C40B4E"/>
    <w:rsid w:val="00C42ADF"/>
    <w:rsid w:val="00C42E8E"/>
    <w:rsid w:val="00C45C6A"/>
    <w:rsid w:val="00C45DAB"/>
    <w:rsid w:val="00C52B03"/>
    <w:rsid w:val="00C56BB6"/>
    <w:rsid w:val="00C61DFD"/>
    <w:rsid w:val="00C62959"/>
    <w:rsid w:val="00C66A51"/>
    <w:rsid w:val="00C67CB9"/>
    <w:rsid w:val="00C70302"/>
    <w:rsid w:val="00C73B32"/>
    <w:rsid w:val="00C75BD7"/>
    <w:rsid w:val="00C764BB"/>
    <w:rsid w:val="00C77AEC"/>
    <w:rsid w:val="00C802E8"/>
    <w:rsid w:val="00C81A6C"/>
    <w:rsid w:val="00C83770"/>
    <w:rsid w:val="00C85120"/>
    <w:rsid w:val="00C854BA"/>
    <w:rsid w:val="00C86341"/>
    <w:rsid w:val="00C910B6"/>
    <w:rsid w:val="00C93825"/>
    <w:rsid w:val="00C973D0"/>
    <w:rsid w:val="00CA3471"/>
    <w:rsid w:val="00CA6569"/>
    <w:rsid w:val="00CA6C15"/>
    <w:rsid w:val="00CA6D91"/>
    <w:rsid w:val="00CA7BC7"/>
    <w:rsid w:val="00CB32CF"/>
    <w:rsid w:val="00CB3845"/>
    <w:rsid w:val="00CB631C"/>
    <w:rsid w:val="00CB6809"/>
    <w:rsid w:val="00CB754A"/>
    <w:rsid w:val="00CC0399"/>
    <w:rsid w:val="00CC4B79"/>
    <w:rsid w:val="00CC5199"/>
    <w:rsid w:val="00CC5DBC"/>
    <w:rsid w:val="00CC6018"/>
    <w:rsid w:val="00CC6C02"/>
    <w:rsid w:val="00CC6C94"/>
    <w:rsid w:val="00CC7925"/>
    <w:rsid w:val="00CD09BB"/>
    <w:rsid w:val="00CD1CD5"/>
    <w:rsid w:val="00CD518C"/>
    <w:rsid w:val="00CE1DDD"/>
    <w:rsid w:val="00CE2389"/>
    <w:rsid w:val="00CE474B"/>
    <w:rsid w:val="00CE6241"/>
    <w:rsid w:val="00CE6D4C"/>
    <w:rsid w:val="00CE7924"/>
    <w:rsid w:val="00CF0967"/>
    <w:rsid w:val="00CF1C31"/>
    <w:rsid w:val="00CF21F2"/>
    <w:rsid w:val="00CF5374"/>
    <w:rsid w:val="00CF6B3E"/>
    <w:rsid w:val="00D03EF4"/>
    <w:rsid w:val="00D0485B"/>
    <w:rsid w:val="00D0556C"/>
    <w:rsid w:val="00D05F70"/>
    <w:rsid w:val="00D10085"/>
    <w:rsid w:val="00D12CDE"/>
    <w:rsid w:val="00D13EFA"/>
    <w:rsid w:val="00D16CE7"/>
    <w:rsid w:val="00D21CF7"/>
    <w:rsid w:val="00D221A5"/>
    <w:rsid w:val="00D230E5"/>
    <w:rsid w:val="00D24BAB"/>
    <w:rsid w:val="00D2591D"/>
    <w:rsid w:val="00D2592B"/>
    <w:rsid w:val="00D272BF"/>
    <w:rsid w:val="00D305DE"/>
    <w:rsid w:val="00D307D7"/>
    <w:rsid w:val="00D31CBF"/>
    <w:rsid w:val="00D32F5F"/>
    <w:rsid w:val="00D33603"/>
    <w:rsid w:val="00D35D8D"/>
    <w:rsid w:val="00D377CB"/>
    <w:rsid w:val="00D412C5"/>
    <w:rsid w:val="00D465CC"/>
    <w:rsid w:val="00D4758F"/>
    <w:rsid w:val="00D47F6D"/>
    <w:rsid w:val="00D50B63"/>
    <w:rsid w:val="00D5219E"/>
    <w:rsid w:val="00D522FD"/>
    <w:rsid w:val="00D52A4C"/>
    <w:rsid w:val="00D52CEB"/>
    <w:rsid w:val="00D5577C"/>
    <w:rsid w:val="00D5726F"/>
    <w:rsid w:val="00D579A4"/>
    <w:rsid w:val="00D57AD6"/>
    <w:rsid w:val="00D60841"/>
    <w:rsid w:val="00D719A1"/>
    <w:rsid w:val="00D75D78"/>
    <w:rsid w:val="00D76512"/>
    <w:rsid w:val="00D8020E"/>
    <w:rsid w:val="00D806BF"/>
    <w:rsid w:val="00D80EEC"/>
    <w:rsid w:val="00D82056"/>
    <w:rsid w:val="00D82B6A"/>
    <w:rsid w:val="00D84BC8"/>
    <w:rsid w:val="00D92355"/>
    <w:rsid w:val="00DA2CBB"/>
    <w:rsid w:val="00DA4F0B"/>
    <w:rsid w:val="00DA5C4A"/>
    <w:rsid w:val="00DA7027"/>
    <w:rsid w:val="00DA727A"/>
    <w:rsid w:val="00DA77B3"/>
    <w:rsid w:val="00DB05FA"/>
    <w:rsid w:val="00DB6AD1"/>
    <w:rsid w:val="00DB7210"/>
    <w:rsid w:val="00DB7B44"/>
    <w:rsid w:val="00DC1BD2"/>
    <w:rsid w:val="00DC44D3"/>
    <w:rsid w:val="00DC4FD8"/>
    <w:rsid w:val="00DC7B20"/>
    <w:rsid w:val="00DC7D9B"/>
    <w:rsid w:val="00DD0FBD"/>
    <w:rsid w:val="00DD58FB"/>
    <w:rsid w:val="00DE0741"/>
    <w:rsid w:val="00DE0B11"/>
    <w:rsid w:val="00DE3694"/>
    <w:rsid w:val="00DE3CDC"/>
    <w:rsid w:val="00DE4231"/>
    <w:rsid w:val="00DE623C"/>
    <w:rsid w:val="00DF25E0"/>
    <w:rsid w:val="00DF4065"/>
    <w:rsid w:val="00DF55CB"/>
    <w:rsid w:val="00DF6B44"/>
    <w:rsid w:val="00E0576C"/>
    <w:rsid w:val="00E07421"/>
    <w:rsid w:val="00E07684"/>
    <w:rsid w:val="00E1018C"/>
    <w:rsid w:val="00E102A6"/>
    <w:rsid w:val="00E206AF"/>
    <w:rsid w:val="00E2384E"/>
    <w:rsid w:val="00E248C5"/>
    <w:rsid w:val="00E312D6"/>
    <w:rsid w:val="00E31849"/>
    <w:rsid w:val="00E324E2"/>
    <w:rsid w:val="00E35C03"/>
    <w:rsid w:val="00E370D7"/>
    <w:rsid w:val="00E41B63"/>
    <w:rsid w:val="00E42300"/>
    <w:rsid w:val="00E431F5"/>
    <w:rsid w:val="00E43365"/>
    <w:rsid w:val="00E4534A"/>
    <w:rsid w:val="00E517E2"/>
    <w:rsid w:val="00E51B45"/>
    <w:rsid w:val="00E55465"/>
    <w:rsid w:val="00E5767A"/>
    <w:rsid w:val="00E57B78"/>
    <w:rsid w:val="00E6264A"/>
    <w:rsid w:val="00E66C70"/>
    <w:rsid w:val="00E71E3C"/>
    <w:rsid w:val="00E72A33"/>
    <w:rsid w:val="00E736FE"/>
    <w:rsid w:val="00E760D6"/>
    <w:rsid w:val="00E761E6"/>
    <w:rsid w:val="00E830E6"/>
    <w:rsid w:val="00E8462F"/>
    <w:rsid w:val="00E84EF6"/>
    <w:rsid w:val="00E93D8C"/>
    <w:rsid w:val="00E97838"/>
    <w:rsid w:val="00EA0069"/>
    <w:rsid w:val="00EA667E"/>
    <w:rsid w:val="00EB2284"/>
    <w:rsid w:val="00EB5C93"/>
    <w:rsid w:val="00EB631A"/>
    <w:rsid w:val="00EC06FC"/>
    <w:rsid w:val="00EC16F5"/>
    <w:rsid w:val="00ED0E63"/>
    <w:rsid w:val="00ED5D40"/>
    <w:rsid w:val="00EE2C07"/>
    <w:rsid w:val="00EE2DC0"/>
    <w:rsid w:val="00EE2F53"/>
    <w:rsid w:val="00EE6AC0"/>
    <w:rsid w:val="00EF0247"/>
    <w:rsid w:val="00EF3969"/>
    <w:rsid w:val="00EF4C84"/>
    <w:rsid w:val="00EF72A8"/>
    <w:rsid w:val="00F01BD0"/>
    <w:rsid w:val="00F034EA"/>
    <w:rsid w:val="00F0495F"/>
    <w:rsid w:val="00F12F6F"/>
    <w:rsid w:val="00F12FED"/>
    <w:rsid w:val="00F1430F"/>
    <w:rsid w:val="00F15B2C"/>
    <w:rsid w:val="00F2502D"/>
    <w:rsid w:val="00F259BB"/>
    <w:rsid w:val="00F32F82"/>
    <w:rsid w:val="00F360B8"/>
    <w:rsid w:val="00F36808"/>
    <w:rsid w:val="00F36BB4"/>
    <w:rsid w:val="00F43515"/>
    <w:rsid w:val="00F47ACE"/>
    <w:rsid w:val="00F65CDD"/>
    <w:rsid w:val="00F66656"/>
    <w:rsid w:val="00F66782"/>
    <w:rsid w:val="00F703AB"/>
    <w:rsid w:val="00F731A7"/>
    <w:rsid w:val="00F7473E"/>
    <w:rsid w:val="00F75DF1"/>
    <w:rsid w:val="00F760D2"/>
    <w:rsid w:val="00F76885"/>
    <w:rsid w:val="00F77366"/>
    <w:rsid w:val="00F8251E"/>
    <w:rsid w:val="00F8287E"/>
    <w:rsid w:val="00F836DF"/>
    <w:rsid w:val="00F855FE"/>
    <w:rsid w:val="00F905D3"/>
    <w:rsid w:val="00F912D8"/>
    <w:rsid w:val="00F91C95"/>
    <w:rsid w:val="00F9588F"/>
    <w:rsid w:val="00F96E3A"/>
    <w:rsid w:val="00F97AE8"/>
    <w:rsid w:val="00FA21F2"/>
    <w:rsid w:val="00FA27FF"/>
    <w:rsid w:val="00FA2E5B"/>
    <w:rsid w:val="00FA4637"/>
    <w:rsid w:val="00FA4755"/>
    <w:rsid w:val="00FA5E79"/>
    <w:rsid w:val="00FA6168"/>
    <w:rsid w:val="00FA72CE"/>
    <w:rsid w:val="00FB002C"/>
    <w:rsid w:val="00FB14D7"/>
    <w:rsid w:val="00FB4054"/>
    <w:rsid w:val="00FB4A46"/>
    <w:rsid w:val="00FB5CAE"/>
    <w:rsid w:val="00FC079C"/>
    <w:rsid w:val="00FC19BF"/>
    <w:rsid w:val="00FC1BAB"/>
    <w:rsid w:val="00FC28CB"/>
    <w:rsid w:val="00FC4587"/>
    <w:rsid w:val="00FC59D5"/>
    <w:rsid w:val="00FC5C2C"/>
    <w:rsid w:val="00FD25D8"/>
    <w:rsid w:val="00FD5A21"/>
    <w:rsid w:val="00FD7218"/>
    <w:rsid w:val="00FE1A5B"/>
    <w:rsid w:val="00FE27CF"/>
    <w:rsid w:val="00FE521E"/>
    <w:rsid w:val="00FF2703"/>
    <w:rsid w:val="00FF30CE"/>
    <w:rsid w:val="00FF7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D2281"/>
  <w15:chartTrackingRefBased/>
  <w15:docId w15:val="{0D218D68-4B32-4667-B697-1D801832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84"/>
  </w:style>
  <w:style w:type="paragraph" w:styleId="Heading1">
    <w:name w:val="heading 1"/>
    <w:basedOn w:val="Normal"/>
    <w:next w:val="Normal"/>
    <w:link w:val="Heading1Char"/>
    <w:uiPriority w:val="9"/>
    <w:qFormat/>
    <w:rsid w:val="00EE2C0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E2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E2C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C0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EE2C0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E2C07"/>
    <w:rPr>
      <w:sz w:val="16"/>
      <w:szCs w:val="16"/>
    </w:rPr>
  </w:style>
  <w:style w:type="paragraph" w:styleId="CommentText">
    <w:name w:val="annotation text"/>
    <w:basedOn w:val="Normal"/>
    <w:link w:val="CommentTextChar"/>
    <w:uiPriority w:val="99"/>
    <w:unhideWhenUsed/>
    <w:rsid w:val="00EE2C07"/>
    <w:pPr>
      <w:spacing w:line="240" w:lineRule="auto"/>
    </w:pPr>
    <w:rPr>
      <w:sz w:val="20"/>
      <w:szCs w:val="20"/>
    </w:rPr>
  </w:style>
  <w:style w:type="character" w:customStyle="1" w:styleId="CommentTextChar">
    <w:name w:val="Comment Text Char"/>
    <w:basedOn w:val="DefaultParagraphFont"/>
    <w:link w:val="CommentText"/>
    <w:uiPriority w:val="99"/>
    <w:rsid w:val="00EE2C07"/>
    <w:rPr>
      <w:sz w:val="20"/>
      <w:szCs w:val="20"/>
    </w:rPr>
  </w:style>
  <w:style w:type="paragraph" w:styleId="CommentSubject">
    <w:name w:val="annotation subject"/>
    <w:basedOn w:val="CommentText"/>
    <w:next w:val="CommentText"/>
    <w:link w:val="CommentSubjectChar"/>
    <w:uiPriority w:val="99"/>
    <w:semiHidden/>
    <w:unhideWhenUsed/>
    <w:rsid w:val="00EE2C07"/>
    <w:rPr>
      <w:b/>
      <w:bCs/>
    </w:rPr>
  </w:style>
  <w:style w:type="character" w:customStyle="1" w:styleId="CommentSubjectChar">
    <w:name w:val="Comment Subject Char"/>
    <w:basedOn w:val="CommentTextChar"/>
    <w:link w:val="CommentSubject"/>
    <w:uiPriority w:val="99"/>
    <w:semiHidden/>
    <w:rsid w:val="00EE2C07"/>
    <w:rPr>
      <w:b/>
      <w:bCs/>
      <w:sz w:val="20"/>
      <w:szCs w:val="20"/>
    </w:rPr>
  </w:style>
  <w:style w:type="character" w:customStyle="1" w:styleId="Heading3Char">
    <w:name w:val="Heading 3 Char"/>
    <w:basedOn w:val="DefaultParagraphFont"/>
    <w:link w:val="Heading3"/>
    <w:uiPriority w:val="9"/>
    <w:semiHidden/>
    <w:rsid w:val="00EE2C07"/>
    <w:rPr>
      <w:rFonts w:asciiTheme="majorHAnsi" w:eastAsiaTheme="majorEastAsia" w:hAnsiTheme="majorHAnsi" w:cstheme="majorBidi"/>
      <w:color w:val="1F3763" w:themeColor="accent1" w:themeShade="7F"/>
      <w:sz w:val="24"/>
      <w:szCs w:val="24"/>
    </w:rPr>
  </w:style>
  <w:style w:type="paragraph" w:styleId="ListParagraph">
    <w:name w:val="List Paragraph"/>
    <w:aliases w:val="Bullet,SWA List Paragraph,Indent,List Paragraph1,standard lewis,List Paragraph11,List Paragraph2,Bulit List -  Paragraph,Main numbered paragraph,Numbered List Paragraph,Capire List Paragraph,Heading 4 for contents,L,B1,Recommendation,列出段落"/>
    <w:basedOn w:val="Normal"/>
    <w:link w:val="ListParagraphChar"/>
    <w:uiPriority w:val="34"/>
    <w:qFormat/>
    <w:rsid w:val="005E226B"/>
    <w:pPr>
      <w:ind w:left="720"/>
      <w:contextualSpacing/>
    </w:pPr>
  </w:style>
  <w:style w:type="character" w:customStyle="1" w:styleId="ListParagraphChar">
    <w:name w:val="List Paragraph Char"/>
    <w:aliases w:val="Bullet Char,SWA List Paragraph Char,Indent Char,List Paragraph1 Char,standard lewis Char,List Paragraph11 Char,List Paragraph2 Char,Bulit List -  Paragraph Char,Main numbered paragraph Char,Numbered List Paragraph Char,L Char,B1 Char"/>
    <w:basedOn w:val="DefaultParagraphFont"/>
    <w:link w:val="ListParagraph"/>
    <w:uiPriority w:val="34"/>
    <w:qFormat/>
    <w:locked/>
    <w:rsid w:val="005E226B"/>
  </w:style>
  <w:style w:type="paragraph" w:styleId="NormalWeb">
    <w:name w:val="Normal (Web)"/>
    <w:basedOn w:val="Normal"/>
    <w:uiPriority w:val="99"/>
    <w:semiHidden/>
    <w:unhideWhenUsed/>
    <w:rsid w:val="00C2028C"/>
    <w:pPr>
      <w:spacing w:before="100" w:beforeAutospacing="1" w:after="100" w:afterAutospacing="1" w:line="240" w:lineRule="auto"/>
    </w:pPr>
    <w:rPr>
      <w:rFonts w:ascii="Calibri" w:hAnsi="Calibri" w:cs="Calibri"/>
      <w:lang w:eastAsia="en-AU"/>
    </w:rPr>
  </w:style>
  <w:style w:type="character" w:customStyle="1" w:styleId="cf01">
    <w:name w:val="cf01"/>
    <w:basedOn w:val="DefaultParagraphFont"/>
    <w:rsid w:val="00CB3845"/>
    <w:rPr>
      <w:rFonts w:ascii="Segoe UI" w:hAnsi="Segoe UI" w:cs="Segoe UI" w:hint="default"/>
      <w:color w:val="FF0000"/>
      <w:sz w:val="18"/>
      <w:szCs w:val="18"/>
      <w:shd w:val="clear" w:color="auto" w:fill="FFFF00"/>
    </w:rPr>
  </w:style>
  <w:style w:type="character" w:styleId="Hyperlink">
    <w:name w:val="Hyperlink"/>
    <w:basedOn w:val="DefaultParagraphFont"/>
    <w:uiPriority w:val="99"/>
    <w:unhideWhenUsed/>
    <w:rsid w:val="00117D03"/>
    <w:rPr>
      <w:color w:val="0563C1" w:themeColor="hyperlink"/>
      <w:u w:val="single"/>
    </w:rPr>
  </w:style>
  <w:style w:type="paragraph" w:styleId="Revision">
    <w:name w:val="Revision"/>
    <w:hidden/>
    <w:uiPriority w:val="99"/>
    <w:semiHidden/>
    <w:rsid w:val="00C83770"/>
    <w:pPr>
      <w:spacing w:after="0" w:line="240" w:lineRule="auto"/>
    </w:pPr>
  </w:style>
  <w:style w:type="paragraph" w:styleId="Header">
    <w:name w:val="header"/>
    <w:basedOn w:val="Normal"/>
    <w:link w:val="HeaderChar"/>
    <w:uiPriority w:val="99"/>
    <w:unhideWhenUsed/>
    <w:rsid w:val="00F0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BD0"/>
  </w:style>
  <w:style w:type="paragraph" w:styleId="Footer">
    <w:name w:val="footer"/>
    <w:basedOn w:val="Normal"/>
    <w:link w:val="FooterChar"/>
    <w:uiPriority w:val="99"/>
    <w:unhideWhenUsed/>
    <w:rsid w:val="00F0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BD0"/>
  </w:style>
  <w:style w:type="character" w:styleId="PlaceholderText">
    <w:name w:val="Placeholder Text"/>
    <w:basedOn w:val="DefaultParagraphFont"/>
    <w:uiPriority w:val="99"/>
    <w:semiHidden/>
    <w:rsid w:val="00CC6018"/>
    <w:rPr>
      <w:color w:val="808080"/>
    </w:rPr>
  </w:style>
  <w:style w:type="table" w:styleId="TableGrid">
    <w:name w:val="Table Grid"/>
    <w:basedOn w:val="TableNormal"/>
    <w:uiPriority w:val="39"/>
    <w:rsid w:val="00083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ext">
    <w:name w:val="Section text"/>
    <w:basedOn w:val="Normal"/>
    <w:rsid w:val="0054683C"/>
    <w:pPr>
      <w:widowControl w:val="0"/>
      <w:spacing w:after="240" w:line="240" w:lineRule="auto"/>
      <w:ind w:left="1100"/>
      <w:jc w:val="both"/>
    </w:pPr>
    <w:rPr>
      <w:rFonts w:ascii="Helvetica" w:eastAsia="Times New Roman" w:hAnsi="Helvetica"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20415">
      <w:bodyDiv w:val="1"/>
      <w:marLeft w:val="0"/>
      <w:marRight w:val="0"/>
      <w:marTop w:val="0"/>
      <w:marBottom w:val="0"/>
      <w:divBdr>
        <w:top w:val="none" w:sz="0" w:space="0" w:color="auto"/>
        <w:left w:val="none" w:sz="0" w:space="0" w:color="auto"/>
        <w:bottom w:val="none" w:sz="0" w:space="0" w:color="auto"/>
        <w:right w:val="none" w:sz="0" w:space="0" w:color="auto"/>
      </w:divBdr>
    </w:div>
    <w:div w:id="557399141">
      <w:bodyDiv w:val="1"/>
      <w:marLeft w:val="0"/>
      <w:marRight w:val="0"/>
      <w:marTop w:val="0"/>
      <w:marBottom w:val="0"/>
      <w:divBdr>
        <w:top w:val="none" w:sz="0" w:space="0" w:color="auto"/>
        <w:left w:val="none" w:sz="0" w:space="0" w:color="auto"/>
        <w:bottom w:val="none" w:sz="0" w:space="0" w:color="auto"/>
        <w:right w:val="none" w:sz="0" w:space="0" w:color="auto"/>
      </w:divBdr>
    </w:div>
    <w:div w:id="787090404">
      <w:bodyDiv w:val="1"/>
      <w:marLeft w:val="0"/>
      <w:marRight w:val="0"/>
      <w:marTop w:val="0"/>
      <w:marBottom w:val="0"/>
      <w:divBdr>
        <w:top w:val="none" w:sz="0" w:space="0" w:color="auto"/>
        <w:left w:val="none" w:sz="0" w:space="0" w:color="auto"/>
        <w:bottom w:val="none" w:sz="0" w:space="0" w:color="auto"/>
        <w:right w:val="none" w:sz="0" w:space="0" w:color="auto"/>
      </w:divBdr>
    </w:div>
    <w:div w:id="826435498">
      <w:bodyDiv w:val="1"/>
      <w:marLeft w:val="0"/>
      <w:marRight w:val="0"/>
      <w:marTop w:val="0"/>
      <w:marBottom w:val="0"/>
      <w:divBdr>
        <w:top w:val="none" w:sz="0" w:space="0" w:color="auto"/>
        <w:left w:val="none" w:sz="0" w:space="0" w:color="auto"/>
        <w:bottom w:val="none" w:sz="0" w:space="0" w:color="auto"/>
        <w:right w:val="none" w:sz="0" w:space="0" w:color="auto"/>
      </w:divBdr>
    </w:div>
    <w:div w:id="1109935542">
      <w:bodyDiv w:val="1"/>
      <w:marLeft w:val="0"/>
      <w:marRight w:val="0"/>
      <w:marTop w:val="0"/>
      <w:marBottom w:val="0"/>
      <w:divBdr>
        <w:top w:val="none" w:sz="0" w:space="0" w:color="auto"/>
        <w:left w:val="none" w:sz="0" w:space="0" w:color="auto"/>
        <w:bottom w:val="none" w:sz="0" w:space="0" w:color="auto"/>
        <w:right w:val="none" w:sz="0" w:space="0" w:color="auto"/>
      </w:divBdr>
    </w:div>
    <w:div w:id="1387535622">
      <w:bodyDiv w:val="1"/>
      <w:marLeft w:val="0"/>
      <w:marRight w:val="0"/>
      <w:marTop w:val="0"/>
      <w:marBottom w:val="0"/>
      <w:divBdr>
        <w:top w:val="none" w:sz="0" w:space="0" w:color="auto"/>
        <w:left w:val="none" w:sz="0" w:space="0" w:color="auto"/>
        <w:bottom w:val="none" w:sz="0" w:space="0" w:color="auto"/>
        <w:right w:val="none" w:sz="0" w:space="0" w:color="auto"/>
      </w:divBdr>
    </w:div>
    <w:div w:id="1402413192">
      <w:bodyDiv w:val="1"/>
      <w:marLeft w:val="0"/>
      <w:marRight w:val="0"/>
      <w:marTop w:val="0"/>
      <w:marBottom w:val="0"/>
      <w:divBdr>
        <w:top w:val="none" w:sz="0" w:space="0" w:color="auto"/>
        <w:left w:val="none" w:sz="0" w:space="0" w:color="auto"/>
        <w:bottom w:val="none" w:sz="0" w:space="0" w:color="auto"/>
        <w:right w:val="none" w:sz="0" w:space="0" w:color="auto"/>
      </w:divBdr>
    </w:div>
    <w:div w:id="2091734810">
      <w:bodyDiv w:val="1"/>
      <w:marLeft w:val="0"/>
      <w:marRight w:val="0"/>
      <w:marTop w:val="0"/>
      <w:marBottom w:val="0"/>
      <w:divBdr>
        <w:top w:val="none" w:sz="0" w:space="0" w:color="auto"/>
        <w:left w:val="none" w:sz="0" w:space="0" w:color="auto"/>
        <w:bottom w:val="none" w:sz="0" w:space="0" w:color="auto"/>
        <w:right w:val="none" w:sz="0" w:space="0" w:color="auto"/>
      </w:divBdr>
    </w:div>
    <w:div w:id="20987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D33B-1964-467F-8A35-A467FF48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5410</Words>
  <Characters>30840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PALAMOUNTAIN,Leah</dc:creator>
  <cp:keywords/>
  <dc:description/>
  <cp:lastModifiedBy>PALAMOUNTAIN,Leah</cp:lastModifiedBy>
  <cp:revision>5</cp:revision>
  <cp:lastPrinted>2023-05-23T05:52:00Z</cp:lastPrinted>
  <dcterms:created xsi:type="dcterms:W3CDTF">2023-07-13T03:35:00Z</dcterms:created>
  <dcterms:modified xsi:type="dcterms:W3CDTF">2023-07-26T04:07:00Z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2023-05-02T01:26:13Z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5df2a87b-5b86-4167-9273-c5d8338570de</vt:lpwstr>
  </property>
  <property fmtid="{D5CDD505-2E9C-101B-9397-08002B2CF9AE}" pid="8" name="MSIP_Label_79d889eb-932f-4752-8739-64d25806ef64_ContentBits">
    <vt:lpwstr>0</vt:lpwstr>
  </property>
</Properties>
</file>