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386BF" w14:textId="77777777" w:rsidR="00C07372" w:rsidRDefault="00092B56" w:rsidP="00C07372">
      <w:pPr>
        <w:rPr>
          <w:rFonts w:cs="Arial"/>
        </w:rPr>
      </w:pPr>
      <w:r>
        <w:rPr>
          <w:rFonts w:cs="Arial"/>
        </w:rPr>
        <w:t>Revised version – November 2015</w:t>
      </w:r>
    </w:p>
    <w:p w14:paraId="56A386C0" w14:textId="77777777" w:rsidR="00B44333" w:rsidRPr="00762191" w:rsidRDefault="00B44333" w:rsidP="00B44333">
      <w:pPr>
        <w:pStyle w:val="Heading1"/>
      </w:pPr>
      <w:r>
        <w:t>INFORMATION</w:t>
      </w:r>
      <w:r w:rsidRPr="00762191">
        <w:t xml:space="preserve"> SHEET—</w:t>
      </w:r>
      <w:r w:rsidR="00192EA5">
        <w:br/>
      </w:r>
      <w:r w:rsidRPr="00762191">
        <w:t>INCIDENT NOTIFICATION</w:t>
      </w:r>
    </w:p>
    <w:p w14:paraId="56A386C1" w14:textId="77777777" w:rsidR="00B44333" w:rsidRPr="00192EA5" w:rsidRDefault="00192EA5" w:rsidP="00C07372">
      <w:r>
        <w:br/>
      </w:r>
      <w:r w:rsidR="00B44333" w:rsidRPr="00060FF7">
        <w:t xml:space="preserve">This information sheet provides general guidance on mandatory reporting requirements </w:t>
      </w:r>
      <w:r w:rsidR="00B44333" w:rsidRPr="00192EA5">
        <w:t>for ‘notifiable incidents’ under Work Health and Safety (WHS) legislation.</w:t>
      </w:r>
    </w:p>
    <w:p w14:paraId="56A386C2" w14:textId="77777777" w:rsidR="00C07372" w:rsidRPr="00762191" w:rsidRDefault="00D82941" w:rsidP="00C07372">
      <w:pPr>
        <w:rPr>
          <w:rFonts w:cs="Arial"/>
        </w:rPr>
      </w:pPr>
      <w:r w:rsidRPr="00885FA6">
        <w:rPr>
          <w:rFonts w:cs="Arial"/>
        </w:rPr>
        <w:t>Businesses and undertakings must notify their</w:t>
      </w:r>
      <w:r w:rsidR="00C07372" w:rsidRPr="00885FA6">
        <w:rPr>
          <w:rFonts w:cs="Arial"/>
        </w:rPr>
        <w:t xml:space="preserve"> </w:t>
      </w:r>
      <w:r w:rsidR="00060FF7" w:rsidRPr="00885FA6">
        <w:rPr>
          <w:rFonts w:cs="Arial"/>
        </w:rPr>
        <w:t>w</w:t>
      </w:r>
      <w:r w:rsidRPr="00885FA6">
        <w:rPr>
          <w:rFonts w:cs="Arial"/>
        </w:rPr>
        <w:t xml:space="preserve">ork </w:t>
      </w:r>
      <w:r w:rsidR="00060FF7" w:rsidRPr="00885FA6">
        <w:rPr>
          <w:rFonts w:cs="Arial"/>
        </w:rPr>
        <w:t>h</w:t>
      </w:r>
      <w:r w:rsidRPr="00885FA6">
        <w:rPr>
          <w:rFonts w:cs="Arial"/>
        </w:rPr>
        <w:t xml:space="preserve">ealth and </w:t>
      </w:r>
      <w:r w:rsidR="00060FF7" w:rsidRPr="00885FA6">
        <w:rPr>
          <w:rFonts w:cs="Arial"/>
        </w:rPr>
        <w:t>s</w:t>
      </w:r>
      <w:r w:rsidRPr="00885FA6">
        <w:rPr>
          <w:rFonts w:cs="Arial"/>
        </w:rPr>
        <w:t>afety</w:t>
      </w:r>
      <w:r w:rsidR="00060FF7" w:rsidRPr="00885FA6">
        <w:rPr>
          <w:rFonts w:cs="Arial"/>
        </w:rPr>
        <w:t xml:space="preserve"> </w:t>
      </w:r>
      <w:r w:rsidR="00C07372" w:rsidRPr="00885FA6">
        <w:rPr>
          <w:rFonts w:cs="Arial"/>
        </w:rPr>
        <w:t>regulator</w:t>
      </w:r>
      <w:r w:rsidR="00060FF7" w:rsidRPr="00885FA6">
        <w:rPr>
          <w:rFonts w:cs="Arial"/>
        </w:rPr>
        <w:t xml:space="preserve"> </w:t>
      </w:r>
      <w:r w:rsidR="00C07372" w:rsidRPr="00885FA6">
        <w:rPr>
          <w:rFonts w:cs="Arial"/>
        </w:rPr>
        <w:t>of certain ‘notifiable incidents’</w:t>
      </w:r>
      <w:r w:rsidRPr="00885FA6">
        <w:rPr>
          <w:rFonts w:cs="Arial"/>
        </w:rPr>
        <w:t xml:space="preserve"> at work</w:t>
      </w:r>
      <w:r w:rsidR="00C07372" w:rsidRPr="00885FA6">
        <w:rPr>
          <w:rFonts w:cs="Arial"/>
        </w:rPr>
        <w:t xml:space="preserve">. </w:t>
      </w:r>
      <w:r w:rsidRPr="00885FA6">
        <w:rPr>
          <w:rFonts w:cs="Arial"/>
        </w:rPr>
        <w:t>T</w:t>
      </w:r>
      <w:r w:rsidR="00C07372" w:rsidRPr="00885FA6">
        <w:rPr>
          <w:rFonts w:cs="Arial"/>
        </w:rPr>
        <w:t xml:space="preserve">his </w:t>
      </w:r>
      <w:r w:rsidR="00060FF7" w:rsidRPr="00885FA6">
        <w:rPr>
          <w:rFonts w:cs="Arial"/>
        </w:rPr>
        <w:t xml:space="preserve">information </w:t>
      </w:r>
      <w:r w:rsidR="00C07372" w:rsidRPr="00885FA6">
        <w:rPr>
          <w:rFonts w:cs="Arial"/>
        </w:rPr>
        <w:t xml:space="preserve">sheet will help you decide </w:t>
      </w:r>
      <w:r w:rsidR="00C07372" w:rsidRPr="00D82941">
        <w:rPr>
          <w:rFonts w:cs="Arial"/>
        </w:rPr>
        <w:t>whe</w:t>
      </w:r>
      <w:r>
        <w:rPr>
          <w:rFonts w:cs="Arial"/>
        </w:rPr>
        <w:t>n</w:t>
      </w:r>
      <w:r w:rsidR="00273D94" w:rsidRPr="00D82941">
        <w:rPr>
          <w:rFonts w:cs="Arial"/>
        </w:rPr>
        <w:t xml:space="preserve"> </w:t>
      </w:r>
      <w:r w:rsidR="00060FF7">
        <w:rPr>
          <w:rFonts w:cs="Arial"/>
        </w:rPr>
        <w:t xml:space="preserve">you need to notify </w:t>
      </w:r>
      <w:r w:rsidR="00C07372" w:rsidRPr="00D82941">
        <w:rPr>
          <w:rFonts w:cs="Arial"/>
        </w:rPr>
        <w:t xml:space="preserve">the regulator </w:t>
      </w:r>
      <w:r w:rsidR="00060FF7">
        <w:rPr>
          <w:rFonts w:cs="Arial"/>
        </w:rPr>
        <w:t>of</w:t>
      </w:r>
      <w:r w:rsidR="00C07372" w:rsidRPr="00762191">
        <w:rPr>
          <w:rFonts w:cs="Arial"/>
        </w:rPr>
        <w:t xml:space="preserve"> a work-</w:t>
      </w:r>
      <w:r w:rsidR="00C07372" w:rsidRPr="00092B56">
        <w:rPr>
          <w:rFonts w:cs="Arial"/>
        </w:rPr>
        <w:t>related</w:t>
      </w:r>
      <w:r w:rsidR="00060FF7" w:rsidRPr="00092B56">
        <w:rPr>
          <w:rFonts w:cs="Arial"/>
        </w:rPr>
        <w:t xml:space="preserve"> death,</w:t>
      </w:r>
      <w:r w:rsidR="00C07372" w:rsidRPr="00092B56">
        <w:rPr>
          <w:rFonts w:cs="Arial"/>
        </w:rPr>
        <w:t xml:space="preserve"> </w:t>
      </w:r>
      <w:r w:rsidR="00C07372" w:rsidRPr="00762191">
        <w:rPr>
          <w:rFonts w:cs="Arial"/>
        </w:rPr>
        <w:t>injury, illness</w:t>
      </w:r>
      <w:r w:rsidR="00115AAE">
        <w:rPr>
          <w:rFonts w:cs="Arial"/>
          <w:color w:val="FF0000"/>
        </w:rPr>
        <w:t xml:space="preserve"> </w:t>
      </w:r>
      <w:r w:rsidR="00C07372" w:rsidRPr="00762191">
        <w:rPr>
          <w:rFonts w:cs="Arial"/>
        </w:rPr>
        <w:t>or dangerous incident</w:t>
      </w:r>
      <w:r w:rsidR="00060FF7">
        <w:rPr>
          <w:rFonts w:cs="Arial"/>
        </w:rPr>
        <w:t>.</w:t>
      </w:r>
    </w:p>
    <w:p w14:paraId="56A386C3" w14:textId="77777777" w:rsidR="00060FF7" w:rsidRPr="00307F3C" w:rsidRDefault="00C07372" w:rsidP="00C07372">
      <w:pPr>
        <w:rPr>
          <w:rFonts w:cs="Arial"/>
        </w:rPr>
      </w:pPr>
      <w:r w:rsidRPr="00762191">
        <w:rPr>
          <w:rFonts w:cs="Arial"/>
        </w:rPr>
        <w:t>Work health and safety regulators are committed to preventing work-related deaths and injuries. Notifying the regulator of ‘notifiable incidents’ can help identify causes of incidents and prevent similar incidents at your workplace and other workplaces.</w:t>
      </w:r>
    </w:p>
    <w:p w14:paraId="56A386C4" w14:textId="77777777" w:rsidR="00C07372" w:rsidRPr="00885FA6" w:rsidRDefault="00115AAE" w:rsidP="00C07372">
      <w:pPr>
        <w:rPr>
          <w:rFonts w:cs="Arial"/>
        </w:rPr>
      </w:pPr>
      <w:r w:rsidRPr="00885FA6">
        <w:rPr>
          <w:rFonts w:cs="Arial"/>
        </w:rPr>
        <w:t xml:space="preserve">The </w:t>
      </w:r>
      <w:r w:rsidR="00060FF7" w:rsidRPr="00885FA6">
        <w:rPr>
          <w:rFonts w:cs="Arial"/>
        </w:rPr>
        <w:t xml:space="preserve">WHS </w:t>
      </w:r>
      <w:r w:rsidRPr="00885FA6">
        <w:rPr>
          <w:rFonts w:cs="Arial"/>
        </w:rPr>
        <w:t>law</w:t>
      </w:r>
      <w:r w:rsidR="00C07372" w:rsidRPr="00885FA6">
        <w:rPr>
          <w:rFonts w:cs="Arial"/>
        </w:rPr>
        <w:t xml:space="preserve"> requires:</w:t>
      </w:r>
    </w:p>
    <w:p w14:paraId="56A386C5" w14:textId="77777777" w:rsidR="00C07372" w:rsidRPr="00885FA6" w:rsidRDefault="00060FF7" w:rsidP="00307F3C">
      <w:pPr>
        <w:pStyle w:val="ListParagraph"/>
        <w:numPr>
          <w:ilvl w:val="0"/>
          <w:numId w:val="19"/>
        </w:numPr>
        <w:ind w:left="340" w:hanging="340"/>
        <w:contextualSpacing w:val="0"/>
        <w:rPr>
          <w:rFonts w:cs="Arial"/>
        </w:rPr>
      </w:pPr>
      <w:r w:rsidRPr="00885FA6">
        <w:rPr>
          <w:rFonts w:cs="Arial"/>
        </w:rPr>
        <w:t>a ‘</w:t>
      </w:r>
      <w:r w:rsidR="00C07372" w:rsidRPr="00885FA6">
        <w:rPr>
          <w:rFonts w:cs="Arial"/>
        </w:rPr>
        <w:t xml:space="preserve">notifiable incident’ to </w:t>
      </w:r>
      <w:r w:rsidR="00D82941" w:rsidRPr="00885FA6">
        <w:rPr>
          <w:rFonts w:cs="Arial"/>
        </w:rPr>
        <w:t xml:space="preserve">be </w:t>
      </w:r>
      <w:r w:rsidRPr="00885FA6">
        <w:rPr>
          <w:rFonts w:cs="Arial"/>
        </w:rPr>
        <w:t>reported</w:t>
      </w:r>
      <w:r w:rsidR="00D82941" w:rsidRPr="00885FA6">
        <w:rPr>
          <w:rFonts w:cs="Arial"/>
        </w:rPr>
        <w:t xml:space="preserve"> </w:t>
      </w:r>
      <w:r w:rsidRPr="00885FA6">
        <w:rPr>
          <w:rFonts w:cs="Arial"/>
        </w:rPr>
        <w:t xml:space="preserve">to </w:t>
      </w:r>
      <w:r w:rsidR="00C07372" w:rsidRPr="00885FA6">
        <w:rPr>
          <w:rFonts w:cs="Arial"/>
        </w:rPr>
        <w:t>the regul</w:t>
      </w:r>
      <w:r w:rsidR="00D82941" w:rsidRPr="00885FA6">
        <w:rPr>
          <w:rFonts w:cs="Arial"/>
        </w:rPr>
        <w:t>ator immediately after becoming aware it has happened</w:t>
      </w:r>
    </w:p>
    <w:p w14:paraId="56A386C6" w14:textId="77777777" w:rsidR="00C07372" w:rsidRPr="00885FA6" w:rsidRDefault="00C07372" w:rsidP="00307F3C">
      <w:pPr>
        <w:pStyle w:val="ListParagraph"/>
        <w:numPr>
          <w:ilvl w:val="0"/>
          <w:numId w:val="19"/>
        </w:numPr>
        <w:ind w:left="340" w:hanging="340"/>
        <w:contextualSpacing w:val="0"/>
        <w:rPr>
          <w:rFonts w:cs="Arial"/>
        </w:rPr>
      </w:pPr>
      <w:r w:rsidRPr="00885FA6">
        <w:rPr>
          <w:rFonts w:cs="Arial"/>
        </w:rPr>
        <w:t>if the regulator asks—written notification with</w:t>
      </w:r>
      <w:r w:rsidR="00D82941" w:rsidRPr="00885FA6">
        <w:rPr>
          <w:rFonts w:cs="Arial"/>
        </w:rPr>
        <w:t>in</w:t>
      </w:r>
      <w:r w:rsidRPr="00885FA6">
        <w:rPr>
          <w:rFonts w:cs="Arial"/>
        </w:rPr>
        <w:t xml:space="preserve"> 48 hours of the request, and</w:t>
      </w:r>
    </w:p>
    <w:p w14:paraId="56A386C7" w14:textId="77777777" w:rsidR="00C07372" w:rsidRPr="00885FA6" w:rsidRDefault="00C07372" w:rsidP="00307F3C">
      <w:pPr>
        <w:pStyle w:val="ListParagraph"/>
        <w:numPr>
          <w:ilvl w:val="0"/>
          <w:numId w:val="19"/>
        </w:numPr>
        <w:ind w:left="340" w:hanging="340"/>
        <w:contextualSpacing w:val="0"/>
        <w:rPr>
          <w:rFonts w:cs="Arial"/>
        </w:rPr>
      </w:pPr>
      <w:r w:rsidRPr="00885FA6">
        <w:rPr>
          <w:rFonts w:cs="Arial"/>
        </w:rPr>
        <w:t xml:space="preserve">the incident site </w:t>
      </w:r>
      <w:r w:rsidR="00115AAE" w:rsidRPr="00885FA6">
        <w:rPr>
          <w:rFonts w:cs="Arial"/>
        </w:rPr>
        <w:t xml:space="preserve">to be preserved </w:t>
      </w:r>
      <w:r w:rsidRPr="00885FA6">
        <w:rPr>
          <w:rFonts w:cs="Arial"/>
        </w:rPr>
        <w:t>until an inspector arrives or directs otherwise (subject to some exceptions).</w:t>
      </w:r>
    </w:p>
    <w:p w14:paraId="56A386C8" w14:textId="77777777" w:rsidR="00C07372" w:rsidRDefault="00C07372" w:rsidP="00885FA6">
      <w:pPr>
        <w:spacing w:after="120"/>
        <w:rPr>
          <w:rFonts w:cs="Arial"/>
        </w:rPr>
      </w:pPr>
      <w:r w:rsidRPr="00762191">
        <w:rPr>
          <w:rFonts w:cs="Arial"/>
        </w:rPr>
        <w:t xml:space="preserve">Failing to </w:t>
      </w:r>
      <w:r w:rsidR="00885FA6">
        <w:rPr>
          <w:rFonts w:cs="Arial"/>
        </w:rPr>
        <w:t xml:space="preserve">report a ‘notifiable incident’ </w:t>
      </w:r>
      <w:r w:rsidRPr="00762191">
        <w:rPr>
          <w:rFonts w:cs="Arial"/>
        </w:rPr>
        <w:t>is a</w:t>
      </w:r>
      <w:r w:rsidR="00092B56">
        <w:rPr>
          <w:rFonts w:cs="Arial"/>
        </w:rPr>
        <w:t>n</w:t>
      </w:r>
      <w:r w:rsidRPr="00762191">
        <w:rPr>
          <w:rFonts w:cs="Arial"/>
        </w:rPr>
        <w:t xml:space="preserve"> offence and penalties apply.</w:t>
      </w:r>
    </w:p>
    <w:p w14:paraId="56A386C9" w14:textId="77777777" w:rsidR="00C07372" w:rsidRPr="00762191" w:rsidRDefault="00C07372" w:rsidP="00C07372">
      <w:pPr>
        <w:pStyle w:val="Heading2"/>
      </w:pPr>
      <w:r w:rsidRPr="00762191">
        <w:t>What is a ‘notifiable incident’</w:t>
      </w:r>
    </w:p>
    <w:p w14:paraId="56A386CA" w14:textId="77777777" w:rsidR="00C07372" w:rsidRPr="00762191" w:rsidRDefault="00C07372" w:rsidP="00C07372">
      <w:pPr>
        <w:rPr>
          <w:rFonts w:cs="Arial"/>
        </w:rPr>
      </w:pPr>
      <w:r w:rsidRPr="00762191">
        <w:rPr>
          <w:rFonts w:cs="Arial"/>
        </w:rPr>
        <w:t>A ‘notifiable incident’ is:</w:t>
      </w:r>
    </w:p>
    <w:p w14:paraId="56A386CB" w14:textId="77777777" w:rsidR="00C07372" w:rsidRPr="00762191" w:rsidRDefault="00C07372" w:rsidP="00307F3C">
      <w:pPr>
        <w:pStyle w:val="ListParagraph"/>
        <w:numPr>
          <w:ilvl w:val="0"/>
          <w:numId w:val="19"/>
        </w:numPr>
        <w:ind w:left="340" w:hanging="340"/>
        <w:contextualSpacing w:val="0"/>
        <w:rPr>
          <w:rFonts w:cs="Arial"/>
        </w:rPr>
      </w:pPr>
      <w:r w:rsidRPr="00762191">
        <w:rPr>
          <w:rFonts w:cs="Arial"/>
        </w:rPr>
        <w:t>the death of a person</w:t>
      </w:r>
    </w:p>
    <w:p w14:paraId="56A386CC" w14:textId="77777777" w:rsidR="00C07372" w:rsidRPr="00762191" w:rsidRDefault="00C07372" w:rsidP="00307F3C">
      <w:pPr>
        <w:pStyle w:val="ListParagraph"/>
        <w:numPr>
          <w:ilvl w:val="0"/>
          <w:numId w:val="19"/>
        </w:numPr>
        <w:ind w:left="340" w:hanging="340"/>
        <w:contextualSpacing w:val="0"/>
        <w:rPr>
          <w:rFonts w:cs="Arial"/>
        </w:rPr>
      </w:pPr>
      <w:r w:rsidRPr="00762191">
        <w:rPr>
          <w:rFonts w:cs="Arial"/>
        </w:rPr>
        <w:t>a ‘serious injury or illness’, or</w:t>
      </w:r>
    </w:p>
    <w:p w14:paraId="56A386CD" w14:textId="77777777" w:rsidR="00C07372" w:rsidRPr="00762191" w:rsidRDefault="00C07372" w:rsidP="00307F3C">
      <w:pPr>
        <w:pStyle w:val="ListParagraph"/>
        <w:numPr>
          <w:ilvl w:val="0"/>
          <w:numId w:val="19"/>
        </w:numPr>
        <w:ind w:left="340" w:hanging="340"/>
        <w:contextualSpacing w:val="0"/>
        <w:rPr>
          <w:rFonts w:cs="Arial"/>
        </w:rPr>
      </w:pPr>
      <w:r w:rsidRPr="00762191">
        <w:rPr>
          <w:rFonts w:cs="Arial"/>
        </w:rPr>
        <w:t>a ‘dangerous incident’</w:t>
      </w:r>
    </w:p>
    <w:p w14:paraId="56A386CE" w14:textId="77777777" w:rsidR="00C07372" w:rsidRPr="00762191" w:rsidRDefault="00C07372" w:rsidP="00D82941">
      <w:pPr>
        <w:spacing w:after="120"/>
        <w:rPr>
          <w:rFonts w:cs="Arial"/>
        </w:rPr>
      </w:pPr>
      <w:r w:rsidRPr="00762191">
        <w:rPr>
          <w:rFonts w:cs="Arial"/>
        </w:rPr>
        <w:t>arising out of the conduct of a business or undertaking at a workplace.</w:t>
      </w:r>
    </w:p>
    <w:p w14:paraId="56A386CF" w14:textId="77777777" w:rsidR="00C07372" w:rsidRPr="00762191" w:rsidRDefault="00C07372" w:rsidP="00D82941">
      <w:pPr>
        <w:spacing w:after="120"/>
        <w:rPr>
          <w:rFonts w:cs="Arial"/>
        </w:rPr>
      </w:pPr>
      <w:r w:rsidRPr="00762191">
        <w:rPr>
          <w:rFonts w:cs="Arial"/>
        </w:rPr>
        <w:t xml:space="preserve">‘Notifiable incidents’ may relate to any person—whether an employee, contractor or member </w:t>
      </w:r>
      <w:r w:rsidRPr="00762191">
        <w:rPr>
          <w:rFonts w:cs="Arial"/>
        </w:rPr>
        <w:br/>
        <w:t>of the public.</w:t>
      </w:r>
    </w:p>
    <w:p w14:paraId="56A386D0" w14:textId="77777777" w:rsidR="00C07372" w:rsidRPr="00762191" w:rsidRDefault="00C07372" w:rsidP="00C07372">
      <w:pPr>
        <w:pStyle w:val="Heading3"/>
      </w:pPr>
      <w:r w:rsidRPr="00762191">
        <w:t>Serious injury or illness</w:t>
      </w:r>
    </w:p>
    <w:p w14:paraId="56A386D1" w14:textId="77777777" w:rsidR="00D82941" w:rsidRPr="00885FA6" w:rsidRDefault="00D82941" w:rsidP="00D82941">
      <w:pPr>
        <w:spacing w:after="120"/>
        <w:rPr>
          <w:rFonts w:cs="Arial"/>
        </w:rPr>
      </w:pPr>
      <w:r w:rsidRPr="00092B56">
        <w:rPr>
          <w:rFonts w:cs="Arial"/>
        </w:rPr>
        <w:t>Only the most serious health or safety incidents are notifiable</w:t>
      </w:r>
      <w:r w:rsidR="00885FA6" w:rsidRPr="00092B56">
        <w:rPr>
          <w:rFonts w:cs="Arial"/>
        </w:rPr>
        <w:t>,</w:t>
      </w:r>
      <w:r w:rsidR="009C3AB3" w:rsidRPr="00092B56">
        <w:rPr>
          <w:rFonts w:cs="Arial"/>
        </w:rPr>
        <w:t xml:space="preserve"> and only if they are work-related</w:t>
      </w:r>
      <w:r w:rsidRPr="00092B56">
        <w:rPr>
          <w:rFonts w:cs="Arial"/>
        </w:rPr>
        <w:t xml:space="preserve">. </w:t>
      </w:r>
      <w:r w:rsidR="00885FA6" w:rsidRPr="00885FA6">
        <w:rPr>
          <w:rFonts w:cs="Arial"/>
        </w:rPr>
        <w:t>They</w:t>
      </w:r>
      <w:r w:rsidRPr="00885FA6">
        <w:rPr>
          <w:rFonts w:cs="Arial"/>
        </w:rPr>
        <w:t xml:space="preserve"> trigger requirements to preserve the incident site pending further direction from the regulator</w:t>
      </w:r>
      <w:r w:rsidR="00885FA6" w:rsidRPr="00885FA6">
        <w:rPr>
          <w:rFonts w:cs="Arial"/>
        </w:rPr>
        <w:t xml:space="preserve">. </w:t>
      </w:r>
    </w:p>
    <w:p w14:paraId="56A386D2" w14:textId="77777777" w:rsidR="00C07372" w:rsidRPr="00885FA6" w:rsidRDefault="00885FA6" w:rsidP="00C07372">
      <w:pPr>
        <w:spacing w:after="120"/>
        <w:rPr>
          <w:rFonts w:cs="Arial"/>
          <w:strike/>
        </w:rPr>
      </w:pPr>
      <w:r w:rsidRPr="00885FA6">
        <w:rPr>
          <w:rFonts w:cs="Arial"/>
        </w:rPr>
        <w:t>Serious</w:t>
      </w:r>
      <w:r w:rsidR="00C07372" w:rsidRPr="00885FA6">
        <w:rPr>
          <w:rFonts w:cs="Arial"/>
        </w:rPr>
        <w:t xml:space="preserve"> injury or illness </w:t>
      </w:r>
      <w:r w:rsidR="000F15B0" w:rsidRPr="00885FA6">
        <w:rPr>
          <w:rFonts w:cs="Arial"/>
        </w:rPr>
        <w:t xml:space="preserve">must be notified </w:t>
      </w:r>
      <w:r w:rsidR="00C07372" w:rsidRPr="00885FA6">
        <w:rPr>
          <w:rFonts w:cs="Arial"/>
        </w:rPr>
        <w:t>if the</w:t>
      </w:r>
      <w:r w:rsidR="000F15B0" w:rsidRPr="00885FA6">
        <w:rPr>
          <w:rFonts w:cs="Arial"/>
        </w:rPr>
        <w:t xml:space="preserve"> person</w:t>
      </w:r>
      <w:r w:rsidR="00C07372" w:rsidRPr="00885FA6">
        <w:rPr>
          <w:rFonts w:cs="Arial"/>
        </w:rPr>
        <w:t xml:space="preserve"> require</w:t>
      </w:r>
      <w:r w:rsidR="000F15B0" w:rsidRPr="00885FA6">
        <w:rPr>
          <w:rFonts w:cs="Arial"/>
        </w:rPr>
        <w:t>s</w:t>
      </w:r>
      <w:r w:rsidR="00C07372" w:rsidRPr="00885FA6">
        <w:rPr>
          <w:rFonts w:cs="Arial"/>
        </w:rPr>
        <w:t xml:space="preserve"> any of </w:t>
      </w:r>
      <w:r>
        <w:rPr>
          <w:rFonts w:cs="Arial"/>
        </w:rPr>
        <w:t xml:space="preserve">the </w:t>
      </w:r>
      <w:r w:rsidR="000F15B0" w:rsidRPr="00885FA6">
        <w:rPr>
          <w:rFonts w:cs="Arial"/>
        </w:rPr>
        <w:t>types of treatment</w:t>
      </w:r>
      <w:r>
        <w:rPr>
          <w:rFonts w:cs="Arial"/>
        </w:rPr>
        <w:t xml:space="preserve"> in the following table:</w:t>
      </w:r>
      <w:r w:rsidR="00C07372" w:rsidRPr="00885FA6">
        <w:rPr>
          <w:rFonts w:cs="Arial"/>
          <w:strike/>
        </w:rPr>
        <w:t xml:space="preserve"> </w:t>
      </w:r>
    </w:p>
    <w:p w14:paraId="56A386D3" w14:textId="77777777" w:rsidR="00C07372" w:rsidRDefault="00C07372" w:rsidP="00C07372">
      <w:pPr>
        <w:rPr>
          <w:rFonts w:cs="Arial"/>
        </w:rPr>
      </w:pPr>
      <w:r>
        <w:rPr>
          <w:rFonts w:cs="Arial"/>
        </w:rPr>
        <w:br w:type="page"/>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Description w:val="This table show serious injury or illnesses must be notified if the person requires any of the types of treatment listed in the table."/>
      </w:tblPr>
      <w:tblGrid>
        <w:gridCol w:w="2518"/>
        <w:gridCol w:w="7052"/>
      </w:tblGrid>
      <w:tr w:rsidR="00C07372" w:rsidRPr="002D3286" w14:paraId="56A386D6" w14:textId="77777777" w:rsidTr="00192EA5">
        <w:trPr>
          <w:trHeight w:val="20"/>
          <w:tblHeader/>
        </w:trPr>
        <w:tc>
          <w:tcPr>
            <w:tcW w:w="2518" w:type="dxa"/>
            <w:shd w:val="clear" w:color="auto" w:fill="365F91" w:themeFill="accent1" w:themeFillShade="BF"/>
          </w:tcPr>
          <w:p w14:paraId="56A386D4" w14:textId="77777777" w:rsidR="00C07372" w:rsidRPr="00192EA5" w:rsidRDefault="00885FA6" w:rsidP="00192EA5">
            <w:pPr>
              <w:pStyle w:val="Heading2"/>
              <w:rPr>
                <w:color w:val="FFFFFF" w:themeColor="background1"/>
              </w:rPr>
            </w:pPr>
            <w:r w:rsidRPr="00192EA5">
              <w:rPr>
                <w:color w:val="FFFFFF" w:themeColor="background1"/>
              </w:rPr>
              <w:lastRenderedPageBreak/>
              <w:t>T</w:t>
            </w:r>
            <w:r w:rsidR="000F15B0" w:rsidRPr="00192EA5">
              <w:rPr>
                <w:color w:val="FFFFFF" w:themeColor="background1"/>
              </w:rPr>
              <w:t>ypes of treatment</w:t>
            </w:r>
          </w:p>
        </w:tc>
        <w:tc>
          <w:tcPr>
            <w:tcW w:w="7052" w:type="dxa"/>
            <w:shd w:val="clear" w:color="auto" w:fill="365F91" w:themeFill="accent1" w:themeFillShade="BF"/>
          </w:tcPr>
          <w:p w14:paraId="56A386D5" w14:textId="77777777" w:rsidR="00C07372" w:rsidRPr="00192EA5" w:rsidRDefault="00C07372" w:rsidP="00192EA5">
            <w:pPr>
              <w:pStyle w:val="Heading2"/>
              <w:rPr>
                <w:color w:val="FFFFFF" w:themeColor="background1"/>
              </w:rPr>
            </w:pPr>
            <w:r w:rsidRPr="00192EA5">
              <w:rPr>
                <w:color w:val="FFFFFF" w:themeColor="background1"/>
              </w:rPr>
              <w:t>Example</w:t>
            </w:r>
          </w:p>
        </w:tc>
      </w:tr>
      <w:tr w:rsidR="00C07372" w:rsidRPr="002D3286" w14:paraId="56A386DC" w14:textId="77777777" w:rsidTr="00192EA5">
        <w:trPr>
          <w:trHeight w:val="20"/>
        </w:trPr>
        <w:tc>
          <w:tcPr>
            <w:tcW w:w="2518" w:type="dxa"/>
            <w:shd w:val="clear" w:color="auto" w:fill="auto"/>
          </w:tcPr>
          <w:p w14:paraId="56A386D7" w14:textId="77777777" w:rsidR="00C07372" w:rsidRPr="002D3286" w:rsidRDefault="00C07372" w:rsidP="00841E86">
            <w:pPr>
              <w:spacing w:after="120"/>
              <w:rPr>
                <w:rFonts w:cs="Arial"/>
              </w:rPr>
            </w:pPr>
            <w:r w:rsidRPr="002D3286">
              <w:rPr>
                <w:rFonts w:cs="Arial"/>
              </w:rPr>
              <w:t>Immediate treatment as an in-patient in a hospital</w:t>
            </w:r>
          </w:p>
        </w:tc>
        <w:tc>
          <w:tcPr>
            <w:tcW w:w="7052" w:type="dxa"/>
            <w:shd w:val="clear" w:color="auto" w:fill="auto"/>
          </w:tcPr>
          <w:p w14:paraId="56A386D8" w14:textId="77777777" w:rsidR="00C07372" w:rsidRPr="002D3286" w:rsidRDefault="00C07372" w:rsidP="00841E86">
            <w:pPr>
              <w:spacing w:after="120"/>
              <w:rPr>
                <w:rFonts w:cs="Arial"/>
              </w:rPr>
            </w:pPr>
            <w:r w:rsidRPr="002D3286">
              <w:rPr>
                <w:rFonts w:cs="Arial"/>
              </w:rPr>
              <w:t>Admission into a hospital as an in-patient for any duration, even if the stay is not overnight or longer.</w:t>
            </w:r>
          </w:p>
          <w:p w14:paraId="56A386D9" w14:textId="77777777" w:rsidR="00C07372" w:rsidRPr="002D3286" w:rsidRDefault="00C07372" w:rsidP="00841E86">
            <w:pPr>
              <w:spacing w:after="120"/>
              <w:rPr>
                <w:rFonts w:cs="Arial"/>
                <w:b/>
                <w:color w:val="000000"/>
                <w:u w:val="single"/>
              </w:rPr>
            </w:pPr>
            <w:r w:rsidRPr="002D3286">
              <w:rPr>
                <w:rFonts w:cs="Arial"/>
                <w:b/>
                <w:color w:val="000000"/>
                <w:u w:val="single"/>
              </w:rPr>
              <w:t>It does not include:</w:t>
            </w:r>
          </w:p>
          <w:p w14:paraId="56A386DA" w14:textId="77777777" w:rsidR="00C07372" w:rsidRPr="00307F3C" w:rsidRDefault="00C07372" w:rsidP="00307F3C">
            <w:pPr>
              <w:pStyle w:val="ListParagraph"/>
              <w:numPr>
                <w:ilvl w:val="0"/>
                <w:numId w:val="9"/>
              </w:numPr>
              <w:spacing w:before="60"/>
              <w:ind w:left="340" w:hanging="340"/>
              <w:contextualSpacing w:val="0"/>
              <w:rPr>
                <w:rFonts w:cs="Arial"/>
                <w:color w:val="000000"/>
              </w:rPr>
            </w:pPr>
            <w:r w:rsidRPr="00307F3C">
              <w:rPr>
                <w:rFonts w:cs="Arial"/>
                <w:color w:val="000000"/>
              </w:rPr>
              <w:t>Out-patient treatment provided by the emergency section of a hospital (i.e. not requiring admission as an in-patient)</w:t>
            </w:r>
          </w:p>
          <w:p w14:paraId="56A386DB" w14:textId="77777777" w:rsidR="00C07372" w:rsidRPr="002D3286" w:rsidRDefault="00240067" w:rsidP="00307F3C">
            <w:pPr>
              <w:pStyle w:val="ListParagraph"/>
              <w:numPr>
                <w:ilvl w:val="0"/>
                <w:numId w:val="9"/>
              </w:numPr>
              <w:spacing w:before="60"/>
              <w:ind w:left="340" w:hanging="340"/>
              <w:contextualSpacing w:val="0"/>
              <w:rPr>
                <w:rFonts w:cs="Arial"/>
              </w:rPr>
            </w:pPr>
            <w:r w:rsidRPr="00307F3C">
              <w:rPr>
                <w:rFonts w:cs="Arial"/>
                <w:color w:val="000000"/>
              </w:rPr>
              <w:t xml:space="preserve">Admission for corrective surgery which does not immediately follow the injury </w:t>
            </w:r>
            <w:r w:rsidR="00227333" w:rsidRPr="00307F3C">
              <w:rPr>
                <w:rFonts w:cs="Arial"/>
                <w:color w:val="000000"/>
              </w:rPr>
              <w:t xml:space="preserve">(e.g. </w:t>
            </w:r>
            <w:r w:rsidR="00C07372" w:rsidRPr="00307F3C">
              <w:rPr>
                <w:rFonts w:cs="Arial"/>
                <w:color w:val="000000"/>
              </w:rPr>
              <w:t>to fix a fractured nose</w:t>
            </w:r>
            <w:r w:rsidR="00227333" w:rsidRPr="00307F3C">
              <w:rPr>
                <w:rFonts w:cs="Arial"/>
                <w:color w:val="000000"/>
              </w:rPr>
              <w:t>)</w:t>
            </w:r>
            <w:r w:rsidR="00C07372" w:rsidRPr="00307F3C">
              <w:rPr>
                <w:rFonts w:cs="Arial"/>
                <w:color w:val="000000"/>
              </w:rPr>
              <w:t>.</w:t>
            </w:r>
          </w:p>
        </w:tc>
      </w:tr>
      <w:tr w:rsidR="00C07372" w:rsidRPr="002D3286" w14:paraId="56A386DF" w14:textId="77777777" w:rsidTr="00192EA5">
        <w:trPr>
          <w:trHeight w:val="20"/>
        </w:trPr>
        <w:tc>
          <w:tcPr>
            <w:tcW w:w="2518" w:type="dxa"/>
            <w:shd w:val="clear" w:color="auto" w:fill="auto"/>
          </w:tcPr>
          <w:p w14:paraId="56A386DD" w14:textId="77777777" w:rsidR="00C07372" w:rsidRPr="002D3286" w:rsidRDefault="00C07372" w:rsidP="00841E86">
            <w:pPr>
              <w:spacing w:after="120"/>
              <w:rPr>
                <w:rFonts w:cs="Arial"/>
              </w:rPr>
            </w:pPr>
            <w:r w:rsidRPr="002D3286">
              <w:rPr>
                <w:rFonts w:cs="Arial"/>
              </w:rPr>
              <w:t>Immediate treatment for the amputation of any part of the body</w:t>
            </w:r>
          </w:p>
        </w:tc>
        <w:tc>
          <w:tcPr>
            <w:tcW w:w="7052" w:type="dxa"/>
            <w:shd w:val="clear" w:color="auto" w:fill="auto"/>
          </w:tcPr>
          <w:p w14:paraId="56A386DE" w14:textId="77777777" w:rsidR="00C07372" w:rsidRPr="002D3286" w:rsidRDefault="00C07372" w:rsidP="00637692">
            <w:pPr>
              <w:spacing w:after="120"/>
              <w:rPr>
                <w:rFonts w:cs="Arial"/>
                <w:b/>
              </w:rPr>
            </w:pPr>
            <w:r w:rsidRPr="002D3286">
              <w:rPr>
                <w:rFonts w:cs="Arial"/>
                <w:color w:val="000000"/>
              </w:rPr>
              <w:t xml:space="preserve">Amputation of a limb such as arm or leg, body part such as hand, </w:t>
            </w:r>
            <w:r w:rsidR="002B0C57">
              <w:rPr>
                <w:rFonts w:cs="Arial"/>
                <w:color w:val="000000"/>
              </w:rPr>
              <w:br/>
            </w:r>
            <w:r w:rsidRPr="002D3286">
              <w:rPr>
                <w:rFonts w:cs="Arial"/>
                <w:color w:val="000000"/>
              </w:rPr>
              <w:t>foot or the tip of a finger, toe, nose or ear.</w:t>
            </w:r>
          </w:p>
        </w:tc>
      </w:tr>
      <w:tr w:rsidR="00C07372" w:rsidRPr="002D3286" w14:paraId="56A386E5" w14:textId="77777777" w:rsidTr="00192EA5">
        <w:trPr>
          <w:trHeight w:val="20"/>
        </w:trPr>
        <w:tc>
          <w:tcPr>
            <w:tcW w:w="2518" w:type="dxa"/>
            <w:shd w:val="clear" w:color="auto" w:fill="auto"/>
          </w:tcPr>
          <w:p w14:paraId="56A386E0" w14:textId="77777777" w:rsidR="00C07372" w:rsidRPr="002D3286" w:rsidRDefault="00C07372" w:rsidP="00841E86">
            <w:pPr>
              <w:spacing w:after="120"/>
              <w:rPr>
                <w:rFonts w:cs="Arial"/>
              </w:rPr>
            </w:pPr>
            <w:r w:rsidRPr="002D3286">
              <w:rPr>
                <w:rFonts w:cs="Arial"/>
              </w:rPr>
              <w:t xml:space="preserve">Immediate treatment for a </w:t>
            </w:r>
            <w:r w:rsidRPr="008D4554">
              <w:rPr>
                <w:rFonts w:cs="Arial"/>
              </w:rPr>
              <w:t>serious</w:t>
            </w:r>
            <w:r w:rsidRPr="002D3286">
              <w:rPr>
                <w:rFonts w:cs="Arial"/>
              </w:rPr>
              <w:t xml:space="preserve"> head injury</w:t>
            </w:r>
          </w:p>
        </w:tc>
        <w:tc>
          <w:tcPr>
            <w:tcW w:w="7052" w:type="dxa"/>
            <w:shd w:val="clear" w:color="auto" w:fill="auto"/>
          </w:tcPr>
          <w:p w14:paraId="56A386E1" w14:textId="77777777" w:rsidR="00C07372" w:rsidRPr="002D3286" w:rsidRDefault="00C07372" w:rsidP="00307F3C">
            <w:pPr>
              <w:pStyle w:val="ListParagraph"/>
              <w:numPr>
                <w:ilvl w:val="0"/>
                <w:numId w:val="9"/>
              </w:numPr>
              <w:spacing w:before="60"/>
              <w:ind w:left="340" w:hanging="340"/>
              <w:contextualSpacing w:val="0"/>
              <w:rPr>
                <w:rFonts w:cs="Arial"/>
                <w:color w:val="000000"/>
              </w:rPr>
            </w:pPr>
            <w:r w:rsidRPr="002D3286">
              <w:rPr>
                <w:rFonts w:cs="Arial"/>
                <w:color w:val="000000"/>
              </w:rPr>
              <w:t>Fractured skull, loss of consciousness, blood clot or bleeding in the brain, damage to the skull to the extent that it is likely to affect organ/face function.</w:t>
            </w:r>
          </w:p>
          <w:p w14:paraId="56A386E2" w14:textId="77777777" w:rsidR="00C07372" w:rsidRPr="00B12D9D" w:rsidRDefault="00C07372" w:rsidP="00307F3C">
            <w:pPr>
              <w:pStyle w:val="ListParagraph"/>
              <w:numPr>
                <w:ilvl w:val="0"/>
                <w:numId w:val="9"/>
              </w:numPr>
              <w:spacing w:before="60"/>
              <w:ind w:left="340" w:hanging="340"/>
              <w:contextualSpacing w:val="0"/>
              <w:rPr>
                <w:rFonts w:cs="Arial"/>
              </w:rPr>
            </w:pPr>
            <w:r w:rsidRPr="002D3286">
              <w:rPr>
                <w:rFonts w:cs="Arial"/>
                <w:color w:val="000000"/>
              </w:rPr>
              <w:t>Head injuries resulting in temporary or permanent amnesia.</w:t>
            </w:r>
          </w:p>
          <w:p w14:paraId="56A386E3" w14:textId="77777777" w:rsidR="00B12D9D" w:rsidRPr="00092B56" w:rsidRDefault="00B12D9D" w:rsidP="00B12D9D">
            <w:pPr>
              <w:spacing w:after="120"/>
              <w:rPr>
                <w:rFonts w:cs="Arial"/>
                <w:b/>
                <w:u w:val="single"/>
              </w:rPr>
            </w:pPr>
            <w:r w:rsidRPr="00092B56">
              <w:rPr>
                <w:rFonts w:cs="Arial"/>
                <w:b/>
                <w:u w:val="single"/>
              </w:rPr>
              <w:t>It does not include:</w:t>
            </w:r>
          </w:p>
          <w:p w14:paraId="56A386E4" w14:textId="77777777" w:rsidR="00B12D9D" w:rsidRPr="00B12D9D" w:rsidRDefault="00B12D9D" w:rsidP="002B0C57">
            <w:pPr>
              <w:rPr>
                <w:rFonts w:cs="Arial"/>
              </w:rPr>
            </w:pPr>
            <w:r w:rsidRPr="00092B56">
              <w:t xml:space="preserve">A bump to the head </w:t>
            </w:r>
            <w:r w:rsidR="002B0C57">
              <w:t>resulting</w:t>
            </w:r>
            <w:r w:rsidRPr="00092B56">
              <w:t xml:space="preserve"> in a minor contusion or headache.</w:t>
            </w:r>
          </w:p>
        </w:tc>
      </w:tr>
      <w:tr w:rsidR="00C07372" w:rsidRPr="002D3286" w14:paraId="56A386EC" w14:textId="77777777" w:rsidTr="00192EA5">
        <w:trPr>
          <w:trHeight w:val="20"/>
        </w:trPr>
        <w:tc>
          <w:tcPr>
            <w:tcW w:w="2518" w:type="dxa"/>
            <w:shd w:val="clear" w:color="auto" w:fill="auto"/>
          </w:tcPr>
          <w:p w14:paraId="56A386E6" w14:textId="77777777" w:rsidR="00C07372" w:rsidRPr="002D3286" w:rsidRDefault="00C07372" w:rsidP="00841E86">
            <w:pPr>
              <w:spacing w:after="120"/>
              <w:rPr>
                <w:rFonts w:cs="Arial"/>
              </w:rPr>
            </w:pPr>
            <w:r w:rsidRPr="002D3286">
              <w:rPr>
                <w:rFonts w:cs="Arial"/>
              </w:rPr>
              <w:t xml:space="preserve">Immediate treatment for a </w:t>
            </w:r>
            <w:r w:rsidRPr="008D4554">
              <w:rPr>
                <w:rFonts w:cs="Arial"/>
              </w:rPr>
              <w:t>serious</w:t>
            </w:r>
            <w:r w:rsidRPr="002D3286">
              <w:rPr>
                <w:rFonts w:cs="Arial"/>
              </w:rPr>
              <w:t xml:space="preserve"> eye injury</w:t>
            </w:r>
          </w:p>
        </w:tc>
        <w:tc>
          <w:tcPr>
            <w:tcW w:w="7052" w:type="dxa"/>
            <w:shd w:val="clear" w:color="auto" w:fill="auto"/>
          </w:tcPr>
          <w:p w14:paraId="56A386E7" w14:textId="77777777" w:rsidR="00C07372" w:rsidRPr="002D3286" w:rsidRDefault="00C07372" w:rsidP="00307F3C">
            <w:pPr>
              <w:pStyle w:val="ListParagraph"/>
              <w:numPr>
                <w:ilvl w:val="0"/>
                <w:numId w:val="9"/>
              </w:numPr>
              <w:spacing w:before="60"/>
              <w:ind w:left="340" w:hanging="340"/>
              <w:contextualSpacing w:val="0"/>
              <w:rPr>
                <w:rFonts w:cs="Arial"/>
                <w:color w:val="000000"/>
              </w:rPr>
            </w:pPr>
            <w:r w:rsidRPr="002D3286">
              <w:rPr>
                <w:rFonts w:cs="Arial"/>
                <w:color w:val="000000"/>
              </w:rPr>
              <w:t>Injury that results in or is likely to result in the loss of the eye or total or partial loss of vision.</w:t>
            </w:r>
          </w:p>
          <w:p w14:paraId="56A386E8" w14:textId="77777777" w:rsidR="00C07372" w:rsidRPr="002D3286" w:rsidRDefault="00C07372" w:rsidP="00307F3C">
            <w:pPr>
              <w:pStyle w:val="ListParagraph"/>
              <w:numPr>
                <w:ilvl w:val="0"/>
                <w:numId w:val="9"/>
              </w:numPr>
              <w:spacing w:before="60"/>
              <w:ind w:left="340" w:hanging="340"/>
              <w:contextualSpacing w:val="0"/>
              <w:rPr>
                <w:rFonts w:cs="Arial"/>
                <w:color w:val="000000"/>
              </w:rPr>
            </w:pPr>
            <w:r w:rsidRPr="002D3286">
              <w:rPr>
                <w:rFonts w:cs="Arial"/>
                <w:color w:val="000000"/>
              </w:rPr>
              <w:t>Injury that involves an object penetrating the eye (for example metal fragment, wood chip).</w:t>
            </w:r>
          </w:p>
          <w:p w14:paraId="56A386E9" w14:textId="77777777" w:rsidR="00C07372" w:rsidRPr="002D3286" w:rsidRDefault="00C07372" w:rsidP="00307F3C">
            <w:pPr>
              <w:pStyle w:val="ListParagraph"/>
              <w:numPr>
                <w:ilvl w:val="0"/>
                <w:numId w:val="9"/>
              </w:numPr>
              <w:spacing w:before="60"/>
              <w:ind w:left="340" w:hanging="340"/>
              <w:contextualSpacing w:val="0"/>
              <w:rPr>
                <w:rFonts w:cs="Arial"/>
                <w:color w:val="000000"/>
              </w:rPr>
            </w:pPr>
            <w:r w:rsidRPr="002D3286">
              <w:rPr>
                <w:rFonts w:cs="Arial"/>
                <w:color w:val="000000"/>
              </w:rPr>
              <w:t xml:space="preserve">Exposure of the eye to a substance which poses a risk of </w:t>
            </w:r>
            <w:r w:rsidRPr="00307F3C">
              <w:rPr>
                <w:rFonts w:cs="Arial"/>
                <w:color w:val="000000"/>
              </w:rPr>
              <w:t xml:space="preserve">serious </w:t>
            </w:r>
            <w:r w:rsidRPr="002D3286">
              <w:rPr>
                <w:rFonts w:cs="Arial"/>
                <w:color w:val="000000"/>
              </w:rPr>
              <w:t>eye damage.</w:t>
            </w:r>
          </w:p>
          <w:p w14:paraId="56A386EA" w14:textId="77777777" w:rsidR="00C07372" w:rsidRPr="002D3286" w:rsidRDefault="00C07372" w:rsidP="00841E86">
            <w:pPr>
              <w:spacing w:after="120"/>
              <w:rPr>
                <w:rFonts w:cs="Arial"/>
                <w:b/>
                <w:color w:val="000000"/>
                <w:u w:val="single"/>
              </w:rPr>
            </w:pPr>
            <w:r w:rsidRPr="002D3286">
              <w:rPr>
                <w:rFonts w:cs="Arial"/>
                <w:b/>
                <w:color w:val="000000"/>
                <w:u w:val="single"/>
              </w:rPr>
              <w:t>It does not include:</w:t>
            </w:r>
          </w:p>
          <w:p w14:paraId="56A386EB" w14:textId="77777777" w:rsidR="00C07372" w:rsidRPr="002D3286" w:rsidRDefault="00C07372" w:rsidP="00841E86">
            <w:pPr>
              <w:spacing w:after="120"/>
              <w:rPr>
                <w:rFonts w:cs="Arial"/>
              </w:rPr>
            </w:pPr>
            <w:r w:rsidRPr="002D3286">
              <w:rPr>
                <w:rFonts w:cs="Arial"/>
                <w:color w:val="000000"/>
              </w:rPr>
              <w:t>Eye exposure to a substance that merely causes irritation.</w:t>
            </w:r>
          </w:p>
        </w:tc>
      </w:tr>
      <w:tr w:rsidR="00C07372" w:rsidRPr="002D3286" w14:paraId="56A386F1" w14:textId="77777777" w:rsidTr="00192EA5">
        <w:trPr>
          <w:trHeight w:val="20"/>
        </w:trPr>
        <w:tc>
          <w:tcPr>
            <w:tcW w:w="2518" w:type="dxa"/>
            <w:shd w:val="clear" w:color="auto" w:fill="auto"/>
          </w:tcPr>
          <w:p w14:paraId="56A386ED" w14:textId="77777777" w:rsidR="00C07372" w:rsidRPr="002D3286" w:rsidRDefault="00C07372" w:rsidP="00841E86">
            <w:pPr>
              <w:spacing w:after="120"/>
              <w:rPr>
                <w:rFonts w:cs="Arial"/>
              </w:rPr>
            </w:pPr>
            <w:r w:rsidRPr="002D3286">
              <w:rPr>
                <w:rFonts w:cs="Arial"/>
              </w:rPr>
              <w:t xml:space="preserve">Immediate treatment for a </w:t>
            </w:r>
            <w:r w:rsidRPr="008D4554">
              <w:rPr>
                <w:rFonts w:cs="Arial"/>
              </w:rPr>
              <w:t>serious</w:t>
            </w:r>
            <w:r w:rsidRPr="002D3286">
              <w:rPr>
                <w:rFonts w:cs="Arial"/>
              </w:rPr>
              <w:t xml:space="preserve"> burn</w:t>
            </w:r>
          </w:p>
        </w:tc>
        <w:tc>
          <w:tcPr>
            <w:tcW w:w="7052" w:type="dxa"/>
            <w:shd w:val="clear" w:color="auto" w:fill="auto"/>
          </w:tcPr>
          <w:p w14:paraId="56A386EE" w14:textId="77777777" w:rsidR="00C07372" w:rsidRPr="002D3286" w:rsidRDefault="00C07372" w:rsidP="00841E86">
            <w:pPr>
              <w:spacing w:after="120"/>
              <w:rPr>
                <w:rFonts w:cs="Arial"/>
                <w:color w:val="000000"/>
              </w:rPr>
            </w:pPr>
            <w:r w:rsidRPr="002D3286">
              <w:rPr>
                <w:rFonts w:cs="Arial"/>
                <w:color w:val="000000"/>
              </w:rPr>
              <w:t>A burn requiring intensive care or critical care which could require compression garment or a skin graft.</w:t>
            </w:r>
          </w:p>
          <w:p w14:paraId="56A386EF" w14:textId="77777777" w:rsidR="00C07372" w:rsidRPr="002D3286" w:rsidRDefault="00C07372" w:rsidP="00841E86">
            <w:pPr>
              <w:spacing w:after="120"/>
              <w:rPr>
                <w:rFonts w:cs="Arial"/>
                <w:b/>
                <w:color w:val="000000"/>
                <w:u w:val="single"/>
              </w:rPr>
            </w:pPr>
            <w:r w:rsidRPr="002D3286">
              <w:rPr>
                <w:rFonts w:cs="Arial"/>
                <w:b/>
                <w:color w:val="000000"/>
                <w:u w:val="single"/>
              </w:rPr>
              <w:t>It does not include:</w:t>
            </w:r>
          </w:p>
          <w:p w14:paraId="56A386F0" w14:textId="77777777" w:rsidR="00C07372" w:rsidRPr="002D3286" w:rsidRDefault="00C07372" w:rsidP="00841E86">
            <w:pPr>
              <w:spacing w:after="120"/>
              <w:rPr>
                <w:rFonts w:cs="Arial"/>
              </w:rPr>
            </w:pPr>
            <w:r w:rsidRPr="002D3286">
              <w:rPr>
                <w:rFonts w:cs="Arial"/>
                <w:color w:val="000000"/>
              </w:rPr>
              <w:t>A burn that merely requires washing the wound and applying a dressing.</w:t>
            </w:r>
          </w:p>
        </w:tc>
      </w:tr>
      <w:tr w:rsidR="00C07372" w:rsidRPr="002D3286" w14:paraId="56A386F6" w14:textId="77777777" w:rsidTr="00192EA5">
        <w:trPr>
          <w:trHeight w:val="20"/>
        </w:trPr>
        <w:tc>
          <w:tcPr>
            <w:tcW w:w="2518" w:type="dxa"/>
            <w:shd w:val="clear" w:color="auto" w:fill="auto"/>
          </w:tcPr>
          <w:p w14:paraId="56A386F2" w14:textId="77777777" w:rsidR="00C07372" w:rsidRPr="002D3286" w:rsidRDefault="00C07372" w:rsidP="00841E86">
            <w:pPr>
              <w:spacing w:after="120"/>
              <w:rPr>
                <w:rFonts w:cs="Arial"/>
              </w:rPr>
            </w:pPr>
            <w:r w:rsidRPr="002D3286">
              <w:rPr>
                <w:rFonts w:cs="Arial"/>
              </w:rPr>
              <w:t>Immediate treatment for the separation of skin from an underlying tissue (such as de</w:t>
            </w:r>
            <w:r w:rsidR="00092B56">
              <w:rPr>
                <w:rFonts w:cs="Arial"/>
              </w:rPr>
              <w:t>-</w:t>
            </w:r>
            <w:r w:rsidRPr="002D3286">
              <w:rPr>
                <w:rFonts w:cs="Arial"/>
              </w:rPr>
              <w:t>gloving or scalping)</w:t>
            </w:r>
          </w:p>
        </w:tc>
        <w:tc>
          <w:tcPr>
            <w:tcW w:w="7052" w:type="dxa"/>
            <w:shd w:val="clear" w:color="auto" w:fill="auto"/>
          </w:tcPr>
          <w:p w14:paraId="56A386F3" w14:textId="77777777" w:rsidR="00C07372" w:rsidRDefault="00C07372" w:rsidP="00841E86">
            <w:pPr>
              <w:spacing w:after="120"/>
              <w:rPr>
                <w:rFonts w:cs="Arial"/>
                <w:color w:val="000000"/>
              </w:rPr>
            </w:pPr>
            <w:r w:rsidRPr="002D3286">
              <w:rPr>
                <w:rFonts w:cs="Arial"/>
                <w:color w:val="000000"/>
              </w:rPr>
              <w:t>Separation of skin from an underlying tissue such that tendon, bone or muscles are exposed (de</w:t>
            </w:r>
            <w:r w:rsidR="00092B56">
              <w:rPr>
                <w:rFonts w:cs="Arial"/>
                <w:color w:val="000000"/>
              </w:rPr>
              <w:t>-</w:t>
            </w:r>
            <w:r w:rsidRPr="002D3286">
              <w:rPr>
                <w:rFonts w:cs="Arial"/>
                <w:color w:val="000000"/>
              </w:rPr>
              <w:t>gloving or scalping).</w:t>
            </w:r>
          </w:p>
          <w:p w14:paraId="56A386F4" w14:textId="77777777" w:rsidR="0026524A" w:rsidRPr="00092B56" w:rsidRDefault="0026524A" w:rsidP="0026524A">
            <w:pPr>
              <w:rPr>
                <w:b/>
                <w:u w:val="single"/>
              </w:rPr>
            </w:pPr>
            <w:r w:rsidRPr="00092B56">
              <w:rPr>
                <w:b/>
                <w:u w:val="single"/>
              </w:rPr>
              <w:t>It does not include</w:t>
            </w:r>
            <w:r w:rsidR="00637692" w:rsidRPr="00092B56">
              <w:rPr>
                <w:b/>
                <w:u w:val="single"/>
              </w:rPr>
              <w:t>:</w:t>
            </w:r>
          </w:p>
          <w:p w14:paraId="56A386F5" w14:textId="77777777" w:rsidR="0026524A" w:rsidRPr="002D3286" w:rsidRDefault="0026524A" w:rsidP="006D580B">
            <w:pPr>
              <w:spacing w:after="120"/>
              <w:rPr>
                <w:rFonts w:cs="Arial"/>
              </w:rPr>
            </w:pPr>
            <w:r w:rsidRPr="00092B56">
              <w:t>Minor lacerations.</w:t>
            </w:r>
          </w:p>
        </w:tc>
      </w:tr>
      <w:tr w:rsidR="00C07372" w:rsidRPr="002D3286" w14:paraId="56A386FB" w14:textId="77777777" w:rsidTr="000D48C4">
        <w:trPr>
          <w:trHeight w:val="2363"/>
        </w:trPr>
        <w:tc>
          <w:tcPr>
            <w:tcW w:w="2518" w:type="dxa"/>
            <w:shd w:val="clear" w:color="auto" w:fill="auto"/>
          </w:tcPr>
          <w:p w14:paraId="56A386F7" w14:textId="77777777" w:rsidR="00C07372" w:rsidRPr="002D3286" w:rsidRDefault="00C07372" w:rsidP="00841E86">
            <w:pPr>
              <w:spacing w:after="120"/>
              <w:rPr>
                <w:rFonts w:cs="Arial"/>
              </w:rPr>
            </w:pPr>
            <w:r w:rsidRPr="002D3286">
              <w:rPr>
                <w:rFonts w:cs="Arial"/>
              </w:rPr>
              <w:t>Immediate treatment for a spinal injury</w:t>
            </w:r>
          </w:p>
        </w:tc>
        <w:tc>
          <w:tcPr>
            <w:tcW w:w="7052" w:type="dxa"/>
            <w:shd w:val="clear" w:color="auto" w:fill="auto"/>
          </w:tcPr>
          <w:p w14:paraId="56A386F8" w14:textId="77777777" w:rsidR="00C07372" w:rsidRDefault="00C07372" w:rsidP="00841E86">
            <w:pPr>
              <w:spacing w:after="120"/>
              <w:rPr>
                <w:rFonts w:cs="Arial"/>
                <w:color w:val="000000"/>
              </w:rPr>
            </w:pPr>
            <w:r w:rsidRPr="002D3286">
              <w:rPr>
                <w:rFonts w:cs="Arial"/>
                <w:color w:val="000000"/>
              </w:rPr>
              <w:t>Injury to the cervical, thoracic, lumbar or sacral vertebrae including the discs and spinal cord.</w:t>
            </w:r>
          </w:p>
          <w:p w14:paraId="56A386F9" w14:textId="77777777" w:rsidR="00DB553B" w:rsidRPr="00092B56" w:rsidRDefault="00DB553B" w:rsidP="00DB553B">
            <w:pPr>
              <w:rPr>
                <w:b/>
                <w:u w:val="single"/>
              </w:rPr>
            </w:pPr>
            <w:r w:rsidRPr="00092B56">
              <w:rPr>
                <w:b/>
                <w:u w:val="single"/>
              </w:rPr>
              <w:t>It does not include</w:t>
            </w:r>
            <w:r w:rsidR="00637692" w:rsidRPr="00092B56">
              <w:rPr>
                <w:b/>
                <w:u w:val="single"/>
              </w:rPr>
              <w:t>:</w:t>
            </w:r>
          </w:p>
          <w:p w14:paraId="56A386FA" w14:textId="77777777" w:rsidR="00DB553B" w:rsidRPr="002D3286" w:rsidRDefault="00DB553B" w:rsidP="00DB553B">
            <w:pPr>
              <w:spacing w:after="120"/>
              <w:rPr>
                <w:rFonts w:cs="Arial"/>
              </w:rPr>
            </w:pPr>
            <w:r w:rsidRPr="00092B56">
              <w:t>Acute back strain.</w:t>
            </w:r>
          </w:p>
        </w:tc>
      </w:tr>
      <w:tr w:rsidR="00C07372" w:rsidRPr="002D3286" w14:paraId="56A38701" w14:textId="77777777" w:rsidTr="00192EA5">
        <w:trPr>
          <w:trHeight w:val="20"/>
        </w:trPr>
        <w:tc>
          <w:tcPr>
            <w:tcW w:w="2518" w:type="dxa"/>
            <w:shd w:val="clear" w:color="auto" w:fill="auto"/>
          </w:tcPr>
          <w:p w14:paraId="56A386FC" w14:textId="77777777" w:rsidR="00C07372" w:rsidRPr="002D3286" w:rsidRDefault="00C07372" w:rsidP="00841E86">
            <w:pPr>
              <w:spacing w:after="120"/>
              <w:rPr>
                <w:rFonts w:cs="Arial"/>
              </w:rPr>
            </w:pPr>
            <w:r w:rsidRPr="002D3286">
              <w:rPr>
                <w:rFonts w:cs="Arial"/>
              </w:rPr>
              <w:lastRenderedPageBreak/>
              <w:t>Immediate treatment for the loss of a bodily function</w:t>
            </w:r>
          </w:p>
        </w:tc>
        <w:tc>
          <w:tcPr>
            <w:tcW w:w="7052" w:type="dxa"/>
            <w:shd w:val="clear" w:color="auto" w:fill="auto"/>
          </w:tcPr>
          <w:p w14:paraId="56A386FD" w14:textId="77777777" w:rsidR="00C07372" w:rsidRPr="002D3286" w:rsidRDefault="00C07372" w:rsidP="00841E86">
            <w:pPr>
              <w:spacing w:after="120"/>
              <w:rPr>
                <w:rFonts w:cs="Arial"/>
                <w:color w:val="000000"/>
              </w:rPr>
            </w:pPr>
            <w:r w:rsidRPr="002D3286">
              <w:rPr>
                <w:rFonts w:cs="Arial"/>
                <w:color w:val="000000"/>
              </w:rPr>
              <w:t>Loss of consciousness, loss of movement of a limb or loss of the sense of smell, taste, sight or hearing, or loss of function of an internal organ.</w:t>
            </w:r>
          </w:p>
          <w:p w14:paraId="56A386FE" w14:textId="77777777" w:rsidR="00C07372" w:rsidRPr="002D3286" w:rsidRDefault="00C07372" w:rsidP="00841E86">
            <w:pPr>
              <w:spacing w:after="120"/>
              <w:rPr>
                <w:rFonts w:cs="Arial"/>
                <w:b/>
                <w:color w:val="000000"/>
                <w:u w:val="single"/>
              </w:rPr>
            </w:pPr>
            <w:r w:rsidRPr="002D3286">
              <w:rPr>
                <w:rFonts w:cs="Arial"/>
                <w:b/>
                <w:color w:val="000000"/>
                <w:u w:val="single"/>
              </w:rPr>
              <w:t>It does not include:</w:t>
            </w:r>
          </w:p>
          <w:p w14:paraId="56A386FF" w14:textId="77777777" w:rsidR="00C07372" w:rsidRPr="00307F3C" w:rsidRDefault="002B0C57" w:rsidP="00307F3C">
            <w:pPr>
              <w:pStyle w:val="ListParagraph"/>
              <w:numPr>
                <w:ilvl w:val="0"/>
                <w:numId w:val="9"/>
              </w:numPr>
              <w:spacing w:before="60"/>
              <w:ind w:left="340" w:hanging="340"/>
              <w:contextualSpacing w:val="0"/>
              <w:rPr>
                <w:rFonts w:cs="Arial"/>
                <w:color w:val="000000"/>
              </w:rPr>
            </w:pPr>
            <w:r>
              <w:rPr>
                <w:rFonts w:cs="Arial"/>
                <w:color w:val="000000"/>
              </w:rPr>
              <w:t>M</w:t>
            </w:r>
            <w:r w:rsidR="00C07372" w:rsidRPr="00307F3C">
              <w:rPr>
                <w:rFonts w:cs="Arial"/>
                <w:color w:val="000000"/>
              </w:rPr>
              <w:t>ere fainting</w:t>
            </w:r>
          </w:p>
          <w:p w14:paraId="56A38700" w14:textId="77777777" w:rsidR="00C07372" w:rsidRPr="002D3286" w:rsidRDefault="002B0C57" w:rsidP="00307F3C">
            <w:pPr>
              <w:pStyle w:val="ListParagraph"/>
              <w:numPr>
                <w:ilvl w:val="0"/>
                <w:numId w:val="9"/>
              </w:numPr>
              <w:spacing w:before="60"/>
              <w:ind w:left="340" w:hanging="340"/>
              <w:contextualSpacing w:val="0"/>
              <w:rPr>
                <w:rFonts w:cs="Arial"/>
              </w:rPr>
            </w:pPr>
            <w:r>
              <w:rPr>
                <w:rFonts w:cs="Arial"/>
                <w:color w:val="000000"/>
              </w:rPr>
              <w:t>A</w:t>
            </w:r>
            <w:r w:rsidR="00C07372" w:rsidRPr="00307F3C">
              <w:rPr>
                <w:rFonts w:cs="Arial"/>
                <w:color w:val="000000"/>
              </w:rPr>
              <w:t xml:space="preserve"> sprain</w:t>
            </w:r>
            <w:r w:rsidR="00092B56" w:rsidRPr="00307F3C">
              <w:rPr>
                <w:rFonts w:cs="Arial"/>
                <w:color w:val="000000"/>
              </w:rPr>
              <w:t xml:space="preserve"> or</w:t>
            </w:r>
            <w:r w:rsidR="00C07372" w:rsidRPr="00307F3C">
              <w:rPr>
                <w:rFonts w:cs="Arial"/>
                <w:color w:val="000000"/>
              </w:rPr>
              <w:t xml:space="preserve"> strain</w:t>
            </w:r>
            <w:r w:rsidR="00092B56" w:rsidRPr="00307F3C">
              <w:rPr>
                <w:rFonts w:cs="Arial"/>
                <w:color w:val="000000"/>
              </w:rPr>
              <w:t>.</w:t>
            </w:r>
          </w:p>
        </w:tc>
      </w:tr>
      <w:tr w:rsidR="00C07372" w:rsidRPr="002D3286" w14:paraId="56A38706" w14:textId="77777777" w:rsidTr="00192EA5">
        <w:trPr>
          <w:trHeight w:val="20"/>
        </w:trPr>
        <w:tc>
          <w:tcPr>
            <w:tcW w:w="2518" w:type="dxa"/>
            <w:shd w:val="clear" w:color="auto" w:fill="auto"/>
          </w:tcPr>
          <w:p w14:paraId="56A38702" w14:textId="77777777" w:rsidR="00C07372" w:rsidRPr="00DB553B" w:rsidRDefault="00C07372" w:rsidP="000577F7">
            <w:pPr>
              <w:spacing w:after="120"/>
              <w:rPr>
                <w:rFonts w:cs="Arial"/>
                <w:color w:val="FF0000"/>
              </w:rPr>
            </w:pPr>
            <w:r w:rsidRPr="002D3286">
              <w:rPr>
                <w:rFonts w:cs="Arial"/>
              </w:rPr>
              <w:t xml:space="preserve">Immediate treatment for </w:t>
            </w:r>
            <w:r w:rsidRPr="008D4554">
              <w:rPr>
                <w:rFonts w:cs="Arial"/>
              </w:rPr>
              <w:t xml:space="preserve">serious </w:t>
            </w:r>
            <w:r w:rsidRPr="002D3286">
              <w:rPr>
                <w:rFonts w:cs="Arial"/>
              </w:rPr>
              <w:t>lacerations</w:t>
            </w:r>
          </w:p>
        </w:tc>
        <w:tc>
          <w:tcPr>
            <w:tcW w:w="7052" w:type="dxa"/>
            <w:shd w:val="clear" w:color="auto" w:fill="auto"/>
          </w:tcPr>
          <w:p w14:paraId="56A38703" w14:textId="77777777" w:rsidR="00C07372" w:rsidRPr="00307F3C" w:rsidRDefault="00637692" w:rsidP="00307F3C">
            <w:pPr>
              <w:pStyle w:val="ListParagraph"/>
              <w:numPr>
                <w:ilvl w:val="0"/>
                <w:numId w:val="9"/>
              </w:numPr>
              <w:spacing w:before="60"/>
              <w:ind w:left="340" w:hanging="340"/>
              <w:contextualSpacing w:val="0"/>
              <w:rPr>
                <w:rFonts w:cs="Arial"/>
                <w:color w:val="000000"/>
              </w:rPr>
            </w:pPr>
            <w:r w:rsidRPr="00307F3C">
              <w:rPr>
                <w:rFonts w:cs="Arial"/>
                <w:color w:val="000000"/>
              </w:rPr>
              <w:t xml:space="preserve">Deep or extensive cuts </w:t>
            </w:r>
            <w:r w:rsidR="00C07372" w:rsidRPr="00307F3C">
              <w:rPr>
                <w:rFonts w:cs="Arial"/>
                <w:color w:val="000000"/>
              </w:rPr>
              <w:t>that cause muscle, tendon, nerve or blood vessel damage or permanent impairment.</w:t>
            </w:r>
          </w:p>
          <w:p w14:paraId="56A38704" w14:textId="77777777" w:rsidR="00DB553B" w:rsidRPr="00307F3C" w:rsidRDefault="00DB553B" w:rsidP="00307F3C">
            <w:pPr>
              <w:pStyle w:val="ListParagraph"/>
              <w:numPr>
                <w:ilvl w:val="0"/>
                <w:numId w:val="9"/>
              </w:numPr>
              <w:spacing w:before="60"/>
              <w:ind w:left="340" w:hanging="340"/>
              <w:contextualSpacing w:val="0"/>
              <w:rPr>
                <w:rFonts w:cs="Arial"/>
                <w:color w:val="000000"/>
              </w:rPr>
            </w:pPr>
            <w:r w:rsidRPr="00307F3C">
              <w:rPr>
                <w:rFonts w:cs="Arial"/>
                <w:color w:val="000000"/>
              </w:rPr>
              <w:t>Deep puncture wound</w:t>
            </w:r>
            <w:r w:rsidR="00637692" w:rsidRPr="00307F3C">
              <w:rPr>
                <w:rFonts w:cs="Arial"/>
                <w:color w:val="000000"/>
              </w:rPr>
              <w:t>s</w:t>
            </w:r>
            <w:r w:rsidRPr="00307F3C">
              <w:rPr>
                <w:rFonts w:cs="Arial"/>
                <w:color w:val="000000"/>
              </w:rPr>
              <w:t>.</w:t>
            </w:r>
          </w:p>
          <w:p w14:paraId="56A38705" w14:textId="77777777" w:rsidR="0043319F" w:rsidRPr="0043319F" w:rsidRDefault="00C07372" w:rsidP="00307F3C">
            <w:pPr>
              <w:pStyle w:val="ListParagraph"/>
              <w:numPr>
                <w:ilvl w:val="0"/>
                <w:numId w:val="9"/>
              </w:numPr>
              <w:spacing w:before="60"/>
              <w:ind w:left="340" w:hanging="340"/>
              <w:contextualSpacing w:val="0"/>
              <w:rPr>
                <w:rFonts w:cs="Arial"/>
              </w:rPr>
            </w:pPr>
            <w:r w:rsidRPr="002D3286">
              <w:rPr>
                <w:rFonts w:cs="Arial"/>
                <w:color w:val="000000"/>
              </w:rPr>
              <w:t>Tears of wounds to the flesh or tissues—this may include stitching to prevent loss of blood and/or other treatment to prevent loss of bodily function and/or infection.</w:t>
            </w:r>
          </w:p>
        </w:tc>
      </w:tr>
      <w:tr w:rsidR="00C07372" w:rsidRPr="002D3286" w14:paraId="56A3870B" w14:textId="77777777" w:rsidTr="00192EA5">
        <w:trPr>
          <w:trHeight w:val="20"/>
        </w:trPr>
        <w:tc>
          <w:tcPr>
            <w:tcW w:w="2518" w:type="dxa"/>
            <w:shd w:val="clear" w:color="auto" w:fill="auto"/>
          </w:tcPr>
          <w:p w14:paraId="56A38707" w14:textId="77777777" w:rsidR="000F15B0" w:rsidRPr="002D3286" w:rsidRDefault="00C07372" w:rsidP="000F15B0">
            <w:pPr>
              <w:spacing w:after="120"/>
              <w:rPr>
                <w:rFonts w:cs="Arial"/>
              </w:rPr>
            </w:pPr>
            <w:r w:rsidRPr="002D3286">
              <w:rPr>
                <w:rFonts w:cs="Arial"/>
              </w:rPr>
              <w:t>Medical treatment within 48 hours of exposure to</w:t>
            </w:r>
            <w:r w:rsidR="000F15B0" w:rsidRPr="00DB553B">
              <w:rPr>
                <w:rFonts w:cs="Arial"/>
              </w:rPr>
              <w:t xml:space="preserve"> </w:t>
            </w:r>
            <w:r w:rsidRPr="00E01928">
              <w:rPr>
                <w:rFonts w:cs="Arial"/>
                <w:color w:val="000000"/>
                <w:szCs w:val="22"/>
              </w:rPr>
              <w:t>a substance</w:t>
            </w:r>
          </w:p>
          <w:p w14:paraId="56A38708" w14:textId="77777777" w:rsidR="00C07372" w:rsidRPr="002D3286" w:rsidRDefault="00C07372" w:rsidP="000F15B0">
            <w:pPr>
              <w:pStyle w:val="Default"/>
              <w:widowControl/>
              <w:rPr>
                <w:rFonts w:cs="Arial"/>
              </w:rPr>
            </w:pPr>
          </w:p>
        </w:tc>
        <w:tc>
          <w:tcPr>
            <w:tcW w:w="7052" w:type="dxa"/>
            <w:shd w:val="clear" w:color="auto" w:fill="auto"/>
          </w:tcPr>
          <w:p w14:paraId="56A38709" w14:textId="77777777" w:rsidR="000577F7" w:rsidRPr="00092B56" w:rsidRDefault="00637692" w:rsidP="006D580B">
            <w:pPr>
              <w:pStyle w:val="Paragraph"/>
              <w:numPr>
                <w:ilvl w:val="0"/>
                <w:numId w:val="0"/>
              </w:numPr>
              <w:tabs>
                <w:tab w:val="clear" w:pos="425"/>
                <w:tab w:val="left" w:pos="0"/>
              </w:tabs>
              <w:spacing w:after="120"/>
            </w:pPr>
            <w:r w:rsidRPr="00092B56">
              <w:t>‘Medical treatment’ is treatment provided by a doctor</w:t>
            </w:r>
            <w:r w:rsidR="000577F7" w:rsidRPr="00092B56">
              <w:t>.</w:t>
            </w:r>
          </w:p>
          <w:p w14:paraId="56A3870A" w14:textId="77777777" w:rsidR="00C07372" w:rsidRPr="002D3286" w:rsidRDefault="000577F7" w:rsidP="000577F7">
            <w:pPr>
              <w:pStyle w:val="Paragraph"/>
              <w:numPr>
                <w:ilvl w:val="0"/>
                <w:numId w:val="0"/>
              </w:numPr>
              <w:tabs>
                <w:tab w:val="clear" w:pos="425"/>
                <w:tab w:val="left" w:pos="0"/>
              </w:tabs>
              <w:spacing w:after="120"/>
            </w:pPr>
            <w:r w:rsidRPr="00092B56">
              <w:t xml:space="preserve">Exposure to a substance </w:t>
            </w:r>
            <w:r w:rsidR="00637692" w:rsidRPr="00092B56">
              <w:t xml:space="preserve">includes exposure to chemicals, airborne contaminants and exposure to human and/or animal blood and body substances. </w:t>
            </w:r>
          </w:p>
        </w:tc>
      </w:tr>
    </w:tbl>
    <w:p w14:paraId="56A3870C" w14:textId="77777777" w:rsidR="00C07372" w:rsidRPr="002D3286" w:rsidRDefault="00C07372" w:rsidP="000577F7">
      <w:pPr>
        <w:spacing w:after="120"/>
        <w:rPr>
          <w:rFonts w:cs="Arial"/>
        </w:rPr>
      </w:pPr>
      <w:r w:rsidRPr="002D3286">
        <w:rPr>
          <w:rFonts w:cs="Arial"/>
        </w:rPr>
        <w:t>Notification is also required for the following serious illness</w:t>
      </w:r>
      <w:r w:rsidR="008D4554">
        <w:rPr>
          <w:rFonts w:cs="Arial"/>
        </w:rPr>
        <w:t>es</w:t>
      </w:r>
      <w:r w:rsidRPr="002D3286">
        <w:rPr>
          <w:rFonts w:cs="Arial"/>
        </w:rPr>
        <w:t>:</w:t>
      </w:r>
    </w:p>
    <w:p w14:paraId="56A3870D" w14:textId="77777777" w:rsidR="00C07372" w:rsidRPr="00092B56" w:rsidRDefault="00C07372" w:rsidP="00307F3C">
      <w:pPr>
        <w:numPr>
          <w:ilvl w:val="0"/>
          <w:numId w:val="21"/>
        </w:numPr>
        <w:ind w:left="340" w:hanging="340"/>
        <w:rPr>
          <w:rFonts w:cs="Arial"/>
        </w:rPr>
      </w:pPr>
      <w:r w:rsidRPr="00092B56">
        <w:rPr>
          <w:rFonts w:cs="Arial"/>
        </w:rPr>
        <w:t xml:space="preserve">Any infection </w:t>
      </w:r>
      <w:r w:rsidR="000577F7" w:rsidRPr="00092B56">
        <w:rPr>
          <w:rFonts w:cs="Arial"/>
        </w:rPr>
        <w:t xml:space="preserve">where the </w:t>
      </w:r>
      <w:r w:rsidRPr="00092B56">
        <w:rPr>
          <w:rFonts w:cs="Arial"/>
        </w:rPr>
        <w:t>work is a significant contributing factor</w:t>
      </w:r>
      <w:r w:rsidR="009C3AB3" w:rsidRPr="00092B56">
        <w:rPr>
          <w:rFonts w:cs="Arial"/>
        </w:rPr>
        <w:t>. This</w:t>
      </w:r>
      <w:r w:rsidRPr="00092B56">
        <w:rPr>
          <w:rFonts w:cs="Arial"/>
        </w:rPr>
        <w:t xml:space="preserve"> includ</w:t>
      </w:r>
      <w:r w:rsidR="009C3AB3" w:rsidRPr="00092B56">
        <w:rPr>
          <w:rFonts w:cs="Arial"/>
        </w:rPr>
        <w:t>es</w:t>
      </w:r>
      <w:r w:rsidRPr="00092B56">
        <w:rPr>
          <w:rFonts w:cs="Arial"/>
        </w:rPr>
        <w:t xml:space="preserve"> any infection </w:t>
      </w:r>
      <w:r w:rsidR="009C3AB3" w:rsidRPr="00092B56">
        <w:rPr>
          <w:rFonts w:cs="Arial"/>
        </w:rPr>
        <w:t>related</w:t>
      </w:r>
      <w:r w:rsidRPr="00092B56">
        <w:rPr>
          <w:rFonts w:cs="Arial"/>
        </w:rPr>
        <w:t xml:space="preserve"> to carrying out work:</w:t>
      </w:r>
    </w:p>
    <w:p w14:paraId="56A3870E" w14:textId="77777777" w:rsidR="00C07372" w:rsidRPr="002D3286" w:rsidRDefault="00C07372" w:rsidP="00B44333">
      <w:pPr>
        <w:ind w:left="680" w:hanging="340"/>
        <w:rPr>
          <w:rFonts w:cs="Arial"/>
        </w:rPr>
      </w:pPr>
      <w:r w:rsidRPr="002D3286">
        <w:rPr>
          <w:rFonts w:cs="Arial"/>
        </w:rPr>
        <w:t>(i) with micro-organisms</w:t>
      </w:r>
    </w:p>
    <w:p w14:paraId="56A3870F" w14:textId="77777777" w:rsidR="00C07372" w:rsidRPr="002D3286" w:rsidRDefault="00C07372" w:rsidP="00B44333">
      <w:pPr>
        <w:ind w:left="680" w:hanging="340"/>
        <w:rPr>
          <w:rFonts w:cs="Arial"/>
        </w:rPr>
      </w:pPr>
      <w:r w:rsidRPr="002D3286">
        <w:rPr>
          <w:rFonts w:cs="Arial"/>
        </w:rPr>
        <w:t>(ii) that involves providing treatment or care to a person</w:t>
      </w:r>
    </w:p>
    <w:p w14:paraId="56A38710" w14:textId="77777777" w:rsidR="00C07372" w:rsidRPr="002D3286" w:rsidRDefault="00C07372" w:rsidP="00B44333">
      <w:pPr>
        <w:ind w:left="680" w:hanging="340"/>
        <w:rPr>
          <w:rFonts w:cs="Arial"/>
        </w:rPr>
      </w:pPr>
      <w:r w:rsidRPr="002D3286">
        <w:rPr>
          <w:rFonts w:cs="Arial"/>
        </w:rPr>
        <w:t>(iii) that involves contact with human blood or body substances</w:t>
      </w:r>
    </w:p>
    <w:p w14:paraId="56A38711" w14:textId="77777777" w:rsidR="00C07372" w:rsidRPr="002D3286" w:rsidRDefault="00C07372" w:rsidP="00B44333">
      <w:pPr>
        <w:ind w:left="680" w:hanging="340"/>
        <w:rPr>
          <w:rFonts w:cs="Arial"/>
        </w:rPr>
      </w:pPr>
      <w:r w:rsidRPr="002D3286">
        <w:rPr>
          <w:rFonts w:cs="Arial"/>
        </w:rPr>
        <w:t>(iv) that involves handling or contact with animals, animal hides, skins, wool or hair, animal carcasses or animal waste products.</w:t>
      </w:r>
    </w:p>
    <w:p w14:paraId="56A38712" w14:textId="77777777" w:rsidR="00C07372" w:rsidRPr="002D3286" w:rsidRDefault="00C07372" w:rsidP="00307F3C">
      <w:pPr>
        <w:numPr>
          <w:ilvl w:val="0"/>
          <w:numId w:val="21"/>
        </w:numPr>
        <w:ind w:left="340" w:hanging="340"/>
        <w:rPr>
          <w:rFonts w:cs="Arial"/>
        </w:rPr>
      </w:pPr>
      <w:r w:rsidRPr="002D3286">
        <w:rPr>
          <w:rFonts w:cs="Arial"/>
        </w:rPr>
        <w:t>The following occupational zoonoses contracted in the course of work involving handling or contact with animals, animal hides, skins, wool or hair, animal carcasses or animal waste products:</w:t>
      </w:r>
    </w:p>
    <w:p w14:paraId="56A38713" w14:textId="77777777" w:rsidR="00C07372" w:rsidRPr="002D3286" w:rsidRDefault="00C07372" w:rsidP="00B44333">
      <w:pPr>
        <w:ind w:left="680" w:hanging="340"/>
        <w:rPr>
          <w:rFonts w:cs="Arial"/>
        </w:rPr>
      </w:pPr>
      <w:r w:rsidRPr="002D3286">
        <w:rPr>
          <w:rFonts w:cs="Arial"/>
        </w:rPr>
        <w:t>(i) Q fever</w:t>
      </w:r>
    </w:p>
    <w:p w14:paraId="56A38714" w14:textId="77777777" w:rsidR="00C07372" w:rsidRPr="002D3286" w:rsidRDefault="00C07372" w:rsidP="00B44333">
      <w:pPr>
        <w:ind w:left="680" w:hanging="340"/>
        <w:rPr>
          <w:rFonts w:cs="Arial"/>
        </w:rPr>
      </w:pPr>
      <w:r w:rsidRPr="002D3286">
        <w:rPr>
          <w:rFonts w:cs="Arial"/>
        </w:rPr>
        <w:t>(ii) Anthrax</w:t>
      </w:r>
    </w:p>
    <w:p w14:paraId="56A38715" w14:textId="77777777" w:rsidR="00C07372" w:rsidRPr="002D3286" w:rsidRDefault="00C07372" w:rsidP="00B44333">
      <w:pPr>
        <w:ind w:left="680" w:hanging="340"/>
        <w:rPr>
          <w:rFonts w:cs="Arial"/>
        </w:rPr>
      </w:pPr>
      <w:r w:rsidRPr="002D3286">
        <w:rPr>
          <w:rFonts w:cs="Arial"/>
        </w:rPr>
        <w:t>(iii) Leptospirosis</w:t>
      </w:r>
    </w:p>
    <w:p w14:paraId="56A38716" w14:textId="77777777" w:rsidR="00C07372" w:rsidRPr="002D3286" w:rsidRDefault="00C07372" w:rsidP="00B44333">
      <w:pPr>
        <w:ind w:left="680" w:hanging="340"/>
        <w:rPr>
          <w:rFonts w:cs="Arial"/>
        </w:rPr>
      </w:pPr>
      <w:r w:rsidRPr="002D3286">
        <w:rPr>
          <w:rFonts w:cs="Arial"/>
        </w:rPr>
        <w:t>(iv) Brucellosis</w:t>
      </w:r>
    </w:p>
    <w:p w14:paraId="56A38717" w14:textId="77777777" w:rsidR="00C07372" w:rsidRPr="002D3286" w:rsidRDefault="00C07372" w:rsidP="00B44333">
      <w:pPr>
        <w:ind w:left="680" w:hanging="340"/>
        <w:rPr>
          <w:rFonts w:cs="Arial"/>
        </w:rPr>
      </w:pPr>
      <w:r w:rsidRPr="002D3286">
        <w:rPr>
          <w:rFonts w:cs="Arial"/>
        </w:rPr>
        <w:t>(v) Hendra Virus</w:t>
      </w:r>
    </w:p>
    <w:p w14:paraId="56A38718" w14:textId="77777777" w:rsidR="00C07372" w:rsidRPr="002D3286" w:rsidRDefault="00C07372" w:rsidP="00B44333">
      <w:pPr>
        <w:ind w:left="680" w:hanging="340"/>
        <w:rPr>
          <w:rFonts w:cs="Arial"/>
        </w:rPr>
      </w:pPr>
      <w:r w:rsidRPr="002D3286">
        <w:rPr>
          <w:rFonts w:cs="Arial"/>
        </w:rPr>
        <w:t>(vi) Avian Influenza</w:t>
      </w:r>
    </w:p>
    <w:p w14:paraId="56A38719" w14:textId="77777777" w:rsidR="00C07372" w:rsidRPr="002D3286" w:rsidRDefault="00C07372" w:rsidP="00B44333">
      <w:pPr>
        <w:ind w:left="680" w:hanging="340"/>
        <w:rPr>
          <w:rFonts w:cs="Arial"/>
        </w:rPr>
      </w:pPr>
      <w:r w:rsidRPr="002D3286">
        <w:rPr>
          <w:rFonts w:cs="Arial"/>
        </w:rPr>
        <w:t>(vii) Psittacosis.</w:t>
      </w:r>
    </w:p>
    <w:p w14:paraId="56A3871A" w14:textId="77777777" w:rsidR="00C07372" w:rsidRPr="00E27EA9" w:rsidRDefault="00C07372" w:rsidP="00C07372">
      <w:pPr>
        <w:pStyle w:val="Heading3"/>
      </w:pPr>
      <w:r w:rsidRPr="00E27EA9">
        <w:t>Treatment</w:t>
      </w:r>
    </w:p>
    <w:p w14:paraId="56A3871B" w14:textId="77777777" w:rsidR="008D4554" w:rsidRPr="00092B56" w:rsidRDefault="00C07372" w:rsidP="008D4554">
      <w:r w:rsidRPr="00092B56">
        <w:t>‘</w:t>
      </w:r>
      <w:r w:rsidR="00A41AE0" w:rsidRPr="00092B56">
        <w:t>Immediate t</w:t>
      </w:r>
      <w:r w:rsidRPr="00092B56">
        <w:t xml:space="preserve">reatment’ means the kind of </w:t>
      </w:r>
      <w:r w:rsidR="00A41AE0" w:rsidRPr="00092B56">
        <w:t xml:space="preserve">urgent </w:t>
      </w:r>
      <w:r w:rsidRPr="00092B56">
        <w:t>treatment that would be required for a serious injury or illness</w:t>
      </w:r>
      <w:r w:rsidR="00F018DE" w:rsidRPr="00092B56">
        <w:t>. It</w:t>
      </w:r>
      <w:r w:rsidR="00A41AE0" w:rsidRPr="00092B56">
        <w:t xml:space="preserve"> </w:t>
      </w:r>
      <w:r w:rsidRPr="00092B56">
        <w:t>includes</w:t>
      </w:r>
      <w:r w:rsidR="008D4554" w:rsidRPr="00092B56">
        <w:t xml:space="preserve"> treatment by a registered medical practitioner, a paramedic or registered nurse.</w:t>
      </w:r>
    </w:p>
    <w:p w14:paraId="56A3871C" w14:textId="77777777" w:rsidR="00C07372" w:rsidRPr="00092B56" w:rsidRDefault="00A41AE0" w:rsidP="00C07372">
      <w:pPr>
        <w:rPr>
          <w:strike/>
        </w:rPr>
      </w:pPr>
      <w:r w:rsidRPr="00092B56">
        <w:t xml:space="preserve">‘Medical </w:t>
      </w:r>
      <w:r w:rsidR="00C07372" w:rsidRPr="00092B56">
        <w:t>treatment</w:t>
      </w:r>
      <w:r w:rsidRPr="00092B56">
        <w:t>’ refers to treatment by a registered medical practitioner (</w:t>
      </w:r>
      <w:r w:rsidR="00F018DE" w:rsidRPr="00092B56">
        <w:t>a doctor</w:t>
      </w:r>
      <w:r w:rsidRPr="00092B56">
        <w:t>).</w:t>
      </w:r>
      <w:r w:rsidR="00F018DE" w:rsidRPr="00092B56">
        <w:t xml:space="preserve"> </w:t>
      </w:r>
    </w:p>
    <w:p w14:paraId="56A3871D" w14:textId="77777777" w:rsidR="00C07372" w:rsidRPr="008D4554" w:rsidRDefault="00C07372" w:rsidP="00C07372">
      <w:pPr>
        <w:rPr>
          <w:rFonts w:cs="Arial"/>
          <w:b/>
          <w:u w:val="single"/>
        </w:rPr>
      </w:pPr>
      <w:r w:rsidRPr="008D4554">
        <w:lastRenderedPageBreak/>
        <w:t>Even if immediate treatment is not readily available, for example because the incident site is rural or remote or because the relevant specialist treatment is not available, the notification must still be made.</w:t>
      </w:r>
    </w:p>
    <w:p w14:paraId="56A3871E" w14:textId="77777777" w:rsidR="00854CCA" w:rsidRPr="00092B56" w:rsidRDefault="00854CCA" w:rsidP="00854CCA">
      <w:pPr>
        <w:pStyle w:val="Heading3"/>
      </w:pPr>
      <w:r w:rsidRPr="00092B56">
        <w:t>Still unsure?</w:t>
      </w:r>
    </w:p>
    <w:p w14:paraId="56A3871F" w14:textId="77777777" w:rsidR="00854CCA" w:rsidRPr="00092B56" w:rsidRDefault="00854CCA" w:rsidP="00854CCA">
      <w:pPr>
        <w:keepNext/>
        <w:keepLines/>
        <w:spacing w:after="96"/>
        <w:rPr>
          <w:rFonts w:cs="Arial"/>
        </w:rPr>
      </w:pPr>
      <w:r w:rsidRPr="00092B56">
        <w:rPr>
          <w:rFonts w:cs="Arial"/>
        </w:rPr>
        <w:t xml:space="preserve">If you are still unsure about whether a particular incident should be notified then contact your regulator for </w:t>
      </w:r>
      <w:r w:rsidR="009C3AB3" w:rsidRPr="00092B56">
        <w:rPr>
          <w:rFonts w:cs="Arial"/>
        </w:rPr>
        <w:t xml:space="preserve">advice or further </w:t>
      </w:r>
      <w:r w:rsidRPr="00092B56">
        <w:rPr>
          <w:rFonts w:cs="Arial"/>
        </w:rPr>
        <w:t>guidance.</w:t>
      </w:r>
      <w:r w:rsidR="009C3AB3" w:rsidRPr="00092B56">
        <w:rPr>
          <w:rFonts w:cs="Arial"/>
        </w:rPr>
        <w:t xml:space="preserve"> Contact details are included below.</w:t>
      </w:r>
    </w:p>
    <w:p w14:paraId="56A38720" w14:textId="77777777" w:rsidR="00157650" w:rsidRPr="00A41AE0" w:rsidRDefault="00C07372" w:rsidP="00157650">
      <w:pPr>
        <w:pStyle w:val="Heading3"/>
      </w:pPr>
      <w:r w:rsidRPr="00A41AE0">
        <w:t xml:space="preserve">Dangerous </w:t>
      </w:r>
      <w:r w:rsidR="00092B56">
        <w:t>i</w:t>
      </w:r>
      <w:r w:rsidRPr="00A41AE0">
        <w:t>ncidents</w:t>
      </w:r>
      <w:r w:rsidR="00157650">
        <w:t xml:space="preserve"> including ‘near misses’</w:t>
      </w:r>
    </w:p>
    <w:p w14:paraId="56A38721" w14:textId="77777777" w:rsidR="00C07372" w:rsidRPr="00A41AE0" w:rsidRDefault="00092B56" w:rsidP="00C07372">
      <w:r>
        <w:t>Some types of w</w:t>
      </w:r>
      <w:r w:rsidR="002E3976" w:rsidRPr="00A41AE0">
        <w:t>ork-related d</w:t>
      </w:r>
      <w:r w:rsidR="004D2BFD" w:rsidRPr="00A41AE0">
        <w:t>angerous incidents must be notified</w:t>
      </w:r>
      <w:r w:rsidR="002E3976" w:rsidRPr="00A41AE0">
        <w:t xml:space="preserve"> </w:t>
      </w:r>
      <w:r>
        <w:t xml:space="preserve">even if no-one is injured. </w:t>
      </w:r>
      <w:r w:rsidR="00192EA5">
        <w:br/>
      </w:r>
      <w:r w:rsidR="00B032B5">
        <w:t>T</w:t>
      </w:r>
      <w:r>
        <w:t xml:space="preserve">he regulator must be notified of </w:t>
      </w:r>
      <w:r w:rsidR="00C07372" w:rsidRPr="00A41AE0">
        <w:t>any incident in relation to a workplace that exposes a</w:t>
      </w:r>
      <w:r w:rsidR="002E3976" w:rsidRPr="00A41AE0">
        <w:t>ny person</w:t>
      </w:r>
      <w:r w:rsidR="00C07372" w:rsidRPr="00A41AE0">
        <w:t xml:space="preserve"> to a serious risk resulting from an immediate or imminent exposure to:</w:t>
      </w:r>
    </w:p>
    <w:p w14:paraId="56A38722" w14:textId="77777777" w:rsidR="00C07372" w:rsidRPr="00B44333" w:rsidRDefault="00C07372" w:rsidP="00B44333">
      <w:pPr>
        <w:numPr>
          <w:ilvl w:val="0"/>
          <w:numId w:val="22"/>
        </w:numPr>
        <w:ind w:left="340" w:hanging="340"/>
      </w:pPr>
      <w:r w:rsidRPr="00B44333">
        <w:t xml:space="preserve">an uncontrolled escape, spillage or leakage of a substance </w:t>
      </w:r>
    </w:p>
    <w:p w14:paraId="56A38723" w14:textId="77777777" w:rsidR="00C07372" w:rsidRPr="00B44333" w:rsidRDefault="00C07372" w:rsidP="00B44333">
      <w:pPr>
        <w:numPr>
          <w:ilvl w:val="0"/>
          <w:numId w:val="22"/>
        </w:numPr>
        <w:ind w:left="340" w:hanging="340"/>
      </w:pPr>
      <w:r w:rsidRPr="00B44333">
        <w:t xml:space="preserve">an uncontrolled implosion, explosion or fire </w:t>
      </w:r>
    </w:p>
    <w:p w14:paraId="56A38724" w14:textId="77777777" w:rsidR="00C07372" w:rsidRPr="00B44333" w:rsidRDefault="00C07372" w:rsidP="00B44333">
      <w:pPr>
        <w:numPr>
          <w:ilvl w:val="0"/>
          <w:numId w:val="22"/>
        </w:numPr>
        <w:ind w:left="340" w:hanging="340"/>
      </w:pPr>
      <w:r w:rsidRPr="00B44333">
        <w:t xml:space="preserve">an uncontrolled escape of gas or steam </w:t>
      </w:r>
    </w:p>
    <w:p w14:paraId="56A38725" w14:textId="77777777" w:rsidR="00C07372" w:rsidRPr="00B44333" w:rsidRDefault="00C07372" w:rsidP="00B44333">
      <w:pPr>
        <w:numPr>
          <w:ilvl w:val="0"/>
          <w:numId w:val="22"/>
        </w:numPr>
        <w:ind w:left="340" w:hanging="340"/>
      </w:pPr>
      <w:r w:rsidRPr="00B44333">
        <w:t xml:space="preserve">an uncontrolled escape of a pressurised substance </w:t>
      </w:r>
    </w:p>
    <w:p w14:paraId="56A38726" w14:textId="77777777" w:rsidR="00C07372" w:rsidRPr="00B44333" w:rsidRDefault="00C07372" w:rsidP="00B44333">
      <w:pPr>
        <w:numPr>
          <w:ilvl w:val="0"/>
          <w:numId w:val="22"/>
        </w:numPr>
        <w:ind w:left="340" w:hanging="340"/>
      </w:pPr>
      <w:r w:rsidRPr="00B44333">
        <w:t>electric shock:</w:t>
      </w:r>
    </w:p>
    <w:p w14:paraId="56A38727" w14:textId="77777777" w:rsidR="00C07372" w:rsidRPr="00B44333" w:rsidRDefault="00C07372" w:rsidP="00B44333">
      <w:pPr>
        <w:pStyle w:val="ListParagraph"/>
        <w:numPr>
          <w:ilvl w:val="1"/>
          <w:numId w:val="13"/>
        </w:numPr>
        <w:autoSpaceDE w:val="0"/>
        <w:autoSpaceDN w:val="0"/>
        <w:adjustRightInd w:val="0"/>
        <w:ind w:left="680" w:hanging="340"/>
        <w:contextualSpacing w:val="0"/>
        <w:rPr>
          <w:rFonts w:cs="Arial"/>
          <w:bCs/>
          <w:color w:val="000000"/>
        </w:rPr>
      </w:pPr>
      <w:r w:rsidRPr="0056221F">
        <w:rPr>
          <w:rFonts w:cs="Arial"/>
          <w:bCs/>
          <w:color w:val="000000"/>
        </w:rPr>
        <w:t>examples of electrical shock that are not notifiable</w:t>
      </w:r>
    </w:p>
    <w:p w14:paraId="56A38728" w14:textId="77777777" w:rsidR="00C07372" w:rsidRPr="0056221F" w:rsidRDefault="00C07372" w:rsidP="00B44333">
      <w:pPr>
        <w:pStyle w:val="ListParagraph"/>
        <w:numPr>
          <w:ilvl w:val="2"/>
          <w:numId w:val="13"/>
        </w:numPr>
        <w:autoSpaceDE w:val="0"/>
        <w:autoSpaceDN w:val="0"/>
        <w:adjustRightInd w:val="0"/>
        <w:ind w:left="1020" w:hanging="340"/>
        <w:contextualSpacing w:val="0"/>
        <w:rPr>
          <w:rFonts w:cs="Arial"/>
          <w:bCs/>
          <w:color w:val="000000"/>
        </w:rPr>
      </w:pPr>
      <w:r>
        <w:rPr>
          <w:rFonts w:cs="Arial"/>
          <w:bCs/>
          <w:color w:val="000000"/>
        </w:rPr>
        <w:t>shock</w:t>
      </w:r>
      <w:r w:rsidRPr="0056221F">
        <w:rPr>
          <w:rFonts w:cs="Arial"/>
          <w:bCs/>
          <w:color w:val="000000"/>
        </w:rPr>
        <w:t xml:space="preserve"> due to static electricity</w:t>
      </w:r>
    </w:p>
    <w:p w14:paraId="56A38729" w14:textId="77777777" w:rsidR="00C07372" w:rsidRPr="0056221F" w:rsidRDefault="00C07372" w:rsidP="00B44333">
      <w:pPr>
        <w:pStyle w:val="ListParagraph"/>
        <w:numPr>
          <w:ilvl w:val="2"/>
          <w:numId w:val="13"/>
        </w:numPr>
        <w:autoSpaceDE w:val="0"/>
        <w:autoSpaceDN w:val="0"/>
        <w:adjustRightInd w:val="0"/>
        <w:ind w:left="1020" w:hanging="340"/>
        <w:contextualSpacing w:val="0"/>
        <w:rPr>
          <w:rFonts w:cs="Arial"/>
          <w:bCs/>
          <w:color w:val="000000"/>
        </w:rPr>
      </w:pPr>
      <w:r w:rsidRPr="0056221F">
        <w:rPr>
          <w:rFonts w:cs="Arial"/>
          <w:bCs/>
          <w:color w:val="000000"/>
        </w:rPr>
        <w:t>‘extra low voltage’ shock (i.e.  arising from electrical equipment less than or equal to 50V AC and less than or equal to 120V DC)</w:t>
      </w:r>
    </w:p>
    <w:p w14:paraId="56A3872A" w14:textId="77777777" w:rsidR="00C07372" w:rsidRPr="0056221F" w:rsidRDefault="00C07372" w:rsidP="00B44333">
      <w:pPr>
        <w:pStyle w:val="ListParagraph"/>
        <w:numPr>
          <w:ilvl w:val="2"/>
          <w:numId w:val="13"/>
        </w:numPr>
        <w:autoSpaceDE w:val="0"/>
        <w:autoSpaceDN w:val="0"/>
        <w:adjustRightInd w:val="0"/>
        <w:ind w:left="1020" w:hanging="340"/>
        <w:contextualSpacing w:val="0"/>
        <w:rPr>
          <w:rFonts w:cs="Arial"/>
          <w:b/>
          <w:bCs/>
          <w:color w:val="000000"/>
        </w:rPr>
      </w:pPr>
      <w:r w:rsidRPr="0056221F">
        <w:rPr>
          <w:rFonts w:cs="Arial"/>
          <w:bCs/>
          <w:color w:val="000000"/>
        </w:rPr>
        <w:t>defibrillators are used deliberately to shock a person for first aid or medical reasons</w:t>
      </w:r>
    </w:p>
    <w:p w14:paraId="56A3872B" w14:textId="77777777" w:rsidR="00C07372" w:rsidRPr="0056221F" w:rsidRDefault="00C07372" w:rsidP="00B44333">
      <w:pPr>
        <w:pStyle w:val="ListParagraph"/>
        <w:numPr>
          <w:ilvl w:val="1"/>
          <w:numId w:val="13"/>
        </w:numPr>
        <w:autoSpaceDE w:val="0"/>
        <w:autoSpaceDN w:val="0"/>
        <w:adjustRightInd w:val="0"/>
        <w:ind w:left="680" w:hanging="340"/>
        <w:contextualSpacing w:val="0"/>
        <w:rPr>
          <w:rFonts w:cs="Arial"/>
          <w:b/>
          <w:bCs/>
          <w:color w:val="000000"/>
        </w:rPr>
      </w:pPr>
      <w:r w:rsidRPr="0056221F">
        <w:rPr>
          <w:rFonts w:cs="Arial"/>
          <w:bCs/>
          <w:color w:val="000000"/>
        </w:rPr>
        <w:t>examples of electrical shocks that are notifiable</w:t>
      </w:r>
    </w:p>
    <w:p w14:paraId="56A3872C" w14:textId="77777777" w:rsidR="00C07372" w:rsidRPr="00B44333" w:rsidRDefault="00C07372" w:rsidP="00B44333">
      <w:pPr>
        <w:pStyle w:val="ListParagraph"/>
        <w:numPr>
          <w:ilvl w:val="2"/>
          <w:numId w:val="13"/>
        </w:numPr>
        <w:autoSpaceDE w:val="0"/>
        <w:autoSpaceDN w:val="0"/>
        <w:adjustRightInd w:val="0"/>
        <w:ind w:left="1020" w:hanging="340"/>
        <w:contextualSpacing w:val="0"/>
        <w:rPr>
          <w:rFonts w:cs="Arial"/>
          <w:bCs/>
          <w:color w:val="000000"/>
        </w:rPr>
      </w:pPr>
      <w:r w:rsidRPr="0056221F">
        <w:rPr>
          <w:rFonts w:cs="Arial"/>
          <w:bCs/>
          <w:color w:val="000000"/>
        </w:rPr>
        <w:t>minor shock resulting from direct contact with exposed live electrical parts (other than ‘extra low voltage’) including shock from capacitive discharge</w:t>
      </w:r>
    </w:p>
    <w:p w14:paraId="56A3872D" w14:textId="77777777" w:rsidR="00C07372" w:rsidRPr="00B44333" w:rsidRDefault="00C07372" w:rsidP="00B44333">
      <w:pPr>
        <w:numPr>
          <w:ilvl w:val="0"/>
          <w:numId w:val="22"/>
        </w:numPr>
        <w:ind w:left="340" w:hanging="340"/>
      </w:pPr>
      <w:r w:rsidRPr="00B44333">
        <w:t>the fall or release from a height of any plant, substance or thing</w:t>
      </w:r>
    </w:p>
    <w:p w14:paraId="56A3872E" w14:textId="77777777" w:rsidR="00C07372" w:rsidRPr="00B44333" w:rsidRDefault="00C07372" w:rsidP="00B44333">
      <w:pPr>
        <w:numPr>
          <w:ilvl w:val="0"/>
          <w:numId w:val="22"/>
        </w:numPr>
        <w:ind w:left="340" w:hanging="340"/>
      </w:pPr>
      <w:r w:rsidRPr="00B44333">
        <w:t xml:space="preserve">the collapse, overturning, failure or malfunction of, or damage to, any plant that is required </w:t>
      </w:r>
      <w:r w:rsidR="00192EA5">
        <w:br/>
      </w:r>
      <w:r w:rsidRPr="00B44333">
        <w:t>to be design or item registered under the Work Health and Safety Regulations</w:t>
      </w:r>
      <w:r w:rsidR="00B032B5" w:rsidRPr="00B44333">
        <w:t>, for example a collapsing crane</w:t>
      </w:r>
      <w:r w:rsidRPr="00B44333">
        <w:t xml:space="preserve"> </w:t>
      </w:r>
    </w:p>
    <w:p w14:paraId="56A3872F" w14:textId="77777777" w:rsidR="00C07372" w:rsidRPr="00B44333" w:rsidRDefault="00C07372" w:rsidP="00B44333">
      <w:pPr>
        <w:numPr>
          <w:ilvl w:val="0"/>
          <w:numId w:val="22"/>
        </w:numPr>
        <w:ind w:left="340" w:hanging="340"/>
      </w:pPr>
      <w:r w:rsidRPr="00B44333">
        <w:t xml:space="preserve">the collapse or partial collapse of a structure </w:t>
      </w:r>
    </w:p>
    <w:p w14:paraId="56A38730" w14:textId="77777777" w:rsidR="00C07372" w:rsidRPr="00B44333" w:rsidRDefault="00C07372" w:rsidP="00B44333">
      <w:pPr>
        <w:numPr>
          <w:ilvl w:val="0"/>
          <w:numId w:val="22"/>
        </w:numPr>
        <w:ind w:left="340" w:hanging="340"/>
      </w:pPr>
      <w:r w:rsidRPr="00B44333">
        <w:t xml:space="preserve">the collapse or failure of an excavation or of any shoring supporting an excavation </w:t>
      </w:r>
    </w:p>
    <w:p w14:paraId="56A38731" w14:textId="77777777" w:rsidR="00C07372" w:rsidRPr="00B44333" w:rsidRDefault="00C07372" w:rsidP="00B44333">
      <w:pPr>
        <w:numPr>
          <w:ilvl w:val="0"/>
          <w:numId w:val="22"/>
        </w:numPr>
        <w:ind w:left="340" w:hanging="340"/>
      </w:pPr>
      <w:r w:rsidRPr="00B44333">
        <w:t>the inrush of water, mud or gas in workings, in an underground excavation or tunnel, or</w:t>
      </w:r>
    </w:p>
    <w:p w14:paraId="56A38732" w14:textId="77777777" w:rsidR="00C07372" w:rsidRPr="00B44333" w:rsidRDefault="00C07372" w:rsidP="00B44333">
      <w:pPr>
        <w:numPr>
          <w:ilvl w:val="0"/>
          <w:numId w:val="22"/>
        </w:numPr>
        <w:ind w:left="340" w:hanging="340"/>
      </w:pPr>
      <w:r w:rsidRPr="00B44333">
        <w:t>the interruption of the main system of ventilation in an underground excavation or tunnel.</w:t>
      </w:r>
    </w:p>
    <w:p w14:paraId="56A38733" w14:textId="77777777" w:rsidR="00C07372" w:rsidRPr="00092B56" w:rsidRDefault="00C07372" w:rsidP="00C07372">
      <w:pPr>
        <w:spacing w:after="120"/>
        <w:rPr>
          <w:rFonts w:cs="Arial"/>
        </w:rPr>
      </w:pPr>
      <w:r w:rsidRPr="00092B56">
        <w:rPr>
          <w:rFonts w:cs="Arial"/>
        </w:rPr>
        <w:t xml:space="preserve">A dangerous incident includes both immediate serious risks to health or safety, and also a risk from an immediate exposure to a substance which is likely to create a serious risk to health or safety in the future, for example asbestos or </w:t>
      </w:r>
      <w:r w:rsidR="00D504C7" w:rsidRPr="00092B56">
        <w:rPr>
          <w:rFonts w:cs="Arial"/>
        </w:rPr>
        <w:t xml:space="preserve">hazardous </w:t>
      </w:r>
      <w:r w:rsidRPr="00092B56">
        <w:rPr>
          <w:rFonts w:cs="Arial"/>
        </w:rPr>
        <w:t>chemicals.</w:t>
      </w:r>
    </w:p>
    <w:p w14:paraId="56A38734" w14:textId="77777777" w:rsidR="00C07372" w:rsidRPr="00EE5EDB" w:rsidRDefault="00C07372" w:rsidP="00C07372">
      <w:pPr>
        <w:pStyle w:val="Heading2"/>
      </w:pPr>
      <w:r w:rsidRPr="00EE5EDB">
        <w:t>Only work-related incidents</w:t>
      </w:r>
      <w:r>
        <w:t xml:space="preserve"> </w:t>
      </w:r>
      <w:r w:rsidRPr="00EE5EDB">
        <w:t>are notifiable</w:t>
      </w:r>
    </w:p>
    <w:p w14:paraId="56A38735" w14:textId="77777777" w:rsidR="00C07372" w:rsidRPr="00E61203" w:rsidRDefault="00E61203" w:rsidP="00C07372">
      <w:pPr>
        <w:spacing w:after="96"/>
        <w:rPr>
          <w:rFonts w:cs="Arial"/>
        </w:rPr>
      </w:pPr>
      <w:r w:rsidRPr="00092B56">
        <w:rPr>
          <w:rFonts w:cs="Arial"/>
        </w:rPr>
        <w:t>To be notifiable, a</w:t>
      </w:r>
      <w:r w:rsidR="00C07372" w:rsidRPr="00092B56">
        <w:rPr>
          <w:rFonts w:cs="Arial"/>
        </w:rPr>
        <w:t>n incident</w:t>
      </w:r>
      <w:r w:rsidR="000D47AA" w:rsidRPr="00092B56">
        <w:rPr>
          <w:rFonts w:cs="Arial"/>
        </w:rPr>
        <w:t xml:space="preserve"> must arise out of the conduct of the business or undertaking</w:t>
      </w:r>
      <w:r w:rsidRPr="00092B56">
        <w:rPr>
          <w:rFonts w:cs="Arial"/>
        </w:rPr>
        <w:t xml:space="preserve">. </w:t>
      </w:r>
      <w:r w:rsidR="00192EA5">
        <w:rPr>
          <w:rFonts w:cs="Arial"/>
        </w:rPr>
        <w:br/>
      </w:r>
      <w:r w:rsidRPr="00E61203">
        <w:rPr>
          <w:rFonts w:cs="Arial"/>
        </w:rPr>
        <w:t>An incident is not notifiable just because it happens at or near a workplace.</w:t>
      </w:r>
    </w:p>
    <w:p w14:paraId="56A38736" w14:textId="77777777" w:rsidR="00C07372" w:rsidRPr="00E61203" w:rsidRDefault="00C07372" w:rsidP="00C07372">
      <w:pPr>
        <w:spacing w:after="96"/>
        <w:rPr>
          <w:rFonts w:cs="Arial"/>
        </w:rPr>
      </w:pPr>
      <w:r w:rsidRPr="00E61203">
        <w:rPr>
          <w:rFonts w:cs="Arial"/>
        </w:rPr>
        <w:t xml:space="preserve">Incidents may </w:t>
      </w:r>
      <w:r w:rsidR="00D504C7" w:rsidRPr="00E61203">
        <w:rPr>
          <w:rFonts w:cs="Arial"/>
        </w:rPr>
        <w:t>happen</w:t>
      </w:r>
      <w:r w:rsidRPr="00E61203">
        <w:rPr>
          <w:rFonts w:cs="Arial"/>
        </w:rPr>
        <w:t xml:space="preserve"> for reasons which do not have anything to do with </w:t>
      </w:r>
      <w:r w:rsidR="00D504C7" w:rsidRPr="00E61203">
        <w:rPr>
          <w:rFonts w:cs="Arial"/>
        </w:rPr>
        <w:t>work</w:t>
      </w:r>
      <w:r w:rsidR="009C3AB3" w:rsidRPr="00E61203">
        <w:rPr>
          <w:rFonts w:cs="Arial"/>
        </w:rPr>
        <w:t xml:space="preserve"> or </w:t>
      </w:r>
      <w:r w:rsidRPr="00E61203">
        <w:rPr>
          <w:rFonts w:cs="Arial"/>
        </w:rPr>
        <w:t>the conduct of the business or undertaking, for example:</w:t>
      </w:r>
    </w:p>
    <w:p w14:paraId="56A38737" w14:textId="77777777" w:rsidR="00C07372" w:rsidRPr="00B44333" w:rsidRDefault="00C07372" w:rsidP="00B44333">
      <w:pPr>
        <w:numPr>
          <w:ilvl w:val="0"/>
          <w:numId w:val="22"/>
        </w:numPr>
        <w:ind w:left="340" w:hanging="340"/>
      </w:pPr>
      <w:r w:rsidRPr="00E61203">
        <w:rPr>
          <w:rFonts w:cs="Arial"/>
        </w:rPr>
        <w:t>a</w:t>
      </w:r>
      <w:r w:rsidRPr="00B44333">
        <w:t xml:space="preserve"> worker or another person suffers a heart attack while at work which is unrelated </w:t>
      </w:r>
      <w:r w:rsidRPr="00B44333">
        <w:br/>
        <w:t>to work or the conduct of the business or undertaking</w:t>
      </w:r>
    </w:p>
    <w:p w14:paraId="56A38738" w14:textId="77777777" w:rsidR="00C07372" w:rsidRPr="00B44333" w:rsidRDefault="00C07372" w:rsidP="00B44333">
      <w:pPr>
        <w:numPr>
          <w:ilvl w:val="0"/>
          <w:numId w:val="22"/>
        </w:numPr>
        <w:ind w:left="340" w:hanging="340"/>
      </w:pPr>
      <w:r w:rsidRPr="00B44333">
        <w:lastRenderedPageBreak/>
        <w:t xml:space="preserve">an amateur athlete is injured while playing </w:t>
      </w:r>
      <w:r w:rsidR="009C3AB3" w:rsidRPr="00B44333">
        <w:t>for</w:t>
      </w:r>
      <w:r w:rsidRPr="00B44333">
        <w:t xml:space="preserve"> the local soccer team and requires immediate medical treatment (this is not work) </w:t>
      </w:r>
    </w:p>
    <w:p w14:paraId="56A38739" w14:textId="77777777" w:rsidR="00C07372" w:rsidRPr="00B44333" w:rsidRDefault="00C07372" w:rsidP="00B44333">
      <w:pPr>
        <w:numPr>
          <w:ilvl w:val="0"/>
          <w:numId w:val="22"/>
        </w:numPr>
        <w:ind w:left="340" w:hanging="340"/>
      </w:pPr>
      <w:r w:rsidRPr="00B44333">
        <w:t xml:space="preserve">a person driving to work is injured in a car accident (where driving is not part </w:t>
      </w:r>
      <w:r w:rsidRPr="00B44333">
        <w:br/>
        <w:t>of their work)</w:t>
      </w:r>
    </w:p>
    <w:p w14:paraId="56A3873A" w14:textId="77777777" w:rsidR="00C07372" w:rsidRPr="00B44333" w:rsidRDefault="00C07372" w:rsidP="00B44333">
      <w:pPr>
        <w:numPr>
          <w:ilvl w:val="0"/>
          <w:numId w:val="22"/>
        </w:numPr>
        <w:ind w:left="340" w:hanging="340"/>
      </w:pPr>
      <w:r w:rsidRPr="00B44333">
        <w:t>a person with epilepsy has a seizure at work.</w:t>
      </w:r>
    </w:p>
    <w:p w14:paraId="56A3873B" w14:textId="77777777" w:rsidR="00C07372" w:rsidRPr="00E61203" w:rsidRDefault="00C07372" w:rsidP="00C07372">
      <w:pPr>
        <w:spacing w:after="96"/>
        <w:rPr>
          <w:rFonts w:cs="Arial"/>
        </w:rPr>
      </w:pPr>
      <w:r w:rsidRPr="00E61203">
        <w:rPr>
          <w:rFonts w:cs="Arial"/>
        </w:rPr>
        <w:t xml:space="preserve">These kinds of incidents are </w:t>
      </w:r>
      <w:r w:rsidRPr="00E61203">
        <w:rPr>
          <w:rFonts w:cs="Arial"/>
          <w:b/>
        </w:rPr>
        <w:t>not notifiable</w:t>
      </w:r>
      <w:r w:rsidRPr="00E61203">
        <w:rPr>
          <w:rFonts w:cs="Arial"/>
        </w:rPr>
        <w:t>.</w:t>
      </w:r>
    </w:p>
    <w:p w14:paraId="56A3873C" w14:textId="77777777" w:rsidR="00C07372" w:rsidRPr="00E61203" w:rsidRDefault="00C07372" w:rsidP="00C07372">
      <w:pPr>
        <w:pStyle w:val="Heading3"/>
      </w:pPr>
      <w:r w:rsidRPr="00E61203">
        <w:t>Work-related incidents that occur outside a workplace may be notifiable</w:t>
      </w:r>
    </w:p>
    <w:p w14:paraId="56A3873D" w14:textId="77777777" w:rsidR="00C07372" w:rsidRPr="00E61203" w:rsidRDefault="00C07372" w:rsidP="00C07372">
      <w:r w:rsidRPr="00E61203">
        <w:t xml:space="preserve">Work-related incidents may </w:t>
      </w:r>
      <w:r w:rsidR="009C3AB3" w:rsidRPr="00E61203">
        <w:t>affect people</w:t>
      </w:r>
      <w:r w:rsidRPr="00E61203">
        <w:t xml:space="preserve"> outside the workplace</w:t>
      </w:r>
      <w:r w:rsidR="009C3AB3" w:rsidRPr="00E61203">
        <w:t>.</w:t>
      </w:r>
      <w:r w:rsidRPr="00E61203">
        <w:t xml:space="preserve"> </w:t>
      </w:r>
      <w:r w:rsidR="009C3AB3" w:rsidRPr="00E61203">
        <w:t>T</w:t>
      </w:r>
      <w:r w:rsidRPr="00E61203">
        <w:t xml:space="preserve">hese may still be notifiable if they involve a death, serious illness or injury or a dangerous incident. </w:t>
      </w:r>
      <w:r w:rsidRPr="00E61203">
        <w:br/>
        <w:t>For example:</w:t>
      </w:r>
    </w:p>
    <w:p w14:paraId="56A3873E" w14:textId="77777777" w:rsidR="00C07372" w:rsidRPr="00E61203" w:rsidRDefault="00C07372" w:rsidP="00B44333">
      <w:pPr>
        <w:numPr>
          <w:ilvl w:val="0"/>
          <w:numId w:val="22"/>
        </w:numPr>
        <w:ind w:left="340" w:hanging="340"/>
      </w:pPr>
      <w:r w:rsidRPr="00E61203">
        <w:t xml:space="preserve">an object like a hand tool falls off a multi-storey building under construction hitting a person below </w:t>
      </w:r>
    </w:p>
    <w:p w14:paraId="56A3873F" w14:textId="77777777" w:rsidR="00C07372" w:rsidRPr="00E61203" w:rsidRDefault="00C07372" w:rsidP="00B44333">
      <w:pPr>
        <w:numPr>
          <w:ilvl w:val="0"/>
          <w:numId w:val="22"/>
        </w:numPr>
        <w:ind w:left="340" w:hanging="340"/>
      </w:pPr>
      <w:r w:rsidRPr="00E61203">
        <w:t>scaffold collapse that causes a risk of serious injury to persons adjacent to</w:t>
      </w:r>
      <w:r w:rsidR="00E61203" w:rsidRPr="00E61203">
        <w:t xml:space="preserve"> a </w:t>
      </w:r>
      <w:r w:rsidRPr="00E61203">
        <w:t xml:space="preserve">construction site </w:t>
      </w:r>
    </w:p>
    <w:p w14:paraId="56A38740" w14:textId="77777777" w:rsidR="00C07372" w:rsidRPr="00E61203" w:rsidRDefault="00C07372" w:rsidP="00B44333">
      <w:pPr>
        <w:numPr>
          <w:ilvl w:val="0"/>
          <w:numId w:val="22"/>
        </w:numPr>
        <w:ind w:left="340" w:hanging="340"/>
      </w:pPr>
      <w:r w:rsidRPr="00E61203">
        <w:t>an awning over a shop-front collapses, hitting a person underneath</w:t>
      </w:r>
      <w:r w:rsidR="009C3AB3" w:rsidRPr="00E61203">
        <w:t xml:space="preserve"> it</w:t>
      </w:r>
      <w:r w:rsidRPr="00E61203">
        <w:t>.</w:t>
      </w:r>
    </w:p>
    <w:p w14:paraId="56A38741" w14:textId="77777777" w:rsidR="00C07372" w:rsidRPr="00E61203" w:rsidRDefault="00C07372" w:rsidP="00C07372">
      <w:r w:rsidRPr="00E61203">
        <w:rPr>
          <w:b/>
        </w:rPr>
        <w:t>Appendix A</w:t>
      </w:r>
      <w:r w:rsidRPr="00E61203">
        <w:t xml:space="preserve"> provides more information about incidents at public places or sporting events.</w:t>
      </w:r>
    </w:p>
    <w:p w14:paraId="56A38742" w14:textId="77777777" w:rsidR="00C07372" w:rsidRPr="008D4758" w:rsidRDefault="00C07372" w:rsidP="00C07372">
      <w:pPr>
        <w:pStyle w:val="Heading2"/>
      </w:pPr>
      <w:r w:rsidRPr="008D4758">
        <w:t>Who is responsible for notifying?</w:t>
      </w:r>
    </w:p>
    <w:p w14:paraId="56A38743" w14:textId="77777777" w:rsidR="00C07372" w:rsidRPr="008D4758" w:rsidRDefault="00C07372" w:rsidP="00C07372">
      <w:r w:rsidRPr="008D4758">
        <w:t xml:space="preserve">Any person conducting a business or undertaking (PCBU) from which the ‘notifiable incident’ arises must ensure the regulator is notified immediately after becoming aware it has </w:t>
      </w:r>
      <w:r w:rsidR="009C3AB3" w:rsidRPr="008D4758">
        <w:t>happened</w:t>
      </w:r>
      <w:r w:rsidRPr="008D4758">
        <w:t>.</w:t>
      </w:r>
    </w:p>
    <w:p w14:paraId="56A38744" w14:textId="77777777" w:rsidR="00C07372" w:rsidRPr="008D4758" w:rsidRDefault="00C07372" w:rsidP="00C07372">
      <w:r w:rsidRPr="008D4758">
        <w:t xml:space="preserve">Procedures should be put into place to ensure work health and safety incidents are promptly </w:t>
      </w:r>
      <w:r w:rsidR="006E5C46" w:rsidRPr="008D4758">
        <w:t>notified to the people responsible for responding to them</w:t>
      </w:r>
      <w:r w:rsidRPr="008D4758">
        <w:t>, for example a manager and then</w:t>
      </w:r>
      <w:r w:rsidRPr="008D4758">
        <w:rPr>
          <w:strike/>
        </w:rPr>
        <w:t xml:space="preserve"> </w:t>
      </w:r>
      <w:r w:rsidRPr="008D4758">
        <w:t>notified to the regulator, if required.</w:t>
      </w:r>
    </w:p>
    <w:p w14:paraId="56A38745" w14:textId="77777777" w:rsidR="00C07372" w:rsidRPr="008D4758" w:rsidRDefault="00C07372" w:rsidP="00C07372">
      <w:pPr>
        <w:pStyle w:val="Heading3"/>
      </w:pPr>
      <w:r w:rsidRPr="008D4758">
        <w:t>Incidents involving multiple businesses or undertakings</w:t>
      </w:r>
    </w:p>
    <w:p w14:paraId="56A38746" w14:textId="77777777" w:rsidR="00C07372" w:rsidRPr="008D4758" w:rsidRDefault="00C07372" w:rsidP="00C07372">
      <w:r w:rsidRPr="008D4758">
        <w:t xml:space="preserve">If </w:t>
      </w:r>
      <w:r w:rsidR="002D63B0" w:rsidRPr="008D4758">
        <w:t>a</w:t>
      </w:r>
      <w:r w:rsidRPr="008D4758">
        <w:t xml:space="preserve"> ‘notifiable incident’ arises out of more than one business or undertaking then each must ensure that the incident has </w:t>
      </w:r>
      <w:r w:rsidR="004D2BFD" w:rsidRPr="008D4758">
        <w:t>been notified to the regulator.</w:t>
      </w:r>
    </w:p>
    <w:p w14:paraId="56A38747" w14:textId="77777777" w:rsidR="00C07372" w:rsidRPr="008D4758" w:rsidRDefault="00C07372" w:rsidP="00C07372">
      <w:r w:rsidRPr="008D4758">
        <w:t>There is no need for all duty holders to notify—only one needs to.</w:t>
      </w:r>
      <w:r w:rsidR="00854CCA" w:rsidRPr="008D4758">
        <w:t xml:space="preserve"> However, all duty holders retain their responsibility to notify, regardless of any agreement between them.</w:t>
      </w:r>
    </w:p>
    <w:p w14:paraId="56A38748" w14:textId="77777777" w:rsidR="00C07372" w:rsidRPr="008D4758" w:rsidRDefault="00C07372" w:rsidP="00C07372">
      <w:r w:rsidRPr="008D4758">
        <w:t>In these circumstances the duty holders must, so far as is reasonably practicable, consult, cooperate and coordinate to put appropriate reporting and noti</w:t>
      </w:r>
      <w:r w:rsidR="004D2BFD" w:rsidRPr="008D4758">
        <w:t>fication arrangements in place.</w:t>
      </w:r>
    </w:p>
    <w:p w14:paraId="56A38749" w14:textId="77777777" w:rsidR="00C07372" w:rsidRPr="008D4758" w:rsidRDefault="00C07372" w:rsidP="00C07372">
      <w:r w:rsidRPr="008D4758">
        <w:t xml:space="preserve">For example contractors at a construction workplace may agree that the principal contractor for the workplace will notify all ‘notifiable incidents’ that </w:t>
      </w:r>
      <w:r w:rsidR="004D2BFD" w:rsidRPr="008D4758">
        <w:t>occur at the workplace.</w:t>
      </w:r>
    </w:p>
    <w:p w14:paraId="56A3874A" w14:textId="77777777" w:rsidR="00C07372" w:rsidRPr="00234336" w:rsidRDefault="00C07372" w:rsidP="00C07372">
      <w:pPr>
        <w:pStyle w:val="Heading3"/>
      </w:pPr>
      <w:r w:rsidRPr="00AB54B4">
        <w:t>Incidents involving a ‘State-based contractor working for a Commonwealth entity’</w:t>
      </w:r>
    </w:p>
    <w:p w14:paraId="56A3874B" w14:textId="77777777" w:rsidR="00C07372" w:rsidRDefault="00C07372" w:rsidP="00C07372">
      <w:r>
        <w:t>Workplaces shared by a Commonwealth entity and one or more state-based contractors may be covered by both Commonwealth and state or territory work health and safety (WHS) laws.</w:t>
      </w:r>
    </w:p>
    <w:p w14:paraId="56A3874C" w14:textId="77777777" w:rsidR="00C07372" w:rsidRDefault="00C07372" w:rsidP="00C07372">
      <w:pPr>
        <w:rPr>
          <w:rFonts w:cs="Arial"/>
        </w:rPr>
      </w:pPr>
      <w:r>
        <w:t xml:space="preserve">For example an asbestos removal company is engaged by the Department of Defence (Defence) to carry out asbestos removal work at Randwick Army Barracks in Sydney and a dangerous incident occurs (as defined above). Because the incident has occurred at a place where work is carried out for Defence (on behalf of the Commonwealth) the company must ensure that both Comcare and WorkCover NSW are notified of the incident. Defence and the company may co-operate so that only one notification is made to Comcare on behalf of both. </w:t>
      </w:r>
      <w:r>
        <w:rPr>
          <w:rFonts w:cs="Arial"/>
        </w:rPr>
        <w:t xml:space="preserve"> </w:t>
      </w:r>
    </w:p>
    <w:p w14:paraId="56A3874D" w14:textId="77777777" w:rsidR="00C07372" w:rsidRPr="00DE4239" w:rsidRDefault="00C07372" w:rsidP="00C07372">
      <w:pPr>
        <w:pStyle w:val="Heading2"/>
      </w:pPr>
      <w:r>
        <w:t>When and how to notify</w:t>
      </w:r>
    </w:p>
    <w:p w14:paraId="56A3874E" w14:textId="77777777" w:rsidR="00C07372" w:rsidRPr="00FC3104" w:rsidRDefault="0036241E" w:rsidP="00C07372">
      <w:pPr>
        <w:spacing w:after="120"/>
        <w:rPr>
          <w:rFonts w:cs="Arial"/>
        </w:rPr>
      </w:pPr>
      <w:r w:rsidRPr="00FC3104">
        <w:rPr>
          <w:rFonts w:cs="Arial"/>
        </w:rPr>
        <w:t xml:space="preserve">You must notify the </w:t>
      </w:r>
      <w:r w:rsidR="00C07372" w:rsidRPr="00FC3104">
        <w:rPr>
          <w:rFonts w:cs="Arial"/>
        </w:rPr>
        <w:t>regulator immediately after</w:t>
      </w:r>
      <w:r w:rsidRPr="00FC3104">
        <w:rPr>
          <w:rFonts w:cs="Arial"/>
        </w:rPr>
        <w:t xml:space="preserve"> </w:t>
      </w:r>
      <w:r w:rsidR="00C07372" w:rsidRPr="00FC3104">
        <w:rPr>
          <w:rFonts w:cs="Arial"/>
        </w:rPr>
        <w:t>becom</w:t>
      </w:r>
      <w:r w:rsidR="00951B35" w:rsidRPr="00FC3104">
        <w:rPr>
          <w:rFonts w:cs="Arial"/>
        </w:rPr>
        <w:t>ing</w:t>
      </w:r>
      <w:r w:rsidR="00C07372" w:rsidRPr="00FC3104">
        <w:rPr>
          <w:rFonts w:cs="Arial"/>
        </w:rPr>
        <w:t xml:space="preserve"> aware of </w:t>
      </w:r>
      <w:r w:rsidRPr="00FC3104">
        <w:rPr>
          <w:rFonts w:cs="Arial"/>
        </w:rPr>
        <w:t>a ‘notifiable incident’.</w:t>
      </w:r>
    </w:p>
    <w:p w14:paraId="56A3874F" w14:textId="77777777" w:rsidR="0036241E" w:rsidRPr="00FC3104" w:rsidRDefault="00C07372" w:rsidP="0036241E">
      <w:pPr>
        <w:spacing w:after="120"/>
        <w:rPr>
          <w:rFonts w:cs="Arial"/>
        </w:rPr>
      </w:pPr>
      <w:r w:rsidRPr="00FC3104">
        <w:rPr>
          <w:rFonts w:cs="Arial"/>
        </w:rPr>
        <w:lastRenderedPageBreak/>
        <w:t>The notice must be given by the fastest possible means</w:t>
      </w:r>
      <w:r w:rsidR="006A27FA" w:rsidRPr="00FC3104">
        <w:rPr>
          <w:rFonts w:cs="Arial"/>
        </w:rPr>
        <w:t>—</w:t>
      </w:r>
      <w:r w:rsidRPr="00FC3104">
        <w:rPr>
          <w:rFonts w:cs="Arial"/>
        </w:rPr>
        <w:t>which could be by telephone or in writing, for example by email or o</w:t>
      </w:r>
      <w:r w:rsidR="006A27FA" w:rsidRPr="00FC3104">
        <w:rPr>
          <w:rFonts w:cs="Arial"/>
        </w:rPr>
        <w:t>nline (if available)</w:t>
      </w:r>
      <w:r w:rsidR="0036241E" w:rsidRPr="00FC3104">
        <w:rPr>
          <w:rFonts w:cs="Arial"/>
        </w:rPr>
        <w:t xml:space="preserve">. See </w:t>
      </w:r>
      <w:r w:rsidR="0036241E" w:rsidRPr="0098300A">
        <w:rPr>
          <w:rFonts w:cs="Arial"/>
        </w:rPr>
        <w:t>page 8</w:t>
      </w:r>
      <w:r w:rsidR="0036241E" w:rsidRPr="00FC3104">
        <w:rPr>
          <w:rFonts w:cs="Arial"/>
        </w:rPr>
        <w:t xml:space="preserve"> for contact details.</w:t>
      </w:r>
    </w:p>
    <w:p w14:paraId="56A38750" w14:textId="77777777" w:rsidR="00C07372" w:rsidRPr="00FC3104" w:rsidRDefault="00C07372" w:rsidP="00C07372">
      <w:pPr>
        <w:spacing w:after="120"/>
        <w:rPr>
          <w:rFonts w:cs="Arial"/>
        </w:rPr>
      </w:pPr>
      <w:r w:rsidRPr="00FC3104">
        <w:rPr>
          <w:rFonts w:cs="Arial"/>
        </w:rPr>
        <w:t>Regulators have adopted a common</w:t>
      </w:r>
      <w:r w:rsidR="00FD44A5" w:rsidRPr="00FC3104">
        <w:rPr>
          <w:rFonts w:cs="Arial"/>
        </w:rPr>
        <w:t>-</w:t>
      </w:r>
      <w:r w:rsidRPr="00FC3104">
        <w:rPr>
          <w:rFonts w:cs="Arial"/>
        </w:rPr>
        <w:t xml:space="preserve">sense approach to assessing whether an incident has been notified immediately. </w:t>
      </w:r>
      <w:r w:rsidR="00FD44A5" w:rsidRPr="00FC3104">
        <w:rPr>
          <w:rFonts w:cs="Arial"/>
        </w:rPr>
        <w:t>This means</w:t>
      </w:r>
      <w:r w:rsidRPr="00FC3104">
        <w:rPr>
          <w:rFonts w:cs="Arial"/>
        </w:rPr>
        <w:t xml:space="preserve"> incidents must be notified </w:t>
      </w:r>
      <w:r w:rsidR="0036241E" w:rsidRPr="00FC3104">
        <w:rPr>
          <w:rFonts w:cs="Arial"/>
        </w:rPr>
        <w:t>as soon as</w:t>
      </w:r>
      <w:r w:rsidRPr="00FC3104">
        <w:rPr>
          <w:rFonts w:cs="Arial"/>
        </w:rPr>
        <w:t xml:space="preserve"> the particular circumstances permit.</w:t>
      </w:r>
    </w:p>
    <w:p w14:paraId="56A38751" w14:textId="77777777" w:rsidR="00951B35" w:rsidRPr="00FC3104" w:rsidRDefault="00C07372" w:rsidP="00C07372">
      <w:pPr>
        <w:spacing w:after="120"/>
        <w:rPr>
          <w:rFonts w:cs="Arial"/>
        </w:rPr>
      </w:pPr>
      <w:r w:rsidRPr="00FC3104">
        <w:rPr>
          <w:rFonts w:cs="Arial"/>
        </w:rPr>
        <w:t xml:space="preserve">In general a PCBU ‘becomes aware’ of a notifiable incident </w:t>
      </w:r>
      <w:r w:rsidR="00FD44A5" w:rsidRPr="00FC3104">
        <w:rPr>
          <w:rFonts w:cs="Arial"/>
        </w:rPr>
        <w:t>once</w:t>
      </w:r>
      <w:r w:rsidRPr="00FC3104">
        <w:rPr>
          <w:rFonts w:cs="Arial"/>
        </w:rPr>
        <w:t xml:space="preserve"> any of their</w:t>
      </w:r>
      <w:r w:rsidR="0036241E" w:rsidRPr="00FC3104">
        <w:rPr>
          <w:rFonts w:cs="Arial"/>
        </w:rPr>
        <w:t xml:space="preserve"> </w:t>
      </w:r>
      <w:r w:rsidRPr="00FC3104">
        <w:rPr>
          <w:rFonts w:cs="Arial"/>
        </w:rPr>
        <w:t>supervisor</w:t>
      </w:r>
      <w:r w:rsidR="00FD44A5" w:rsidRPr="00FC3104">
        <w:rPr>
          <w:rFonts w:cs="Arial"/>
        </w:rPr>
        <w:t>s</w:t>
      </w:r>
      <w:r w:rsidRPr="00FC3104">
        <w:rPr>
          <w:rFonts w:cs="Arial"/>
        </w:rPr>
        <w:t xml:space="preserve"> or manager</w:t>
      </w:r>
      <w:r w:rsidR="0036241E" w:rsidRPr="00FC3104">
        <w:rPr>
          <w:rFonts w:cs="Arial"/>
        </w:rPr>
        <w:t>s</w:t>
      </w:r>
      <w:r w:rsidRPr="00FC3104">
        <w:rPr>
          <w:rFonts w:cs="Arial"/>
        </w:rPr>
        <w:t xml:space="preserve"> become</w:t>
      </w:r>
      <w:r w:rsidR="0036241E" w:rsidRPr="00FC3104">
        <w:rPr>
          <w:rFonts w:cs="Arial"/>
        </w:rPr>
        <w:t>s</w:t>
      </w:r>
      <w:r w:rsidRPr="00FC3104">
        <w:rPr>
          <w:rFonts w:cs="Arial"/>
        </w:rPr>
        <w:t xml:space="preserve"> aware of th</w:t>
      </w:r>
      <w:r w:rsidR="006A27FA" w:rsidRPr="00FC3104">
        <w:rPr>
          <w:rFonts w:cs="Arial"/>
        </w:rPr>
        <w:t>e</w:t>
      </w:r>
      <w:r w:rsidRPr="00FC3104">
        <w:rPr>
          <w:rFonts w:cs="Arial"/>
        </w:rPr>
        <w:t xml:space="preserve"> incident. For example </w:t>
      </w:r>
      <w:r w:rsidR="00951B35" w:rsidRPr="00FC3104">
        <w:rPr>
          <w:rFonts w:cs="Arial"/>
        </w:rPr>
        <w:t xml:space="preserve">when a </w:t>
      </w:r>
      <w:r w:rsidR="0036241E" w:rsidRPr="00FC3104">
        <w:rPr>
          <w:rFonts w:cs="Arial"/>
        </w:rPr>
        <w:t xml:space="preserve">worker suffers a serious injury and reports it to </w:t>
      </w:r>
      <w:r w:rsidRPr="00FC3104">
        <w:rPr>
          <w:rFonts w:cs="Arial"/>
        </w:rPr>
        <w:t>their immediate supervisor</w:t>
      </w:r>
      <w:r w:rsidR="0036241E" w:rsidRPr="00FC3104">
        <w:rPr>
          <w:rFonts w:cs="Arial"/>
        </w:rPr>
        <w:t>,</w:t>
      </w:r>
      <w:r w:rsidRPr="00FC3104">
        <w:rPr>
          <w:rFonts w:cs="Arial"/>
        </w:rPr>
        <w:t xml:space="preserve"> it is at this point that the PCBU is considered to be aware of the incident. </w:t>
      </w:r>
    </w:p>
    <w:p w14:paraId="56A38752" w14:textId="77777777" w:rsidR="00C07372" w:rsidRPr="00FC3104" w:rsidRDefault="00FC3104" w:rsidP="00C07372">
      <w:pPr>
        <w:spacing w:after="120"/>
        <w:rPr>
          <w:rFonts w:cs="Arial"/>
        </w:rPr>
      </w:pPr>
      <w:r w:rsidRPr="00FC3104">
        <w:rPr>
          <w:rFonts w:cs="Arial"/>
        </w:rPr>
        <w:t xml:space="preserve">It is therefore </w:t>
      </w:r>
      <w:r w:rsidR="00C07372" w:rsidRPr="00FC3104">
        <w:rPr>
          <w:rFonts w:cs="Arial"/>
        </w:rPr>
        <w:t>essential t</w:t>
      </w:r>
      <w:r w:rsidR="00653223" w:rsidRPr="00FC3104">
        <w:rPr>
          <w:rFonts w:cs="Arial"/>
        </w:rPr>
        <w:t>o</w:t>
      </w:r>
      <w:r w:rsidR="00C07372" w:rsidRPr="00FC3104">
        <w:rPr>
          <w:rFonts w:cs="Arial"/>
        </w:rPr>
        <w:t xml:space="preserve"> develop internal communication systems to ensure </w:t>
      </w:r>
      <w:r w:rsidR="00951B35" w:rsidRPr="00FC3104">
        <w:rPr>
          <w:rFonts w:cs="Arial"/>
        </w:rPr>
        <w:t xml:space="preserve">health or </w:t>
      </w:r>
      <w:r w:rsidR="00C07372" w:rsidRPr="00FC3104">
        <w:rPr>
          <w:rFonts w:cs="Arial"/>
        </w:rPr>
        <w:t>safety incidents are promptly</w:t>
      </w:r>
      <w:r w:rsidRPr="00FC3104">
        <w:rPr>
          <w:rFonts w:cs="Arial"/>
        </w:rPr>
        <w:t xml:space="preserve"> b</w:t>
      </w:r>
      <w:r w:rsidR="00C07372" w:rsidRPr="00FC3104">
        <w:rPr>
          <w:rFonts w:cs="Arial"/>
        </w:rPr>
        <w:t>rought to t</w:t>
      </w:r>
      <w:r w:rsidR="00951B35" w:rsidRPr="00FC3104">
        <w:rPr>
          <w:rFonts w:cs="Arial"/>
        </w:rPr>
        <w:t>he relevant persons’ attention.</w:t>
      </w:r>
    </w:p>
    <w:p w14:paraId="56A38753" w14:textId="77777777" w:rsidR="00C07372" w:rsidRDefault="00C07372" w:rsidP="00C07372">
      <w:pPr>
        <w:pStyle w:val="Heading3"/>
      </w:pPr>
      <w:r>
        <w:t>What information will be requested?</w:t>
      </w:r>
    </w:p>
    <w:p w14:paraId="56A38754" w14:textId="77777777" w:rsidR="00C07372" w:rsidRPr="00B032B5" w:rsidRDefault="006A27FA" w:rsidP="00FC3104">
      <w:pPr>
        <w:spacing w:after="120"/>
        <w:rPr>
          <w:rFonts w:cs="Arial"/>
        </w:rPr>
      </w:pPr>
      <w:r w:rsidRPr="00B032B5">
        <w:t>At first, t</w:t>
      </w:r>
      <w:r w:rsidR="00B159F2" w:rsidRPr="00B032B5">
        <w:t>he regulator will ask for a</w:t>
      </w:r>
      <w:r w:rsidR="00DF1BD8" w:rsidRPr="00B032B5">
        <w:t xml:space="preserve"> </w:t>
      </w:r>
      <w:r w:rsidR="00C07372" w:rsidRPr="00B032B5">
        <w:t>clear description of the incident with as much detail as possible</w:t>
      </w:r>
      <w:r w:rsidR="00B159F2" w:rsidRPr="00B032B5">
        <w:t>.</w:t>
      </w:r>
      <w:r w:rsidR="00C07372" w:rsidRPr="00B032B5">
        <w:t xml:space="preserve"> </w:t>
      </w:r>
      <w:r w:rsidR="00B159F2" w:rsidRPr="00B032B5">
        <w:t xml:space="preserve">This </w:t>
      </w:r>
      <w:r w:rsidR="00C07372" w:rsidRPr="00B032B5">
        <w:t>will help the regulator assess whether or not the incident is notifiable and the need for a follow-up investigation</w:t>
      </w:r>
      <w:r w:rsidR="00FC3104" w:rsidRPr="00B032B5">
        <w:t>.</w:t>
      </w:r>
      <w:r w:rsidR="00C07372" w:rsidRPr="00B032B5">
        <w:t xml:space="preserve"> </w:t>
      </w:r>
      <w:r w:rsidR="00653223" w:rsidRPr="00B032B5">
        <w:t>T</w:t>
      </w:r>
      <w:r w:rsidR="00DF1BD8" w:rsidRPr="00B032B5">
        <w:t xml:space="preserve">he following information is usually requested: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shows what information will be requested from the regulator when reporting and notifiable incident."/>
      </w:tblPr>
      <w:tblGrid>
        <w:gridCol w:w="2943"/>
        <w:gridCol w:w="6663"/>
      </w:tblGrid>
      <w:tr w:rsidR="00C07372" w14:paraId="56A38758" w14:textId="77777777" w:rsidTr="00192EA5">
        <w:tc>
          <w:tcPr>
            <w:tcW w:w="2943" w:type="dxa"/>
          </w:tcPr>
          <w:p w14:paraId="56A38755" w14:textId="77777777" w:rsidR="00C07372" w:rsidRPr="00492913" w:rsidRDefault="00C07372" w:rsidP="00841E86">
            <w:pPr>
              <w:spacing w:after="120"/>
              <w:rPr>
                <w:rFonts w:cs="Arial"/>
                <w:b/>
              </w:rPr>
            </w:pPr>
            <w:r w:rsidRPr="00492913">
              <w:rPr>
                <w:rFonts w:cs="Arial"/>
                <w:b/>
              </w:rPr>
              <w:t>What happened: an overview</w:t>
            </w:r>
          </w:p>
        </w:tc>
        <w:tc>
          <w:tcPr>
            <w:tcW w:w="6663" w:type="dxa"/>
          </w:tcPr>
          <w:p w14:paraId="56A38756" w14:textId="77777777" w:rsidR="00C07372" w:rsidRPr="00A229EE" w:rsidRDefault="00C07372" w:rsidP="00307F3C">
            <w:pPr>
              <w:pStyle w:val="ListParagraph"/>
              <w:numPr>
                <w:ilvl w:val="0"/>
                <w:numId w:val="15"/>
              </w:numPr>
              <w:spacing w:before="60"/>
              <w:ind w:left="340" w:hanging="340"/>
              <w:contextualSpacing w:val="0"/>
              <w:rPr>
                <w:rFonts w:cs="Arial"/>
              </w:rPr>
            </w:pPr>
            <w:r w:rsidRPr="00A229EE">
              <w:rPr>
                <w:rFonts w:cs="Arial"/>
              </w:rPr>
              <w:t>Provide an overview of what happened.</w:t>
            </w:r>
          </w:p>
          <w:p w14:paraId="56A38757" w14:textId="77777777" w:rsidR="00C07372" w:rsidRPr="00A229EE" w:rsidRDefault="00C07372" w:rsidP="00307F3C">
            <w:pPr>
              <w:pStyle w:val="ListParagraph"/>
              <w:numPr>
                <w:ilvl w:val="0"/>
                <w:numId w:val="15"/>
              </w:numPr>
              <w:spacing w:before="60"/>
              <w:ind w:left="340" w:hanging="340"/>
              <w:contextualSpacing w:val="0"/>
              <w:rPr>
                <w:rFonts w:cs="Arial"/>
              </w:rPr>
            </w:pPr>
            <w:r w:rsidRPr="00A229EE">
              <w:rPr>
                <w:rFonts w:cs="Arial"/>
              </w:rPr>
              <w:t>Nominate the type of notifiable incident—was it death, serious injury or illness, or ‘dangerous incident’ (as defined above)?</w:t>
            </w:r>
          </w:p>
        </w:tc>
      </w:tr>
      <w:tr w:rsidR="00C07372" w14:paraId="56A3875B" w14:textId="77777777" w:rsidTr="00192EA5">
        <w:tc>
          <w:tcPr>
            <w:tcW w:w="2943" w:type="dxa"/>
          </w:tcPr>
          <w:p w14:paraId="56A38759" w14:textId="77777777" w:rsidR="00C07372" w:rsidRPr="00492913" w:rsidRDefault="00C07372" w:rsidP="00841E86">
            <w:pPr>
              <w:spacing w:after="120"/>
              <w:rPr>
                <w:rFonts w:cs="Arial"/>
                <w:b/>
              </w:rPr>
            </w:pPr>
            <w:r w:rsidRPr="00492913">
              <w:rPr>
                <w:rFonts w:cs="Arial"/>
                <w:b/>
              </w:rPr>
              <w:t>When did it happen</w:t>
            </w:r>
          </w:p>
        </w:tc>
        <w:tc>
          <w:tcPr>
            <w:tcW w:w="6663" w:type="dxa"/>
          </w:tcPr>
          <w:p w14:paraId="56A3875A" w14:textId="77777777" w:rsidR="00C07372" w:rsidRPr="00A229EE" w:rsidRDefault="00C07372" w:rsidP="00841E86">
            <w:pPr>
              <w:spacing w:after="120"/>
              <w:rPr>
                <w:rFonts w:cs="Arial"/>
              </w:rPr>
            </w:pPr>
            <w:r w:rsidRPr="00A229EE">
              <w:rPr>
                <w:rFonts w:cs="Arial"/>
              </w:rPr>
              <w:t>Date and time.</w:t>
            </w:r>
          </w:p>
        </w:tc>
      </w:tr>
      <w:tr w:rsidR="00C07372" w14:paraId="56A3875F" w14:textId="77777777" w:rsidTr="00192EA5">
        <w:tc>
          <w:tcPr>
            <w:tcW w:w="2943" w:type="dxa"/>
          </w:tcPr>
          <w:p w14:paraId="56A3875C" w14:textId="77777777" w:rsidR="00C07372" w:rsidRPr="00492913" w:rsidRDefault="00C07372" w:rsidP="00841E86">
            <w:pPr>
              <w:spacing w:after="120"/>
              <w:rPr>
                <w:rFonts w:cs="Arial"/>
                <w:b/>
              </w:rPr>
            </w:pPr>
            <w:r w:rsidRPr="00492913">
              <w:rPr>
                <w:rFonts w:cs="Arial"/>
                <w:b/>
              </w:rPr>
              <w:t>Where did it happen</w:t>
            </w:r>
          </w:p>
        </w:tc>
        <w:tc>
          <w:tcPr>
            <w:tcW w:w="6663" w:type="dxa"/>
          </w:tcPr>
          <w:p w14:paraId="56A3875D" w14:textId="77777777" w:rsidR="00C07372" w:rsidRPr="00A229EE" w:rsidRDefault="00C07372" w:rsidP="00841E86">
            <w:pPr>
              <w:spacing w:after="120"/>
              <w:rPr>
                <w:rFonts w:cs="Arial"/>
              </w:rPr>
            </w:pPr>
            <w:r w:rsidRPr="00A229EE">
              <w:rPr>
                <w:rFonts w:cs="Arial"/>
              </w:rPr>
              <w:t>Incident address.</w:t>
            </w:r>
          </w:p>
          <w:p w14:paraId="56A3875E" w14:textId="77777777" w:rsidR="00C07372" w:rsidRPr="00A229EE" w:rsidRDefault="00C07372" w:rsidP="00841E86">
            <w:pPr>
              <w:spacing w:after="120"/>
              <w:rPr>
                <w:rFonts w:cs="Arial"/>
              </w:rPr>
            </w:pPr>
            <w:r w:rsidRPr="00A229EE">
              <w:rPr>
                <w:rFonts w:cs="Arial"/>
              </w:rPr>
              <w:t>Details that describe the specific location of the notifiable incident—for example section of the warehouse or the particular piece of equipment that the incident involved—to assist instructions about site disturbance.</w:t>
            </w:r>
          </w:p>
        </w:tc>
      </w:tr>
      <w:tr w:rsidR="00C07372" w14:paraId="56A38762" w14:textId="77777777" w:rsidTr="00192EA5">
        <w:tc>
          <w:tcPr>
            <w:tcW w:w="2943" w:type="dxa"/>
          </w:tcPr>
          <w:p w14:paraId="56A38760" w14:textId="77777777" w:rsidR="00C07372" w:rsidRPr="00492913" w:rsidRDefault="00C07372" w:rsidP="00FC3104">
            <w:pPr>
              <w:spacing w:after="120"/>
              <w:rPr>
                <w:rFonts w:cs="Arial"/>
                <w:b/>
              </w:rPr>
            </w:pPr>
            <w:r w:rsidRPr="00492913">
              <w:rPr>
                <w:rFonts w:cs="Arial"/>
                <w:b/>
              </w:rPr>
              <w:t xml:space="preserve">What happened </w:t>
            </w:r>
          </w:p>
        </w:tc>
        <w:tc>
          <w:tcPr>
            <w:tcW w:w="6663" w:type="dxa"/>
          </w:tcPr>
          <w:p w14:paraId="56A38761" w14:textId="77777777" w:rsidR="00C07372" w:rsidRPr="00A229EE" w:rsidRDefault="00C07372" w:rsidP="00841E86">
            <w:pPr>
              <w:spacing w:after="120"/>
              <w:rPr>
                <w:rFonts w:cs="Arial"/>
              </w:rPr>
            </w:pPr>
            <w:r w:rsidRPr="00A229EE">
              <w:rPr>
                <w:rFonts w:cs="Arial"/>
              </w:rPr>
              <w:t>Detailed description of the notifiable incident.</w:t>
            </w:r>
          </w:p>
        </w:tc>
      </w:tr>
      <w:tr w:rsidR="00C07372" w14:paraId="56A38767" w14:textId="77777777" w:rsidTr="00192EA5">
        <w:tc>
          <w:tcPr>
            <w:tcW w:w="2943" w:type="dxa"/>
          </w:tcPr>
          <w:p w14:paraId="56A38763" w14:textId="77777777" w:rsidR="00C07372" w:rsidRPr="00492913" w:rsidRDefault="00C07372" w:rsidP="00841E86">
            <w:pPr>
              <w:spacing w:after="120"/>
              <w:rPr>
                <w:rFonts w:cs="Arial"/>
                <w:b/>
              </w:rPr>
            </w:pPr>
            <w:r w:rsidRPr="00492913">
              <w:rPr>
                <w:rFonts w:cs="Arial"/>
                <w:b/>
              </w:rPr>
              <w:t>Who did it happen to</w:t>
            </w:r>
          </w:p>
        </w:tc>
        <w:tc>
          <w:tcPr>
            <w:tcW w:w="6663" w:type="dxa"/>
          </w:tcPr>
          <w:p w14:paraId="56A38764" w14:textId="77777777" w:rsidR="00C07372" w:rsidRPr="00A229EE" w:rsidRDefault="00C07372" w:rsidP="00307F3C">
            <w:pPr>
              <w:pStyle w:val="ListParagraph"/>
              <w:numPr>
                <w:ilvl w:val="0"/>
                <w:numId w:val="15"/>
              </w:numPr>
              <w:spacing w:before="60"/>
              <w:ind w:left="340" w:hanging="340"/>
              <w:contextualSpacing w:val="0"/>
              <w:rPr>
                <w:rFonts w:cs="Arial"/>
              </w:rPr>
            </w:pPr>
            <w:r w:rsidRPr="00A229EE">
              <w:rPr>
                <w:rFonts w:cs="Arial"/>
              </w:rPr>
              <w:t>Injured person’s name, date of birth, address and contact number.</w:t>
            </w:r>
          </w:p>
          <w:p w14:paraId="56A38765" w14:textId="77777777" w:rsidR="00C07372" w:rsidRPr="00A229EE" w:rsidRDefault="00C07372" w:rsidP="00307F3C">
            <w:pPr>
              <w:pStyle w:val="ListParagraph"/>
              <w:numPr>
                <w:ilvl w:val="0"/>
                <w:numId w:val="15"/>
              </w:numPr>
              <w:spacing w:before="60"/>
              <w:ind w:left="340" w:hanging="340"/>
              <w:contextualSpacing w:val="0"/>
              <w:rPr>
                <w:rFonts w:cs="Arial"/>
              </w:rPr>
            </w:pPr>
            <w:r w:rsidRPr="00A229EE">
              <w:rPr>
                <w:rFonts w:cs="Arial"/>
              </w:rPr>
              <w:t>Injured person’s occupation.</w:t>
            </w:r>
          </w:p>
          <w:p w14:paraId="56A38766" w14:textId="77777777" w:rsidR="00C07372" w:rsidRPr="00A229EE" w:rsidRDefault="00C07372" w:rsidP="00307F3C">
            <w:pPr>
              <w:pStyle w:val="ListParagraph"/>
              <w:numPr>
                <w:ilvl w:val="0"/>
                <w:numId w:val="15"/>
              </w:numPr>
              <w:spacing w:before="60"/>
              <w:ind w:left="340" w:hanging="340"/>
              <w:contextualSpacing w:val="0"/>
              <w:rPr>
                <w:rFonts w:cs="Arial"/>
              </w:rPr>
            </w:pPr>
            <w:r w:rsidRPr="00A229EE">
              <w:rPr>
                <w:rFonts w:cs="Arial"/>
              </w:rPr>
              <w:t>Relationship of the injured person to the entity notifying.</w:t>
            </w:r>
          </w:p>
        </w:tc>
      </w:tr>
      <w:tr w:rsidR="00C07372" w14:paraId="56A3876C" w14:textId="77777777" w:rsidTr="00192EA5">
        <w:tc>
          <w:tcPr>
            <w:tcW w:w="2943" w:type="dxa"/>
          </w:tcPr>
          <w:p w14:paraId="56A38768" w14:textId="77777777" w:rsidR="00C07372" w:rsidRPr="00492913" w:rsidRDefault="00C07372" w:rsidP="00841E86">
            <w:pPr>
              <w:spacing w:after="120"/>
              <w:rPr>
                <w:rFonts w:cs="Arial"/>
                <w:b/>
              </w:rPr>
            </w:pPr>
            <w:r w:rsidRPr="00492913">
              <w:rPr>
                <w:rFonts w:cs="Arial"/>
                <w:b/>
              </w:rPr>
              <w:t>How and where are they being treated (if applicable)</w:t>
            </w:r>
          </w:p>
        </w:tc>
        <w:tc>
          <w:tcPr>
            <w:tcW w:w="6663" w:type="dxa"/>
          </w:tcPr>
          <w:p w14:paraId="56A38769" w14:textId="77777777" w:rsidR="00C07372" w:rsidRPr="00A229EE" w:rsidRDefault="00C07372" w:rsidP="00307F3C">
            <w:pPr>
              <w:pStyle w:val="ListParagraph"/>
              <w:numPr>
                <w:ilvl w:val="0"/>
                <w:numId w:val="15"/>
              </w:numPr>
              <w:spacing w:before="60"/>
              <w:ind w:left="340" w:hanging="340"/>
              <w:contextualSpacing w:val="0"/>
              <w:rPr>
                <w:rFonts w:cs="Arial"/>
              </w:rPr>
            </w:pPr>
            <w:r w:rsidRPr="00A229EE">
              <w:rPr>
                <w:rFonts w:cs="Arial"/>
              </w:rPr>
              <w:t xml:space="preserve">Description of serious injury or illness—i.e. nature of injury </w:t>
            </w:r>
          </w:p>
          <w:p w14:paraId="56A3876A" w14:textId="77777777" w:rsidR="00C07372" w:rsidRPr="00A229EE" w:rsidRDefault="00C07372" w:rsidP="00307F3C">
            <w:pPr>
              <w:pStyle w:val="ListParagraph"/>
              <w:numPr>
                <w:ilvl w:val="0"/>
                <w:numId w:val="15"/>
              </w:numPr>
              <w:spacing w:before="60"/>
              <w:ind w:left="340" w:hanging="340"/>
              <w:contextualSpacing w:val="0"/>
              <w:rPr>
                <w:rFonts w:cs="Arial"/>
              </w:rPr>
            </w:pPr>
            <w:r w:rsidRPr="00A229EE">
              <w:rPr>
                <w:rFonts w:cs="Arial"/>
              </w:rPr>
              <w:t>Initial treatment of serious injury or illness.</w:t>
            </w:r>
          </w:p>
          <w:p w14:paraId="56A3876B" w14:textId="77777777" w:rsidR="00C07372" w:rsidRPr="00A229EE" w:rsidRDefault="00C07372" w:rsidP="00307F3C">
            <w:pPr>
              <w:pStyle w:val="ListParagraph"/>
              <w:numPr>
                <w:ilvl w:val="0"/>
                <w:numId w:val="15"/>
              </w:numPr>
              <w:spacing w:before="60"/>
              <w:ind w:left="340" w:hanging="340"/>
              <w:contextualSpacing w:val="0"/>
              <w:rPr>
                <w:rFonts w:cs="Arial"/>
              </w:rPr>
            </w:pPr>
            <w:r w:rsidRPr="00A229EE">
              <w:rPr>
                <w:rFonts w:cs="Arial"/>
              </w:rPr>
              <w:t>Where the patient has been taken for treatment.</w:t>
            </w:r>
          </w:p>
        </w:tc>
      </w:tr>
      <w:tr w:rsidR="00C07372" w14:paraId="56A38770" w14:textId="77777777" w:rsidTr="00192EA5">
        <w:tc>
          <w:tcPr>
            <w:tcW w:w="2943" w:type="dxa"/>
          </w:tcPr>
          <w:p w14:paraId="56A3876D" w14:textId="77777777" w:rsidR="00C07372" w:rsidRPr="00492913" w:rsidRDefault="00C07372" w:rsidP="00841E86">
            <w:pPr>
              <w:spacing w:after="120"/>
              <w:rPr>
                <w:rFonts w:cs="Arial"/>
                <w:b/>
              </w:rPr>
            </w:pPr>
            <w:r w:rsidRPr="00492913">
              <w:rPr>
                <w:rFonts w:cs="Arial"/>
                <w:b/>
              </w:rPr>
              <w:t>Who is the person conducting the business or undertaking (there may be more than one)</w:t>
            </w:r>
          </w:p>
        </w:tc>
        <w:tc>
          <w:tcPr>
            <w:tcW w:w="6663" w:type="dxa"/>
          </w:tcPr>
          <w:p w14:paraId="56A3876E" w14:textId="77777777" w:rsidR="00C07372" w:rsidRPr="00A229EE" w:rsidRDefault="00C07372" w:rsidP="00307F3C">
            <w:pPr>
              <w:pStyle w:val="ListParagraph"/>
              <w:numPr>
                <w:ilvl w:val="0"/>
                <w:numId w:val="15"/>
              </w:numPr>
              <w:spacing w:before="60"/>
              <w:ind w:left="340" w:hanging="340"/>
              <w:contextualSpacing w:val="0"/>
              <w:rPr>
                <w:rFonts w:cs="Arial"/>
              </w:rPr>
            </w:pPr>
            <w:r w:rsidRPr="00A229EE">
              <w:rPr>
                <w:rFonts w:cs="Arial"/>
              </w:rPr>
              <w:t>Legal and trading name.</w:t>
            </w:r>
          </w:p>
          <w:p w14:paraId="56A3876F" w14:textId="77777777" w:rsidR="00C07372" w:rsidRPr="00A229EE" w:rsidRDefault="00C07372" w:rsidP="00307F3C">
            <w:pPr>
              <w:pStyle w:val="ListParagraph"/>
              <w:numPr>
                <w:ilvl w:val="0"/>
                <w:numId w:val="15"/>
              </w:numPr>
              <w:spacing w:before="60"/>
              <w:ind w:left="340" w:hanging="340"/>
              <w:contextualSpacing w:val="0"/>
              <w:rPr>
                <w:rFonts w:cs="Arial"/>
              </w:rPr>
            </w:pPr>
            <w:r w:rsidRPr="00A229EE">
              <w:rPr>
                <w:rFonts w:cs="Arial"/>
              </w:rPr>
              <w:t>Business address (if different from incident address), ABN/ACN and contact details including phone number and email.</w:t>
            </w:r>
          </w:p>
        </w:tc>
      </w:tr>
      <w:tr w:rsidR="00C07372" w14:paraId="56A38773" w14:textId="77777777" w:rsidTr="00192EA5">
        <w:tc>
          <w:tcPr>
            <w:tcW w:w="2943" w:type="dxa"/>
          </w:tcPr>
          <w:p w14:paraId="56A38771" w14:textId="77777777" w:rsidR="00C07372" w:rsidRPr="00492913" w:rsidRDefault="00C07372" w:rsidP="00841E86">
            <w:pPr>
              <w:spacing w:after="120"/>
              <w:rPr>
                <w:rFonts w:cs="Arial"/>
                <w:b/>
              </w:rPr>
            </w:pPr>
            <w:r w:rsidRPr="00492913">
              <w:rPr>
                <w:rFonts w:cs="Arial"/>
                <w:b/>
              </w:rPr>
              <w:t>What has/is being done</w:t>
            </w:r>
          </w:p>
        </w:tc>
        <w:tc>
          <w:tcPr>
            <w:tcW w:w="6663" w:type="dxa"/>
          </w:tcPr>
          <w:p w14:paraId="56A38772" w14:textId="77777777" w:rsidR="00C07372" w:rsidRPr="00A229EE" w:rsidRDefault="00C07372" w:rsidP="00841E86">
            <w:pPr>
              <w:spacing w:after="120"/>
              <w:rPr>
                <w:rFonts w:cs="Arial"/>
              </w:rPr>
            </w:pPr>
            <w:r w:rsidRPr="00A229EE">
              <w:rPr>
                <w:rFonts w:cs="Arial"/>
              </w:rPr>
              <w:t>Action taken or intended to be taken to prevent recurrence (if any).</w:t>
            </w:r>
          </w:p>
        </w:tc>
      </w:tr>
      <w:tr w:rsidR="00C07372" w14:paraId="56A38777" w14:textId="77777777" w:rsidTr="00192EA5">
        <w:tc>
          <w:tcPr>
            <w:tcW w:w="2943" w:type="dxa"/>
          </w:tcPr>
          <w:p w14:paraId="56A38774" w14:textId="77777777" w:rsidR="00C07372" w:rsidRPr="00492913" w:rsidRDefault="00C07372" w:rsidP="00841E86">
            <w:pPr>
              <w:spacing w:after="120"/>
              <w:rPr>
                <w:rFonts w:cs="Arial"/>
                <w:b/>
              </w:rPr>
            </w:pPr>
            <w:r w:rsidRPr="00492913">
              <w:rPr>
                <w:rFonts w:cs="Arial"/>
                <w:b/>
              </w:rPr>
              <w:t>Who is notifying</w:t>
            </w:r>
          </w:p>
        </w:tc>
        <w:tc>
          <w:tcPr>
            <w:tcW w:w="6663" w:type="dxa"/>
          </w:tcPr>
          <w:p w14:paraId="56A38775" w14:textId="77777777" w:rsidR="00C07372" w:rsidRPr="00A229EE" w:rsidRDefault="00C07372" w:rsidP="00307F3C">
            <w:pPr>
              <w:pStyle w:val="ListParagraph"/>
              <w:numPr>
                <w:ilvl w:val="0"/>
                <w:numId w:val="15"/>
              </w:numPr>
              <w:spacing w:before="60"/>
              <w:ind w:left="340" w:hanging="340"/>
              <w:contextualSpacing w:val="0"/>
              <w:rPr>
                <w:rFonts w:cs="Arial"/>
              </w:rPr>
            </w:pPr>
            <w:r w:rsidRPr="00A229EE">
              <w:rPr>
                <w:rFonts w:cs="Arial"/>
              </w:rPr>
              <w:t xml:space="preserve">Notifier’s name, contact phone number and position at workplace. </w:t>
            </w:r>
          </w:p>
          <w:p w14:paraId="56A38776" w14:textId="77777777" w:rsidR="00C07372" w:rsidRPr="00A229EE" w:rsidRDefault="00C07372" w:rsidP="00307F3C">
            <w:pPr>
              <w:pStyle w:val="ListParagraph"/>
              <w:numPr>
                <w:ilvl w:val="0"/>
                <w:numId w:val="15"/>
              </w:numPr>
              <w:spacing w:before="60"/>
              <w:ind w:left="340" w:hanging="340"/>
              <w:contextualSpacing w:val="0"/>
              <w:rPr>
                <w:rFonts w:cs="Arial"/>
              </w:rPr>
            </w:pPr>
            <w:r w:rsidRPr="00A229EE">
              <w:rPr>
                <w:rFonts w:cs="Arial"/>
              </w:rPr>
              <w:t xml:space="preserve">Name, phone number and position of person to contact </w:t>
            </w:r>
            <w:r w:rsidRPr="00A229EE">
              <w:rPr>
                <w:rFonts w:cs="Arial"/>
              </w:rPr>
              <w:br/>
              <w:t>for further information (if different from above).</w:t>
            </w:r>
          </w:p>
        </w:tc>
      </w:tr>
    </w:tbl>
    <w:p w14:paraId="56A38778" w14:textId="77777777" w:rsidR="00C07372" w:rsidRPr="00FC3104" w:rsidRDefault="002E66DF" w:rsidP="00C07372">
      <w:pPr>
        <w:spacing w:after="120"/>
        <w:rPr>
          <w:rFonts w:cs="Arial"/>
          <w:strike/>
        </w:rPr>
      </w:pPr>
      <w:r w:rsidRPr="00FC3104">
        <w:rPr>
          <w:rFonts w:cs="Arial"/>
        </w:rPr>
        <w:t>Notify immediately, and provide the information you can, even if</w:t>
      </w:r>
      <w:r w:rsidR="002D63B0" w:rsidRPr="00FC3104">
        <w:rPr>
          <w:rFonts w:cs="Arial"/>
        </w:rPr>
        <w:t xml:space="preserve"> you do not have</w:t>
      </w:r>
      <w:r w:rsidR="00C07372" w:rsidRPr="00FC3104">
        <w:rPr>
          <w:rFonts w:cs="Arial"/>
        </w:rPr>
        <w:t xml:space="preserve"> all of th</w:t>
      </w:r>
      <w:r w:rsidR="002D63B0" w:rsidRPr="00FC3104">
        <w:rPr>
          <w:rFonts w:cs="Arial"/>
        </w:rPr>
        <w:t>e required</w:t>
      </w:r>
      <w:r w:rsidR="00C07372" w:rsidRPr="00FC3104">
        <w:rPr>
          <w:rFonts w:cs="Arial"/>
        </w:rPr>
        <w:t xml:space="preserve"> information</w:t>
      </w:r>
      <w:r w:rsidR="00FC3104" w:rsidRPr="00FC3104">
        <w:rPr>
          <w:rFonts w:cs="Arial"/>
        </w:rPr>
        <w:t>.</w:t>
      </w:r>
    </w:p>
    <w:p w14:paraId="56A38779" w14:textId="77777777" w:rsidR="00FC3104" w:rsidRPr="00FC3104" w:rsidRDefault="00FC3104" w:rsidP="00FC3104">
      <w:pPr>
        <w:spacing w:after="120"/>
        <w:rPr>
          <w:rFonts w:cs="Arial"/>
        </w:rPr>
      </w:pPr>
      <w:r w:rsidRPr="00FC3104">
        <w:lastRenderedPageBreak/>
        <w:t>The regulator may follow-up with a request for more information later if necessary.</w:t>
      </w:r>
      <w:r w:rsidRPr="00FC3104">
        <w:rPr>
          <w:rFonts w:cs="Arial"/>
        </w:rPr>
        <w:t xml:space="preserve"> You must provide the required information in writing within 48 hours of the request being made.</w:t>
      </w:r>
    </w:p>
    <w:p w14:paraId="56A3877A" w14:textId="77777777" w:rsidR="00C07372" w:rsidRPr="00FC3104" w:rsidRDefault="00C07372" w:rsidP="00C07372">
      <w:pPr>
        <w:pStyle w:val="Heading2"/>
      </w:pPr>
      <w:r w:rsidRPr="00FC3104">
        <w:t>Can work continue where the incident occurred?</w:t>
      </w:r>
    </w:p>
    <w:p w14:paraId="56A3877B" w14:textId="77777777" w:rsidR="00C07372" w:rsidRPr="00FC3104" w:rsidRDefault="003E2096" w:rsidP="00C07372">
      <w:pPr>
        <w:spacing w:after="120"/>
        <w:rPr>
          <w:rFonts w:cs="Arial"/>
        </w:rPr>
      </w:pPr>
      <w:r w:rsidRPr="00FC3104">
        <w:rPr>
          <w:rFonts w:cs="Arial"/>
        </w:rPr>
        <w:t xml:space="preserve">An incident </w:t>
      </w:r>
      <w:r w:rsidR="00C07372" w:rsidRPr="00FC3104">
        <w:rPr>
          <w:rFonts w:cs="Arial"/>
        </w:rPr>
        <w:t>site</w:t>
      </w:r>
      <w:r w:rsidR="00FC3104" w:rsidRPr="00FC3104">
        <w:rPr>
          <w:rFonts w:cs="Arial"/>
        </w:rPr>
        <w:t xml:space="preserve"> </w:t>
      </w:r>
      <w:r w:rsidRPr="00FC3104">
        <w:rPr>
          <w:rFonts w:cs="Arial"/>
        </w:rPr>
        <w:t>must not be</w:t>
      </w:r>
      <w:r w:rsidR="00C07372" w:rsidRPr="00FC3104">
        <w:rPr>
          <w:rFonts w:cs="Arial"/>
        </w:rPr>
        <w:t xml:space="preserve"> disturbed until an inspector arrives at the site or directs otherwise (whichever is earlier). </w:t>
      </w:r>
      <w:r w:rsidRPr="00FC3104">
        <w:rPr>
          <w:rFonts w:cs="Arial"/>
        </w:rPr>
        <w:t>The person with management or control of the workplace is responsible for preserving the incident site, so far as is reasonably practicable.</w:t>
      </w:r>
    </w:p>
    <w:p w14:paraId="56A3877C" w14:textId="77777777" w:rsidR="00C07372" w:rsidRPr="00FC3104" w:rsidRDefault="00FD44A5" w:rsidP="00C07372">
      <w:pPr>
        <w:spacing w:after="120"/>
        <w:rPr>
          <w:rFonts w:cs="Arial"/>
        </w:rPr>
      </w:pPr>
      <w:r w:rsidRPr="00FC3104">
        <w:rPr>
          <w:rFonts w:cs="Arial"/>
        </w:rPr>
        <w:t>A</w:t>
      </w:r>
      <w:r w:rsidR="00C07372" w:rsidRPr="00FC3104">
        <w:rPr>
          <w:rFonts w:cs="Arial"/>
        </w:rPr>
        <w:t xml:space="preserve">ny evidence that may assist an inspector to determine the cause of the incident </w:t>
      </w:r>
      <w:r w:rsidRPr="00FC3104">
        <w:rPr>
          <w:rFonts w:cs="Arial"/>
        </w:rPr>
        <w:t>must be</w:t>
      </w:r>
      <w:r w:rsidR="00C07372" w:rsidRPr="00FC3104">
        <w:rPr>
          <w:rFonts w:cs="Arial"/>
        </w:rPr>
        <w:t xml:space="preserve"> preserved</w:t>
      </w:r>
      <w:r w:rsidRPr="00FC3104">
        <w:rPr>
          <w:rFonts w:cs="Arial"/>
        </w:rPr>
        <w:t>—including any plant, substance, structure or thing associated with the incident</w:t>
      </w:r>
      <w:r w:rsidR="00C07372" w:rsidRPr="00FC3104">
        <w:rPr>
          <w:rFonts w:cs="Arial"/>
        </w:rPr>
        <w:t>.</w:t>
      </w:r>
    </w:p>
    <w:p w14:paraId="56A3877D" w14:textId="77777777" w:rsidR="00C07372" w:rsidRPr="00B032B5" w:rsidRDefault="00F27F2D" w:rsidP="00C07372">
      <w:pPr>
        <w:spacing w:after="120"/>
        <w:rPr>
          <w:rFonts w:cs="Arial"/>
        </w:rPr>
      </w:pPr>
      <w:r w:rsidRPr="00B032B5">
        <w:rPr>
          <w:rFonts w:cs="Arial"/>
        </w:rPr>
        <w:t>However, preserving an incident site does not prevent any action needed:</w:t>
      </w:r>
    </w:p>
    <w:p w14:paraId="56A3877E" w14:textId="77777777" w:rsidR="00C07372" w:rsidRPr="004E243C" w:rsidRDefault="00C07372" w:rsidP="00307F3C">
      <w:pPr>
        <w:numPr>
          <w:ilvl w:val="0"/>
          <w:numId w:val="23"/>
        </w:numPr>
        <w:ind w:left="340" w:hanging="340"/>
        <w:rPr>
          <w:rFonts w:cs="Arial"/>
        </w:rPr>
      </w:pPr>
      <w:r w:rsidRPr="004E243C">
        <w:rPr>
          <w:rFonts w:cs="Arial"/>
        </w:rPr>
        <w:t xml:space="preserve">to assist an injured person </w:t>
      </w:r>
    </w:p>
    <w:p w14:paraId="56A3877F" w14:textId="77777777" w:rsidR="00C07372" w:rsidRPr="004E243C" w:rsidRDefault="00C07372" w:rsidP="00307F3C">
      <w:pPr>
        <w:numPr>
          <w:ilvl w:val="0"/>
          <w:numId w:val="23"/>
        </w:numPr>
        <w:ind w:left="340" w:hanging="340"/>
        <w:rPr>
          <w:rFonts w:cs="Arial"/>
        </w:rPr>
      </w:pPr>
      <w:r w:rsidRPr="004E243C">
        <w:rPr>
          <w:rFonts w:cs="Arial"/>
        </w:rPr>
        <w:t xml:space="preserve">to remove a deceased person </w:t>
      </w:r>
    </w:p>
    <w:p w14:paraId="56A38780" w14:textId="77777777" w:rsidR="00C07372" w:rsidRPr="004E243C" w:rsidRDefault="00C07372" w:rsidP="00307F3C">
      <w:pPr>
        <w:numPr>
          <w:ilvl w:val="0"/>
          <w:numId w:val="23"/>
        </w:numPr>
        <w:ind w:left="340" w:hanging="340"/>
        <w:rPr>
          <w:rFonts w:cs="Arial"/>
        </w:rPr>
      </w:pPr>
      <w:r w:rsidRPr="004E243C">
        <w:rPr>
          <w:rFonts w:cs="Arial"/>
        </w:rPr>
        <w:t>to make the site safe or to minimise the risk of a further notifiable incident</w:t>
      </w:r>
      <w:r w:rsidR="00F27F2D">
        <w:rPr>
          <w:rFonts w:cs="Arial"/>
        </w:rPr>
        <w:t>, or</w:t>
      </w:r>
      <w:r w:rsidRPr="004E243C">
        <w:rPr>
          <w:rFonts w:cs="Arial"/>
        </w:rPr>
        <w:t xml:space="preserve"> </w:t>
      </w:r>
    </w:p>
    <w:p w14:paraId="56A38781" w14:textId="77777777" w:rsidR="00C07372" w:rsidRPr="00F27F2D" w:rsidRDefault="00C07372" w:rsidP="00307F3C">
      <w:pPr>
        <w:numPr>
          <w:ilvl w:val="0"/>
          <w:numId w:val="23"/>
        </w:numPr>
        <w:ind w:left="340" w:hanging="340"/>
        <w:rPr>
          <w:rFonts w:cs="Arial"/>
        </w:rPr>
      </w:pPr>
      <w:r w:rsidRPr="00F27F2D">
        <w:rPr>
          <w:rFonts w:cs="Arial"/>
        </w:rPr>
        <w:t>to facilitate a police investigation</w:t>
      </w:r>
      <w:r w:rsidR="00F27F2D" w:rsidRPr="00F27F2D">
        <w:rPr>
          <w:rFonts w:cs="Arial"/>
        </w:rPr>
        <w:t>.</w:t>
      </w:r>
    </w:p>
    <w:p w14:paraId="56A38782" w14:textId="77777777" w:rsidR="00C07372" w:rsidRPr="004E243C" w:rsidRDefault="00C07372" w:rsidP="00C07372">
      <w:pPr>
        <w:spacing w:after="120"/>
        <w:rPr>
          <w:rFonts w:cs="Arial"/>
        </w:rPr>
      </w:pPr>
      <w:r w:rsidRPr="004E243C">
        <w:rPr>
          <w:rFonts w:cs="Arial"/>
        </w:rPr>
        <w:t>The sooner the regulator is notified, the sooner the site can be released.</w:t>
      </w:r>
    </w:p>
    <w:p w14:paraId="56A38783" w14:textId="77777777" w:rsidR="00C07372" w:rsidRPr="004E243C" w:rsidRDefault="00FD44A5" w:rsidP="00C07372">
      <w:pPr>
        <w:spacing w:after="120"/>
        <w:rPr>
          <w:rFonts w:cs="Arial"/>
        </w:rPr>
      </w:pPr>
      <w:r w:rsidRPr="00F27F2D">
        <w:rPr>
          <w:rFonts w:cs="Arial"/>
        </w:rPr>
        <w:t>An</w:t>
      </w:r>
      <w:r w:rsidR="00F27F2D" w:rsidRPr="00F27F2D">
        <w:rPr>
          <w:rFonts w:cs="Arial"/>
        </w:rPr>
        <w:t xml:space="preserve"> </w:t>
      </w:r>
      <w:r w:rsidR="00C07372" w:rsidRPr="004E243C">
        <w:rPr>
          <w:rFonts w:cs="Arial"/>
        </w:rPr>
        <w:t xml:space="preserve">inspector </w:t>
      </w:r>
      <w:r w:rsidRPr="00F27F2D">
        <w:rPr>
          <w:rFonts w:cs="Arial"/>
        </w:rPr>
        <w:t xml:space="preserve">may issue a non-disturbance notice, if they </w:t>
      </w:r>
      <w:r w:rsidR="00C07372" w:rsidRPr="004E243C">
        <w:rPr>
          <w:rFonts w:cs="Arial"/>
        </w:rPr>
        <w:t xml:space="preserve">consider that </w:t>
      </w:r>
      <w:r w:rsidRPr="00F27F2D">
        <w:rPr>
          <w:rFonts w:cs="Arial"/>
        </w:rPr>
        <w:t>the incident site</w:t>
      </w:r>
      <w:r w:rsidR="00C07372" w:rsidRPr="004E243C">
        <w:rPr>
          <w:rFonts w:cs="Arial"/>
        </w:rPr>
        <w:t xml:space="preserve"> should remain undisturbed</w:t>
      </w:r>
      <w:r w:rsidR="00C07372" w:rsidRPr="00F27F2D">
        <w:rPr>
          <w:rFonts w:cs="Arial"/>
        </w:rPr>
        <w:t xml:space="preserve"> in order</w:t>
      </w:r>
      <w:r w:rsidR="00C07372" w:rsidRPr="004E243C">
        <w:rPr>
          <w:rFonts w:cs="Arial"/>
        </w:rPr>
        <w:t xml:space="preserve"> to facilitate </w:t>
      </w:r>
      <w:r w:rsidRPr="00F27F2D">
        <w:rPr>
          <w:rFonts w:cs="Arial"/>
        </w:rPr>
        <w:t xml:space="preserve">their </w:t>
      </w:r>
      <w:r w:rsidR="00C07372" w:rsidRPr="004E243C">
        <w:rPr>
          <w:rFonts w:cs="Arial"/>
        </w:rPr>
        <w:t>investigation</w:t>
      </w:r>
      <w:r w:rsidR="00F27F2D">
        <w:rPr>
          <w:rFonts w:cs="Arial"/>
        </w:rPr>
        <w:t>.</w:t>
      </w:r>
      <w:r w:rsidR="00C07372" w:rsidRPr="004E243C">
        <w:rPr>
          <w:rFonts w:cs="Arial"/>
        </w:rPr>
        <w:t xml:space="preserve"> </w:t>
      </w:r>
      <w:r w:rsidR="00C07372" w:rsidRPr="00F27F2D">
        <w:rPr>
          <w:rFonts w:cs="Arial"/>
        </w:rPr>
        <w:t>This notice must specify the period for which the notice is to apply—no more than seven days</w:t>
      </w:r>
      <w:r w:rsidR="00C07372" w:rsidRPr="004E243C">
        <w:rPr>
          <w:rFonts w:cs="Arial"/>
        </w:rPr>
        <w:t>.</w:t>
      </w:r>
    </w:p>
    <w:p w14:paraId="56A38784" w14:textId="77777777" w:rsidR="00C07372" w:rsidRPr="004E243C" w:rsidRDefault="00C07372" w:rsidP="00C07372">
      <w:pPr>
        <w:spacing w:after="120"/>
        <w:rPr>
          <w:rFonts w:cs="Arial"/>
        </w:rPr>
      </w:pPr>
      <w:r w:rsidRPr="004E243C">
        <w:rPr>
          <w:rFonts w:cs="Arial"/>
        </w:rPr>
        <w:t>Penalties apply if an individual or body corporate fails to preserve a site.</w:t>
      </w:r>
    </w:p>
    <w:p w14:paraId="56A38785" w14:textId="77777777" w:rsidR="00C07372" w:rsidRPr="004E243C" w:rsidRDefault="00C07372" w:rsidP="00C07372">
      <w:pPr>
        <w:pStyle w:val="Heading3"/>
      </w:pPr>
      <w:r w:rsidRPr="004E243C">
        <w:t xml:space="preserve">Site </w:t>
      </w:r>
      <w:r w:rsidR="00F27F2D">
        <w:t>p</w:t>
      </w:r>
      <w:r w:rsidRPr="004E243C">
        <w:t>reservation requirements only apply to the incident site</w:t>
      </w:r>
    </w:p>
    <w:p w14:paraId="56A38786" w14:textId="77777777" w:rsidR="00C07372" w:rsidRPr="00B032B5" w:rsidRDefault="00C07372" w:rsidP="00C07372">
      <w:pPr>
        <w:spacing w:after="120"/>
        <w:rPr>
          <w:rFonts w:cs="Arial"/>
        </w:rPr>
      </w:pPr>
      <w:r w:rsidRPr="00B032B5">
        <w:rPr>
          <w:rFonts w:cs="Arial"/>
        </w:rPr>
        <w:t>Requirements to preserve a site only apply to the area where the incident occurred—not the whole workplace.</w:t>
      </w:r>
    </w:p>
    <w:p w14:paraId="56A38787" w14:textId="77777777" w:rsidR="00C07372" w:rsidRPr="00B032B5" w:rsidRDefault="00C07372" w:rsidP="00C07372">
      <w:pPr>
        <w:spacing w:after="120"/>
        <w:rPr>
          <w:rFonts w:cs="Arial"/>
        </w:rPr>
      </w:pPr>
      <w:r w:rsidRPr="00B032B5">
        <w:rPr>
          <w:rFonts w:cs="Arial"/>
        </w:rPr>
        <w:t xml:space="preserve">If you are unsure about what you need to do, </w:t>
      </w:r>
      <w:r w:rsidR="00841E86" w:rsidRPr="00B032B5">
        <w:rPr>
          <w:rFonts w:cs="Arial"/>
        </w:rPr>
        <w:t xml:space="preserve">you can </w:t>
      </w:r>
      <w:r w:rsidRPr="00B032B5">
        <w:rPr>
          <w:rFonts w:cs="Arial"/>
        </w:rPr>
        <w:t xml:space="preserve">ask the regulator </w:t>
      </w:r>
      <w:r w:rsidR="00841E86" w:rsidRPr="00B032B5">
        <w:rPr>
          <w:rFonts w:cs="Arial"/>
        </w:rPr>
        <w:t>for advice or to be excused from having to preserve the site</w:t>
      </w:r>
      <w:r w:rsidR="00F27F2D" w:rsidRPr="00B032B5">
        <w:rPr>
          <w:rFonts w:cs="Arial"/>
        </w:rPr>
        <w:t>.</w:t>
      </w:r>
    </w:p>
    <w:p w14:paraId="56A38788" w14:textId="77777777" w:rsidR="00C07372" w:rsidRPr="00B032B5" w:rsidRDefault="00D00685" w:rsidP="00C07372">
      <w:pPr>
        <w:pStyle w:val="Heading2"/>
      </w:pPr>
      <w:r w:rsidRPr="00B032B5">
        <w:t>Amending notifications</w:t>
      </w:r>
    </w:p>
    <w:p w14:paraId="56A38789" w14:textId="77777777" w:rsidR="00D00685" w:rsidRPr="00B032B5" w:rsidRDefault="00D00685" w:rsidP="00D00685">
      <w:pPr>
        <w:spacing w:after="120"/>
      </w:pPr>
      <w:r w:rsidRPr="00B032B5">
        <w:t xml:space="preserve">If </w:t>
      </w:r>
      <w:r w:rsidR="000A51A8" w:rsidRPr="00B032B5">
        <w:t xml:space="preserve">you </w:t>
      </w:r>
      <w:r w:rsidRPr="00B032B5">
        <w:t>receive information that changes the incident type of a notifi</w:t>
      </w:r>
      <w:r w:rsidR="000A51A8" w:rsidRPr="00B032B5">
        <w:t>ed</w:t>
      </w:r>
      <w:r w:rsidRPr="00B032B5">
        <w:t xml:space="preserve"> incident, </w:t>
      </w:r>
      <w:r w:rsidR="000A51A8" w:rsidRPr="00B032B5">
        <w:t>you must</w:t>
      </w:r>
      <w:r w:rsidRPr="00B032B5">
        <w:t xml:space="preserve"> notify the regulator of those changes. For example, if a notified serious injury or illness later results in </w:t>
      </w:r>
      <w:r w:rsidR="000A51A8" w:rsidRPr="00B032B5">
        <w:t xml:space="preserve">the person’s </w:t>
      </w:r>
      <w:r w:rsidRPr="00B032B5">
        <w:t xml:space="preserve">death, the regulator must be advised </w:t>
      </w:r>
      <w:r w:rsidR="000A51A8" w:rsidRPr="00B032B5">
        <w:t>immediately upon you learning that the person has died.</w:t>
      </w:r>
    </w:p>
    <w:p w14:paraId="56A3878A" w14:textId="77777777" w:rsidR="00C07372" w:rsidRPr="00A9188F" w:rsidRDefault="00C07372" w:rsidP="00C07372">
      <w:pPr>
        <w:pStyle w:val="Heading2"/>
      </w:pPr>
      <w:r w:rsidRPr="00A9188F">
        <w:t>Record keeping requirements</w:t>
      </w:r>
    </w:p>
    <w:p w14:paraId="56A3878B" w14:textId="77777777" w:rsidR="00C07372" w:rsidRPr="00A9188F" w:rsidRDefault="00841E86" w:rsidP="00C07372">
      <w:pPr>
        <w:spacing w:after="120"/>
        <w:rPr>
          <w:rFonts w:cs="Arial"/>
        </w:rPr>
      </w:pPr>
      <w:r w:rsidRPr="00A9188F">
        <w:rPr>
          <w:rFonts w:cs="Arial"/>
        </w:rPr>
        <w:t>Records of</w:t>
      </w:r>
      <w:r w:rsidR="00C07372" w:rsidRPr="00A9188F">
        <w:rPr>
          <w:rFonts w:cs="Arial"/>
        </w:rPr>
        <w:t xml:space="preserve"> notifiable incident</w:t>
      </w:r>
      <w:r w:rsidRPr="00A9188F">
        <w:rPr>
          <w:rFonts w:cs="Arial"/>
        </w:rPr>
        <w:t>s</w:t>
      </w:r>
      <w:r w:rsidR="00C07372" w:rsidRPr="00A9188F">
        <w:rPr>
          <w:rFonts w:cs="Arial"/>
        </w:rPr>
        <w:t xml:space="preserve"> </w:t>
      </w:r>
      <w:r w:rsidRPr="00A9188F">
        <w:rPr>
          <w:rFonts w:cs="Arial"/>
        </w:rPr>
        <w:t xml:space="preserve">must be kept </w:t>
      </w:r>
      <w:r w:rsidR="00C07372" w:rsidRPr="00A9188F">
        <w:rPr>
          <w:rFonts w:cs="Arial"/>
        </w:rPr>
        <w:t>for at least five years from the date of notification. Penalties apply for failing to do so.</w:t>
      </w:r>
    </w:p>
    <w:p w14:paraId="56A3878C" w14:textId="77777777" w:rsidR="00C07372" w:rsidRPr="00A9188F" w:rsidRDefault="00841E86" w:rsidP="00C07372">
      <w:pPr>
        <w:spacing w:after="120"/>
        <w:rPr>
          <w:rFonts w:cs="Arial"/>
        </w:rPr>
      </w:pPr>
      <w:r w:rsidRPr="00A9188F">
        <w:rPr>
          <w:rFonts w:cs="Arial"/>
        </w:rPr>
        <w:t xml:space="preserve">It </w:t>
      </w:r>
      <w:r w:rsidR="006A27FA" w:rsidRPr="00A9188F">
        <w:rPr>
          <w:rFonts w:cs="Arial"/>
        </w:rPr>
        <w:t>is useful to keep a record of having made the notification (e.g. confirmation from the regulator), and also</w:t>
      </w:r>
      <w:r w:rsidR="00C07372" w:rsidRPr="00A9188F">
        <w:rPr>
          <w:rFonts w:cs="Arial"/>
        </w:rPr>
        <w:t xml:space="preserve"> any directions or authorisations given by an inspector at the time of notification.</w:t>
      </w:r>
    </w:p>
    <w:p w14:paraId="56A3878D" w14:textId="77777777" w:rsidR="002B0C57" w:rsidRDefault="002B0C57" w:rsidP="00192EA5">
      <w:pPr>
        <w:pStyle w:val="Heading2"/>
      </w:pPr>
      <w:r>
        <w:br w:type="page"/>
      </w:r>
    </w:p>
    <w:p w14:paraId="56A3878E" w14:textId="77777777" w:rsidR="00C07372" w:rsidRPr="00192EA5" w:rsidRDefault="00C07372" w:rsidP="00192EA5">
      <w:pPr>
        <w:pStyle w:val="Heading2"/>
        <w:rPr>
          <w:sz w:val="26"/>
        </w:rPr>
      </w:pPr>
      <w:r w:rsidRPr="00B032B5">
        <w:lastRenderedPageBreak/>
        <w:t>Contact details for regulators</w:t>
      </w:r>
    </w:p>
    <w:p w14:paraId="56A3878F" w14:textId="77777777" w:rsidR="00C07372" w:rsidRPr="00307F3C" w:rsidRDefault="00C07372" w:rsidP="00C07372">
      <w:pPr>
        <w:spacing w:after="120"/>
        <w:rPr>
          <w:rFonts w:cs="Arial"/>
        </w:rPr>
      </w:pPr>
      <w:r w:rsidRPr="00B032B5">
        <w:rPr>
          <w:rFonts w:cs="Arial"/>
        </w:rPr>
        <w:t xml:space="preserve">To notify a ‘notifiable incident’ contact </w:t>
      </w:r>
      <w:r w:rsidR="00841E86" w:rsidRPr="00B032B5">
        <w:rPr>
          <w:rFonts w:cs="Arial"/>
        </w:rPr>
        <w:t>your local</w:t>
      </w:r>
      <w:r w:rsidRPr="00B032B5">
        <w:rPr>
          <w:rFonts w:cs="Arial"/>
        </w:rPr>
        <w:t xml:space="preserve"> regulator</w:t>
      </w:r>
      <w:r w:rsidR="00421EE3" w:rsidRPr="00B032B5">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This table shows the contact details for regulators when you need to notify a 'notifiable incident'."/>
      </w:tblPr>
      <w:tblGrid>
        <w:gridCol w:w="1790"/>
        <w:gridCol w:w="2711"/>
        <w:gridCol w:w="2128"/>
        <w:gridCol w:w="2941"/>
      </w:tblGrid>
      <w:tr w:rsidR="00C07372" w:rsidRPr="0042235A" w14:paraId="56A38794" w14:textId="77777777" w:rsidTr="00192EA5">
        <w:trPr>
          <w:tblHeader/>
        </w:trPr>
        <w:tc>
          <w:tcPr>
            <w:tcW w:w="1790" w:type="dxa"/>
            <w:shd w:val="clear" w:color="auto" w:fill="365F91" w:themeFill="accent1" w:themeFillShade="BF"/>
          </w:tcPr>
          <w:p w14:paraId="56A38790" w14:textId="77777777" w:rsidR="00C07372" w:rsidRPr="00192EA5" w:rsidRDefault="00C07372" w:rsidP="00841E86">
            <w:pPr>
              <w:spacing w:after="120"/>
              <w:rPr>
                <w:rFonts w:cs="Arial"/>
                <w:b/>
                <w:color w:val="FFFFFF" w:themeColor="background1"/>
              </w:rPr>
            </w:pPr>
            <w:r w:rsidRPr="00192EA5">
              <w:rPr>
                <w:rFonts w:cs="Arial"/>
                <w:b/>
                <w:color w:val="FFFFFF" w:themeColor="background1"/>
              </w:rPr>
              <w:t>Jurisdiction</w:t>
            </w:r>
          </w:p>
        </w:tc>
        <w:tc>
          <w:tcPr>
            <w:tcW w:w="2711" w:type="dxa"/>
            <w:shd w:val="clear" w:color="auto" w:fill="365F91" w:themeFill="accent1" w:themeFillShade="BF"/>
          </w:tcPr>
          <w:p w14:paraId="56A38791" w14:textId="77777777" w:rsidR="00C07372" w:rsidRPr="00192EA5" w:rsidRDefault="00C07372" w:rsidP="00841E86">
            <w:pPr>
              <w:spacing w:after="120"/>
              <w:rPr>
                <w:rFonts w:cs="Arial"/>
                <w:b/>
                <w:color w:val="FFFFFF" w:themeColor="background1"/>
              </w:rPr>
            </w:pPr>
            <w:r w:rsidRPr="00192EA5">
              <w:rPr>
                <w:rFonts w:cs="Arial"/>
                <w:b/>
                <w:color w:val="FFFFFF" w:themeColor="background1"/>
              </w:rPr>
              <w:t>Regulator</w:t>
            </w:r>
          </w:p>
        </w:tc>
        <w:tc>
          <w:tcPr>
            <w:tcW w:w="2128" w:type="dxa"/>
            <w:shd w:val="clear" w:color="auto" w:fill="365F91" w:themeFill="accent1" w:themeFillShade="BF"/>
          </w:tcPr>
          <w:p w14:paraId="56A38792" w14:textId="77777777" w:rsidR="00C07372" w:rsidRPr="00192EA5" w:rsidRDefault="00C07372" w:rsidP="00841E86">
            <w:pPr>
              <w:spacing w:after="120"/>
              <w:rPr>
                <w:rFonts w:cs="Arial"/>
                <w:b/>
                <w:color w:val="FFFFFF" w:themeColor="background1"/>
              </w:rPr>
            </w:pPr>
            <w:r w:rsidRPr="00192EA5">
              <w:rPr>
                <w:rFonts w:cs="Arial"/>
                <w:b/>
                <w:color w:val="FFFFFF" w:themeColor="background1"/>
              </w:rPr>
              <w:t>Telephone</w:t>
            </w:r>
          </w:p>
        </w:tc>
        <w:tc>
          <w:tcPr>
            <w:tcW w:w="2941" w:type="dxa"/>
            <w:shd w:val="clear" w:color="auto" w:fill="365F91" w:themeFill="accent1" w:themeFillShade="BF"/>
          </w:tcPr>
          <w:p w14:paraId="56A38793" w14:textId="77777777" w:rsidR="00C07372" w:rsidRPr="00192EA5" w:rsidRDefault="00C07372" w:rsidP="00841E86">
            <w:pPr>
              <w:spacing w:after="120"/>
              <w:rPr>
                <w:rFonts w:cs="Arial"/>
                <w:b/>
                <w:color w:val="FFFFFF" w:themeColor="background1"/>
              </w:rPr>
            </w:pPr>
            <w:r w:rsidRPr="00192EA5">
              <w:rPr>
                <w:rFonts w:cs="Arial"/>
                <w:b/>
                <w:color w:val="FFFFFF" w:themeColor="background1"/>
              </w:rPr>
              <w:t>Website</w:t>
            </w:r>
          </w:p>
        </w:tc>
      </w:tr>
      <w:tr w:rsidR="00C07372" w:rsidRPr="0042235A" w14:paraId="56A38799" w14:textId="77777777" w:rsidTr="00AB6F50">
        <w:tc>
          <w:tcPr>
            <w:tcW w:w="1790" w:type="dxa"/>
          </w:tcPr>
          <w:p w14:paraId="56A38795" w14:textId="77777777" w:rsidR="00C07372" w:rsidRPr="0096489C" w:rsidRDefault="00C07372" w:rsidP="00841E86">
            <w:pPr>
              <w:spacing w:after="120"/>
              <w:rPr>
                <w:rFonts w:cs="Arial"/>
              </w:rPr>
            </w:pPr>
            <w:r w:rsidRPr="0096489C">
              <w:rPr>
                <w:rFonts w:cs="Arial"/>
              </w:rPr>
              <w:t>New South Wales</w:t>
            </w:r>
          </w:p>
        </w:tc>
        <w:tc>
          <w:tcPr>
            <w:tcW w:w="2711" w:type="dxa"/>
          </w:tcPr>
          <w:p w14:paraId="56A38796" w14:textId="77777777" w:rsidR="00C07372" w:rsidRPr="0096489C" w:rsidRDefault="00E04785" w:rsidP="00841E86">
            <w:pPr>
              <w:spacing w:after="120"/>
              <w:rPr>
                <w:rFonts w:cs="Arial"/>
              </w:rPr>
            </w:pPr>
            <w:r w:rsidRPr="0096489C">
              <w:rPr>
                <w:rFonts w:cs="Arial"/>
              </w:rPr>
              <w:t>SafeWork NSW</w:t>
            </w:r>
          </w:p>
        </w:tc>
        <w:tc>
          <w:tcPr>
            <w:tcW w:w="2128" w:type="dxa"/>
          </w:tcPr>
          <w:p w14:paraId="56A38797" w14:textId="77777777" w:rsidR="00C07372" w:rsidRPr="0096489C" w:rsidRDefault="00C07372" w:rsidP="00841E86">
            <w:pPr>
              <w:spacing w:after="120"/>
              <w:rPr>
                <w:rFonts w:cs="Arial"/>
              </w:rPr>
            </w:pPr>
            <w:r w:rsidRPr="0096489C">
              <w:rPr>
                <w:rFonts w:cs="Arial"/>
              </w:rPr>
              <w:t>13 10 50</w:t>
            </w:r>
          </w:p>
        </w:tc>
        <w:tc>
          <w:tcPr>
            <w:tcW w:w="2941" w:type="dxa"/>
          </w:tcPr>
          <w:p w14:paraId="56A38798" w14:textId="77777777" w:rsidR="00C07372" w:rsidRPr="0096489C" w:rsidRDefault="008A77EB" w:rsidP="00E04785">
            <w:pPr>
              <w:spacing w:after="120"/>
              <w:rPr>
                <w:rFonts w:cs="Arial"/>
              </w:rPr>
            </w:pPr>
            <w:hyperlink r:id="rId10" w:history="1">
              <w:r w:rsidR="00E04785" w:rsidRPr="003F5423">
                <w:rPr>
                  <w:rStyle w:val="Hyperlink"/>
                  <w:rFonts w:cs="Arial"/>
                </w:rPr>
                <w:t>safework.nsw.gov.au</w:t>
              </w:r>
            </w:hyperlink>
          </w:p>
        </w:tc>
      </w:tr>
      <w:tr w:rsidR="00C07372" w:rsidRPr="0042235A" w14:paraId="56A3879E" w14:textId="77777777" w:rsidTr="00AB6F50">
        <w:tc>
          <w:tcPr>
            <w:tcW w:w="1790" w:type="dxa"/>
          </w:tcPr>
          <w:p w14:paraId="56A3879A" w14:textId="77777777" w:rsidR="00C07372" w:rsidRPr="0096489C" w:rsidRDefault="00C07372" w:rsidP="00841E86">
            <w:pPr>
              <w:spacing w:after="120"/>
              <w:rPr>
                <w:rFonts w:cs="Arial"/>
              </w:rPr>
            </w:pPr>
            <w:r w:rsidRPr="0096489C">
              <w:rPr>
                <w:rFonts w:cs="Arial"/>
              </w:rPr>
              <w:t>Victoria</w:t>
            </w:r>
          </w:p>
        </w:tc>
        <w:tc>
          <w:tcPr>
            <w:tcW w:w="2711" w:type="dxa"/>
          </w:tcPr>
          <w:p w14:paraId="56A3879B" w14:textId="77777777" w:rsidR="00C07372" w:rsidRPr="0096489C" w:rsidRDefault="00C07372" w:rsidP="00841E86">
            <w:pPr>
              <w:spacing w:after="120"/>
              <w:rPr>
                <w:rFonts w:cs="Arial"/>
              </w:rPr>
            </w:pPr>
            <w:r w:rsidRPr="0096489C">
              <w:rPr>
                <w:rFonts w:cs="Arial"/>
              </w:rPr>
              <w:t>WorkSafe Victoria</w:t>
            </w:r>
          </w:p>
        </w:tc>
        <w:tc>
          <w:tcPr>
            <w:tcW w:w="2128" w:type="dxa"/>
          </w:tcPr>
          <w:p w14:paraId="56A3879C" w14:textId="77777777" w:rsidR="00C07372" w:rsidRPr="0096489C" w:rsidRDefault="00C07372" w:rsidP="00841E86">
            <w:pPr>
              <w:spacing w:after="120"/>
              <w:rPr>
                <w:rFonts w:cs="Arial"/>
              </w:rPr>
            </w:pPr>
            <w:r w:rsidRPr="0096489C">
              <w:rPr>
                <w:rFonts w:cs="Arial"/>
              </w:rPr>
              <w:t>1800 136 089</w:t>
            </w:r>
          </w:p>
        </w:tc>
        <w:tc>
          <w:tcPr>
            <w:tcW w:w="2941" w:type="dxa"/>
          </w:tcPr>
          <w:p w14:paraId="56A3879D" w14:textId="77777777" w:rsidR="00C07372" w:rsidRPr="0096489C" w:rsidRDefault="008A77EB" w:rsidP="00841E86">
            <w:pPr>
              <w:spacing w:after="120"/>
              <w:rPr>
                <w:rFonts w:cs="Arial"/>
              </w:rPr>
            </w:pPr>
            <w:hyperlink r:id="rId11" w:history="1">
              <w:r w:rsidR="00C07372" w:rsidRPr="003F5423">
                <w:rPr>
                  <w:rStyle w:val="Hyperlink"/>
                  <w:rFonts w:cs="Arial"/>
                </w:rPr>
                <w:t>worksafe.vic.gov.au</w:t>
              </w:r>
            </w:hyperlink>
          </w:p>
        </w:tc>
      </w:tr>
      <w:tr w:rsidR="00C07372" w:rsidRPr="0042235A" w14:paraId="56A387A3" w14:textId="77777777" w:rsidTr="00AB6F50">
        <w:tc>
          <w:tcPr>
            <w:tcW w:w="1790" w:type="dxa"/>
          </w:tcPr>
          <w:p w14:paraId="56A3879F" w14:textId="77777777" w:rsidR="00C07372" w:rsidRPr="0096489C" w:rsidRDefault="00C07372" w:rsidP="00841E86">
            <w:pPr>
              <w:spacing w:after="120"/>
              <w:rPr>
                <w:rFonts w:cs="Arial"/>
              </w:rPr>
            </w:pPr>
            <w:r w:rsidRPr="0096489C">
              <w:rPr>
                <w:rFonts w:cs="Arial"/>
              </w:rPr>
              <w:t>Queensland</w:t>
            </w:r>
          </w:p>
        </w:tc>
        <w:tc>
          <w:tcPr>
            <w:tcW w:w="2711" w:type="dxa"/>
          </w:tcPr>
          <w:p w14:paraId="56A387A0" w14:textId="77777777" w:rsidR="00C07372" w:rsidRPr="0096489C" w:rsidRDefault="00951DA2" w:rsidP="00841E86">
            <w:pPr>
              <w:spacing w:after="120"/>
              <w:rPr>
                <w:rFonts w:cs="Arial"/>
                <w:strike/>
              </w:rPr>
            </w:pPr>
            <w:r w:rsidRPr="0096489C">
              <w:rPr>
                <w:rFonts w:cs="Arial"/>
              </w:rPr>
              <w:t>WorkSafe</w:t>
            </w:r>
            <w:r w:rsidR="00073B6E" w:rsidRPr="0096489C">
              <w:rPr>
                <w:rFonts w:cs="Arial"/>
              </w:rPr>
              <w:t xml:space="preserve"> </w:t>
            </w:r>
            <w:r w:rsidRPr="0096489C">
              <w:rPr>
                <w:rFonts w:cs="Arial"/>
              </w:rPr>
              <w:t>Queensland</w:t>
            </w:r>
          </w:p>
        </w:tc>
        <w:tc>
          <w:tcPr>
            <w:tcW w:w="2128" w:type="dxa"/>
          </w:tcPr>
          <w:p w14:paraId="56A387A1" w14:textId="77777777" w:rsidR="00C07372" w:rsidRPr="0096489C" w:rsidRDefault="00C07372" w:rsidP="00841E86">
            <w:pPr>
              <w:spacing w:after="120"/>
              <w:rPr>
                <w:rFonts w:cs="Arial"/>
              </w:rPr>
            </w:pPr>
            <w:r w:rsidRPr="0096489C">
              <w:rPr>
                <w:rFonts w:cs="Arial"/>
              </w:rPr>
              <w:t>1300 369 915</w:t>
            </w:r>
          </w:p>
        </w:tc>
        <w:tc>
          <w:tcPr>
            <w:tcW w:w="2941" w:type="dxa"/>
          </w:tcPr>
          <w:p w14:paraId="56A387A2" w14:textId="77777777" w:rsidR="00C07372" w:rsidRPr="0096489C" w:rsidRDefault="008A77EB" w:rsidP="00841E86">
            <w:pPr>
              <w:spacing w:after="120"/>
              <w:rPr>
                <w:rFonts w:cs="Arial"/>
              </w:rPr>
            </w:pPr>
            <w:hyperlink r:id="rId12" w:history="1">
              <w:r w:rsidR="00C07372" w:rsidRPr="003F5423">
                <w:rPr>
                  <w:rStyle w:val="Hyperlink"/>
                  <w:rFonts w:cs="Arial"/>
                </w:rPr>
                <w:t>worksafe.qld.gov.au</w:t>
              </w:r>
            </w:hyperlink>
          </w:p>
        </w:tc>
      </w:tr>
      <w:tr w:rsidR="00C07372" w:rsidRPr="0042235A" w14:paraId="56A387A8" w14:textId="77777777" w:rsidTr="00AB6F50">
        <w:tc>
          <w:tcPr>
            <w:tcW w:w="1790" w:type="dxa"/>
          </w:tcPr>
          <w:p w14:paraId="56A387A4" w14:textId="77777777" w:rsidR="00C07372" w:rsidRPr="0096489C" w:rsidRDefault="00C07372" w:rsidP="00841E86">
            <w:pPr>
              <w:spacing w:after="120"/>
              <w:rPr>
                <w:rFonts w:cs="Arial"/>
              </w:rPr>
            </w:pPr>
            <w:r w:rsidRPr="0096489C">
              <w:rPr>
                <w:rFonts w:cs="Arial"/>
              </w:rPr>
              <w:t>South Australia</w:t>
            </w:r>
          </w:p>
        </w:tc>
        <w:tc>
          <w:tcPr>
            <w:tcW w:w="2711" w:type="dxa"/>
          </w:tcPr>
          <w:p w14:paraId="56A387A5" w14:textId="77777777" w:rsidR="00C07372" w:rsidRPr="0096489C" w:rsidRDefault="00C07372" w:rsidP="00841E86">
            <w:pPr>
              <w:spacing w:after="120"/>
              <w:rPr>
                <w:rFonts w:cs="Arial"/>
              </w:rPr>
            </w:pPr>
            <w:r w:rsidRPr="0096489C">
              <w:rPr>
                <w:rFonts w:cs="Arial"/>
              </w:rPr>
              <w:t>SafeWork SA</w:t>
            </w:r>
          </w:p>
        </w:tc>
        <w:tc>
          <w:tcPr>
            <w:tcW w:w="2128" w:type="dxa"/>
          </w:tcPr>
          <w:p w14:paraId="56A387A6" w14:textId="77777777" w:rsidR="00C07372" w:rsidRPr="0096489C" w:rsidRDefault="00C07372" w:rsidP="00073B6E">
            <w:pPr>
              <w:spacing w:after="120"/>
              <w:rPr>
                <w:rFonts w:cs="Arial"/>
              </w:rPr>
            </w:pPr>
            <w:r w:rsidRPr="0096489C">
              <w:rPr>
                <w:rFonts w:cs="Arial"/>
              </w:rPr>
              <w:t>1</w:t>
            </w:r>
            <w:r w:rsidR="00073B6E" w:rsidRPr="0096489C">
              <w:rPr>
                <w:rFonts w:cs="Arial"/>
              </w:rPr>
              <w:t>8</w:t>
            </w:r>
            <w:r w:rsidRPr="0096489C">
              <w:rPr>
                <w:rFonts w:cs="Arial"/>
              </w:rPr>
              <w:t xml:space="preserve">00 </w:t>
            </w:r>
            <w:r w:rsidR="00073B6E" w:rsidRPr="0096489C">
              <w:rPr>
                <w:rFonts w:cs="Arial"/>
              </w:rPr>
              <w:t>777</w:t>
            </w:r>
            <w:r w:rsidRPr="0096489C">
              <w:rPr>
                <w:rFonts w:cs="Arial"/>
              </w:rPr>
              <w:t xml:space="preserve"> 2</w:t>
            </w:r>
            <w:r w:rsidR="00073B6E" w:rsidRPr="0096489C">
              <w:rPr>
                <w:rFonts w:cs="Arial"/>
              </w:rPr>
              <w:t>09</w:t>
            </w:r>
          </w:p>
        </w:tc>
        <w:tc>
          <w:tcPr>
            <w:tcW w:w="2941" w:type="dxa"/>
          </w:tcPr>
          <w:p w14:paraId="56A387A7" w14:textId="77777777" w:rsidR="00C07372" w:rsidRPr="0096489C" w:rsidRDefault="008A77EB" w:rsidP="00841E86">
            <w:pPr>
              <w:spacing w:after="120"/>
              <w:rPr>
                <w:rFonts w:cs="Arial"/>
              </w:rPr>
            </w:pPr>
            <w:hyperlink r:id="rId13" w:history="1">
              <w:r w:rsidR="00C07372" w:rsidRPr="003F5423">
                <w:rPr>
                  <w:rStyle w:val="Hyperlink"/>
                  <w:rFonts w:cs="Arial"/>
                </w:rPr>
                <w:t>safework.sa.gov.au</w:t>
              </w:r>
            </w:hyperlink>
          </w:p>
        </w:tc>
      </w:tr>
      <w:tr w:rsidR="00C07372" w:rsidRPr="0042235A" w14:paraId="56A387AD" w14:textId="77777777" w:rsidTr="00AB6F50">
        <w:tc>
          <w:tcPr>
            <w:tcW w:w="1790" w:type="dxa"/>
          </w:tcPr>
          <w:p w14:paraId="56A387A9" w14:textId="77777777" w:rsidR="00C07372" w:rsidRPr="0096489C" w:rsidRDefault="00C07372" w:rsidP="00841E86">
            <w:pPr>
              <w:spacing w:after="120"/>
              <w:rPr>
                <w:rFonts w:cs="Arial"/>
              </w:rPr>
            </w:pPr>
            <w:r w:rsidRPr="0096489C">
              <w:rPr>
                <w:rFonts w:cs="Arial"/>
              </w:rPr>
              <w:t>Western Australia</w:t>
            </w:r>
          </w:p>
        </w:tc>
        <w:tc>
          <w:tcPr>
            <w:tcW w:w="2711" w:type="dxa"/>
          </w:tcPr>
          <w:p w14:paraId="56A387AA" w14:textId="77777777" w:rsidR="00C07372" w:rsidRPr="0096489C" w:rsidRDefault="00C07372" w:rsidP="00841E86">
            <w:pPr>
              <w:spacing w:after="120"/>
              <w:rPr>
                <w:rFonts w:cs="Arial"/>
              </w:rPr>
            </w:pPr>
            <w:r w:rsidRPr="0096489C">
              <w:rPr>
                <w:rFonts w:cs="Arial"/>
              </w:rPr>
              <w:t>WorkSafe WA</w:t>
            </w:r>
          </w:p>
        </w:tc>
        <w:tc>
          <w:tcPr>
            <w:tcW w:w="2128" w:type="dxa"/>
          </w:tcPr>
          <w:p w14:paraId="56A387AB" w14:textId="77777777" w:rsidR="00C07372" w:rsidRPr="0096489C" w:rsidRDefault="00C07372" w:rsidP="00841E86">
            <w:pPr>
              <w:spacing w:after="120"/>
              <w:rPr>
                <w:rFonts w:cs="Arial"/>
              </w:rPr>
            </w:pPr>
            <w:r w:rsidRPr="0096489C">
              <w:rPr>
                <w:rFonts w:cs="Arial"/>
              </w:rPr>
              <w:t>1300 307 877</w:t>
            </w:r>
          </w:p>
        </w:tc>
        <w:tc>
          <w:tcPr>
            <w:tcW w:w="2941" w:type="dxa"/>
          </w:tcPr>
          <w:p w14:paraId="56A387AC" w14:textId="77777777" w:rsidR="00C07372" w:rsidRPr="0096489C" w:rsidRDefault="008A77EB" w:rsidP="003F5423">
            <w:pPr>
              <w:spacing w:after="120"/>
              <w:rPr>
                <w:rFonts w:cs="Arial"/>
              </w:rPr>
            </w:pPr>
            <w:hyperlink r:id="rId14" w:history="1">
              <w:r w:rsidR="003F5423" w:rsidRPr="003F5423">
                <w:rPr>
                  <w:rStyle w:val="Hyperlink"/>
                  <w:rFonts w:cs="Arial"/>
                </w:rPr>
                <w:t>commerce.wa.gov.au/WorkSafe/</w:t>
              </w:r>
            </w:hyperlink>
          </w:p>
        </w:tc>
      </w:tr>
      <w:tr w:rsidR="00C07372" w:rsidRPr="0042235A" w14:paraId="56A387B2" w14:textId="77777777" w:rsidTr="00AB6F50">
        <w:tc>
          <w:tcPr>
            <w:tcW w:w="1790" w:type="dxa"/>
          </w:tcPr>
          <w:p w14:paraId="56A387AE" w14:textId="77777777" w:rsidR="00C07372" w:rsidRPr="0096489C" w:rsidRDefault="00C07372" w:rsidP="00841E86">
            <w:pPr>
              <w:spacing w:after="120"/>
              <w:rPr>
                <w:rFonts w:cs="Arial"/>
              </w:rPr>
            </w:pPr>
            <w:r w:rsidRPr="0096489C">
              <w:rPr>
                <w:rFonts w:cs="Arial"/>
              </w:rPr>
              <w:t xml:space="preserve">Australian Capital Territory </w:t>
            </w:r>
          </w:p>
        </w:tc>
        <w:tc>
          <w:tcPr>
            <w:tcW w:w="2711" w:type="dxa"/>
          </w:tcPr>
          <w:p w14:paraId="56A387AF" w14:textId="77777777" w:rsidR="00C07372" w:rsidRPr="0096489C" w:rsidRDefault="00C07372" w:rsidP="00841E86">
            <w:pPr>
              <w:spacing w:after="120"/>
              <w:rPr>
                <w:rFonts w:cs="Arial"/>
              </w:rPr>
            </w:pPr>
            <w:r w:rsidRPr="0096489C">
              <w:rPr>
                <w:rFonts w:cs="Arial"/>
              </w:rPr>
              <w:t>WorkSafe ACT</w:t>
            </w:r>
          </w:p>
        </w:tc>
        <w:tc>
          <w:tcPr>
            <w:tcW w:w="2128" w:type="dxa"/>
          </w:tcPr>
          <w:p w14:paraId="56A387B0" w14:textId="77777777" w:rsidR="00C07372" w:rsidRPr="0096489C" w:rsidRDefault="00C07372" w:rsidP="00841E86">
            <w:pPr>
              <w:spacing w:after="120"/>
              <w:rPr>
                <w:rFonts w:cs="Arial"/>
              </w:rPr>
            </w:pPr>
            <w:r w:rsidRPr="0096489C">
              <w:rPr>
                <w:rFonts w:cs="Arial"/>
              </w:rPr>
              <w:t>02 6207 3000</w:t>
            </w:r>
          </w:p>
        </w:tc>
        <w:tc>
          <w:tcPr>
            <w:tcW w:w="2941" w:type="dxa"/>
          </w:tcPr>
          <w:p w14:paraId="56A387B1" w14:textId="4F55F88D" w:rsidR="00C07372" w:rsidRPr="0096489C" w:rsidRDefault="008A77EB" w:rsidP="00FC3104">
            <w:pPr>
              <w:spacing w:after="120"/>
              <w:rPr>
                <w:rFonts w:cs="Arial"/>
              </w:rPr>
            </w:pPr>
            <w:hyperlink r:id="rId15" w:history="1">
              <w:r w:rsidR="008654E7">
                <w:rPr>
                  <w:rStyle w:val="Hyperlink"/>
                  <w:rFonts w:cs="Arial"/>
                </w:rPr>
                <w:t>worksafe.act.gov.au</w:t>
              </w:r>
            </w:hyperlink>
          </w:p>
        </w:tc>
      </w:tr>
      <w:tr w:rsidR="00C07372" w:rsidRPr="0042235A" w14:paraId="56A387B9" w14:textId="77777777" w:rsidTr="00AB6F50">
        <w:tc>
          <w:tcPr>
            <w:tcW w:w="1790" w:type="dxa"/>
          </w:tcPr>
          <w:p w14:paraId="56A387B3" w14:textId="77777777" w:rsidR="00C07372" w:rsidRPr="0096489C" w:rsidRDefault="00C07372" w:rsidP="00841E86">
            <w:pPr>
              <w:spacing w:after="120"/>
              <w:rPr>
                <w:rFonts w:cs="Arial"/>
              </w:rPr>
            </w:pPr>
            <w:r w:rsidRPr="0096489C">
              <w:rPr>
                <w:rFonts w:cs="Arial"/>
              </w:rPr>
              <w:t>Tasmania</w:t>
            </w:r>
          </w:p>
        </w:tc>
        <w:tc>
          <w:tcPr>
            <w:tcW w:w="2711" w:type="dxa"/>
          </w:tcPr>
          <w:p w14:paraId="56A387B4" w14:textId="77777777" w:rsidR="00C07372" w:rsidRPr="0096489C" w:rsidRDefault="00AB6F50" w:rsidP="00841E86">
            <w:pPr>
              <w:spacing w:after="120"/>
              <w:rPr>
                <w:rFonts w:cs="Arial"/>
                <w:strike/>
              </w:rPr>
            </w:pPr>
            <w:r w:rsidRPr="0096489C">
              <w:rPr>
                <w:rFonts w:cs="Arial"/>
              </w:rPr>
              <w:t>WorkSafe Tasmania</w:t>
            </w:r>
          </w:p>
        </w:tc>
        <w:tc>
          <w:tcPr>
            <w:tcW w:w="2128" w:type="dxa"/>
          </w:tcPr>
          <w:p w14:paraId="56A387B5" w14:textId="77777777" w:rsidR="00C07372" w:rsidRPr="0096489C" w:rsidRDefault="00C07372" w:rsidP="00841E86">
            <w:pPr>
              <w:spacing w:after="120"/>
              <w:rPr>
                <w:rFonts w:cs="Arial"/>
              </w:rPr>
            </w:pPr>
            <w:r w:rsidRPr="0096489C">
              <w:rPr>
                <w:rFonts w:cs="Arial"/>
              </w:rPr>
              <w:t>1300 366 322 (Tas)</w:t>
            </w:r>
          </w:p>
          <w:p w14:paraId="56A387B6" w14:textId="77777777" w:rsidR="00C07372" w:rsidRPr="0096489C" w:rsidRDefault="00C07372" w:rsidP="00841E86">
            <w:pPr>
              <w:spacing w:after="120"/>
              <w:rPr>
                <w:rFonts w:cs="Arial"/>
              </w:rPr>
            </w:pPr>
            <w:r w:rsidRPr="0096489C">
              <w:rPr>
                <w:rFonts w:cs="Arial"/>
              </w:rPr>
              <w:t>03 6233 7657 (External)</w:t>
            </w:r>
          </w:p>
          <w:p w14:paraId="56A387B7" w14:textId="77777777" w:rsidR="00C07372" w:rsidRPr="0096489C" w:rsidRDefault="00C07372" w:rsidP="00841E86">
            <w:pPr>
              <w:spacing w:after="120"/>
              <w:rPr>
                <w:rFonts w:cs="Arial"/>
              </w:rPr>
            </w:pPr>
          </w:p>
        </w:tc>
        <w:tc>
          <w:tcPr>
            <w:tcW w:w="2941" w:type="dxa"/>
          </w:tcPr>
          <w:p w14:paraId="56A387B8" w14:textId="77777777" w:rsidR="00C07372" w:rsidRPr="0096489C" w:rsidRDefault="008A77EB" w:rsidP="00841E86">
            <w:pPr>
              <w:spacing w:after="120"/>
              <w:rPr>
                <w:rFonts w:cs="Arial"/>
              </w:rPr>
            </w:pPr>
            <w:hyperlink r:id="rId16" w:history="1">
              <w:r w:rsidR="00AB6F50" w:rsidRPr="003F5423">
                <w:rPr>
                  <w:rStyle w:val="Hyperlink"/>
                  <w:rFonts w:cs="Arial"/>
                </w:rPr>
                <w:t>worksafe.tas.gov.au</w:t>
              </w:r>
            </w:hyperlink>
          </w:p>
        </w:tc>
      </w:tr>
      <w:tr w:rsidR="00C07372" w:rsidRPr="0042235A" w14:paraId="56A387BE" w14:textId="77777777" w:rsidTr="00AB6F50">
        <w:tc>
          <w:tcPr>
            <w:tcW w:w="1790" w:type="dxa"/>
          </w:tcPr>
          <w:p w14:paraId="56A387BA" w14:textId="77777777" w:rsidR="00C07372" w:rsidRPr="0042235A" w:rsidRDefault="00C07372" w:rsidP="00841E86">
            <w:pPr>
              <w:spacing w:after="120"/>
              <w:rPr>
                <w:rFonts w:cs="Arial"/>
              </w:rPr>
            </w:pPr>
            <w:r w:rsidRPr="0042235A">
              <w:rPr>
                <w:rFonts w:cs="Arial"/>
              </w:rPr>
              <w:t>Northern Territory</w:t>
            </w:r>
          </w:p>
        </w:tc>
        <w:tc>
          <w:tcPr>
            <w:tcW w:w="2711" w:type="dxa"/>
          </w:tcPr>
          <w:p w14:paraId="56A387BB" w14:textId="77777777" w:rsidR="00C07372" w:rsidRPr="0042235A" w:rsidRDefault="00C07372" w:rsidP="00841E86">
            <w:pPr>
              <w:spacing w:after="120"/>
              <w:rPr>
                <w:rFonts w:cs="Arial"/>
              </w:rPr>
            </w:pPr>
            <w:r w:rsidRPr="0042235A">
              <w:rPr>
                <w:rFonts w:cs="Arial"/>
              </w:rPr>
              <w:t>NT WorkSafe</w:t>
            </w:r>
          </w:p>
        </w:tc>
        <w:tc>
          <w:tcPr>
            <w:tcW w:w="2128" w:type="dxa"/>
          </w:tcPr>
          <w:p w14:paraId="56A387BC" w14:textId="77777777" w:rsidR="00C07372" w:rsidRPr="0042235A" w:rsidRDefault="00C07372" w:rsidP="00841E86">
            <w:pPr>
              <w:spacing w:after="120"/>
              <w:rPr>
                <w:rFonts w:cs="Arial"/>
              </w:rPr>
            </w:pPr>
            <w:r w:rsidRPr="0042235A">
              <w:rPr>
                <w:rFonts w:cs="Arial"/>
              </w:rPr>
              <w:t>1800 019 115</w:t>
            </w:r>
          </w:p>
        </w:tc>
        <w:tc>
          <w:tcPr>
            <w:tcW w:w="2941" w:type="dxa"/>
          </w:tcPr>
          <w:p w14:paraId="56A387BD" w14:textId="3EA731AC" w:rsidR="00C07372" w:rsidRPr="0042235A" w:rsidRDefault="008A77EB" w:rsidP="00841E86">
            <w:pPr>
              <w:spacing w:after="120"/>
              <w:rPr>
                <w:rFonts w:cs="Arial"/>
              </w:rPr>
            </w:pPr>
            <w:hyperlink r:id="rId17" w:history="1">
              <w:r w:rsidR="00C07372" w:rsidRPr="003F5423">
                <w:rPr>
                  <w:rStyle w:val="Hyperlink"/>
                  <w:rFonts w:cs="Arial"/>
                </w:rPr>
                <w:t>worksafe.nt.gov.au</w:t>
              </w:r>
            </w:hyperlink>
          </w:p>
        </w:tc>
      </w:tr>
      <w:tr w:rsidR="00C07372" w:rsidRPr="0042235A" w14:paraId="56A387C3" w14:textId="77777777" w:rsidTr="00AB6F50">
        <w:tc>
          <w:tcPr>
            <w:tcW w:w="1790" w:type="dxa"/>
          </w:tcPr>
          <w:p w14:paraId="56A387BF" w14:textId="77777777" w:rsidR="00C07372" w:rsidRPr="0042235A" w:rsidRDefault="00C07372" w:rsidP="00841E86">
            <w:pPr>
              <w:spacing w:after="120"/>
              <w:rPr>
                <w:rFonts w:cs="Arial"/>
              </w:rPr>
            </w:pPr>
            <w:r w:rsidRPr="0042235A">
              <w:rPr>
                <w:rFonts w:cs="Arial"/>
              </w:rPr>
              <w:t>Commonwealth</w:t>
            </w:r>
          </w:p>
        </w:tc>
        <w:tc>
          <w:tcPr>
            <w:tcW w:w="2711" w:type="dxa"/>
          </w:tcPr>
          <w:p w14:paraId="56A387C0" w14:textId="77777777" w:rsidR="00C07372" w:rsidRPr="0042235A" w:rsidRDefault="00C07372" w:rsidP="00841E86">
            <w:pPr>
              <w:spacing w:after="120"/>
              <w:rPr>
                <w:rFonts w:cs="Arial"/>
              </w:rPr>
            </w:pPr>
            <w:r w:rsidRPr="0042235A">
              <w:rPr>
                <w:rFonts w:cs="Arial"/>
              </w:rPr>
              <w:t>Comcare</w:t>
            </w:r>
          </w:p>
        </w:tc>
        <w:tc>
          <w:tcPr>
            <w:tcW w:w="2128" w:type="dxa"/>
          </w:tcPr>
          <w:p w14:paraId="56A387C1" w14:textId="77777777" w:rsidR="00C07372" w:rsidRPr="0042235A" w:rsidRDefault="00C07372" w:rsidP="00841E86">
            <w:pPr>
              <w:spacing w:after="120"/>
              <w:rPr>
                <w:rFonts w:cs="Arial"/>
              </w:rPr>
            </w:pPr>
            <w:r w:rsidRPr="0042235A">
              <w:rPr>
                <w:rFonts w:cs="Arial"/>
              </w:rPr>
              <w:t>1300 366 979</w:t>
            </w:r>
          </w:p>
        </w:tc>
        <w:tc>
          <w:tcPr>
            <w:tcW w:w="2941" w:type="dxa"/>
          </w:tcPr>
          <w:p w14:paraId="56A387C2" w14:textId="77777777" w:rsidR="00C07372" w:rsidRPr="0042235A" w:rsidRDefault="008A77EB" w:rsidP="00841E86">
            <w:pPr>
              <w:spacing w:after="120"/>
              <w:rPr>
                <w:rFonts w:cs="Arial"/>
              </w:rPr>
            </w:pPr>
            <w:hyperlink r:id="rId18" w:history="1">
              <w:r w:rsidR="00C07372" w:rsidRPr="003F5423">
                <w:rPr>
                  <w:rStyle w:val="Hyperlink"/>
                  <w:rFonts w:cs="Arial"/>
                </w:rPr>
                <w:t>comcare.gov.au</w:t>
              </w:r>
            </w:hyperlink>
          </w:p>
        </w:tc>
      </w:tr>
    </w:tbl>
    <w:p w14:paraId="56A387C4" w14:textId="77777777" w:rsidR="00C07372" w:rsidRPr="00192EA5" w:rsidRDefault="00C07372" w:rsidP="00192EA5">
      <w:pPr>
        <w:pStyle w:val="Heading1"/>
      </w:pPr>
      <w:r>
        <w:br w:type="page"/>
      </w:r>
      <w:r w:rsidRPr="00192EA5">
        <w:lastRenderedPageBreak/>
        <w:t>Appendix A</w:t>
      </w:r>
    </w:p>
    <w:p w14:paraId="56A387C5" w14:textId="77777777" w:rsidR="00C07372" w:rsidRDefault="00C07372" w:rsidP="00C07372">
      <w:pPr>
        <w:pStyle w:val="Heading2"/>
      </w:pPr>
      <w:r>
        <w:t>Public places and sporting events</w:t>
      </w:r>
    </w:p>
    <w:p w14:paraId="56A387C6" w14:textId="77777777" w:rsidR="00C07372" w:rsidRDefault="00C07372" w:rsidP="00C07372">
      <w:r>
        <w:t>Workplaces may also be public or partly public places, for example:</w:t>
      </w:r>
    </w:p>
    <w:p w14:paraId="56A387C7" w14:textId="77777777" w:rsidR="00C07372" w:rsidRPr="00307F3C" w:rsidRDefault="00C07372" w:rsidP="00307F3C">
      <w:pPr>
        <w:numPr>
          <w:ilvl w:val="0"/>
          <w:numId w:val="23"/>
        </w:numPr>
        <w:ind w:left="340" w:hanging="340"/>
        <w:rPr>
          <w:rFonts w:cs="Arial"/>
        </w:rPr>
      </w:pPr>
      <w:r w:rsidRPr="00307F3C">
        <w:rPr>
          <w:rFonts w:cs="Arial"/>
        </w:rPr>
        <w:t>public parks, streets</w:t>
      </w:r>
    </w:p>
    <w:p w14:paraId="56A387C8" w14:textId="77777777" w:rsidR="00C07372" w:rsidRPr="00307F3C" w:rsidRDefault="00C07372" w:rsidP="00307F3C">
      <w:pPr>
        <w:numPr>
          <w:ilvl w:val="0"/>
          <w:numId w:val="23"/>
        </w:numPr>
        <w:ind w:left="340" w:hanging="340"/>
        <w:rPr>
          <w:rFonts w:cs="Arial"/>
        </w:rPr>
      </w:pPr>
      <w:r w:rsidRPr="00307F3C">
        <w:rPr>
          <w:rFonts w:cs="Arial"/>
        </w:rPr>
        <w:t>public transport</w:t>
      </w:r>
    </w:p>
    <w:p w14:paraId="56A387C9" w14:textId="77777777" w:rsidR="00C07372" w:rsidRPr="00307F3C" w:rsidRDefault="00C07372" w:rsidP="00307F3C">
      <w:pPr>
        <w:numPr>
          <w:ilvl w:val="0"/>
          <w:numId w:val="23"/>
        </w:numPr>
        <w:ind w:left="340" w:hanging="340"/>
        <w:rPr>
          <w:rFonts w:cs="Arial"/>
        </w:rPr>
      </w:pPr>
      <w:r w:rsidRPr="00307F3C">
        <w:rPr>
          <w:rFonts w:cs="Arial"/>
        </w:rPr>
        <w:t>shopping centres</w:t>
      </w:r>
    </w:p>
    <w:p w14:paraId="56A387CA" w14:textId="77777777" w:rsidR="00C07372" w:rsidRPr="00307F3C" w:rsidRDefault="00C07372" w:rsidP="00307F3C">
      <w:pPr>
        <w:numPr>
          <w:ilvl w:val="0"/>
          <w:numId w:val="23"/>
        </w:numPr>
        <w:ind w:left="340" w:hanging="340"/>
        <w:rPr>
          <w:rFonts w:cs="Arial"/>
        </w:rPr>
      </w:pPr>
      <w:r w:rsidRPr="00307F3C">
        <w:rPr>
          <w:rFonts w:cs="Arial"/>
        </w:rPr>
        <w:t>sports facilities</w:t>
      </w:r>
    </w:p>
    <w:p w14:paraId="56A387CB" w14:textId="77777777" w:rsidR="00C07372" w:rsidRPr="00307F3C" w:rsidRDefault="00C07372" w:rsidP="00307F3C">
      <w:pPr>
        <w:numPr>
          <w:ilvl w:val="0"/>
          <w:numId w:val="23"/>
        </w:numPr>
        <w:ind w:left="340" w:hanging="340"/>
        <w:rPr>
          <w:rFonts w:cs="Arial"/>
        </w:rPr>
      </w:pPr>
      <w:r w:rsidRPr="00307F3C">
        <w:rPr>
          <w:rFonts w:cs="Arial"/>
        </w:rPr>
        <w:t>schools and colleges</w:t>
      </w:r>
    </w:p>
    <w:p w14:paraId="56A387CC" w14:textId="77777777" w:rsidR="00C07372" w:rsidRPr="00307F3C" w:rsidRDefault="00C07372" w:rsidP="00307F3C">
      <w:pPr>
        <w:numPr>
          <w:ilvl w:val="0"/>
          <w:numId w:val="23"/>
        </w:numPr>
        <w:ind w:left="340" w:hanging="340"/>
        <w:rPr>
          <w:rFonts w:cs="Arial"/>
        </w:rPr>
      </w:pPr>
      <w:r w:rsidRPr="00307F3C">
        <w:rPr>
          <w:rFonts w:cs="Arial"/>
        </w:rPr>
        <w:t>aged care facilities, hospitals and medical centres</w:t>
      </w:r>
    </w:p>
    <w:p w14:paraId="56A387CD" w14:textId="77777777" w:rsidR="00C07372" w:rsidRPr="00307F3C" w:rsidRDefault="00C07372" w:rsidP="00307F3C">
      <w:pPr>
        <w:numPr>
          <w:ilvl w:val="0"/>
          <w:numId w:val="23"/>
        </w:numPr>
        <w:ind w:left="340" w:hanging="340"/>
        <w:rPr>
          <w:rFonts w:cs="Arial"/>
        </w:rPr>
      </w:pPr>
      <w:r w:rsidRPr="00307F3C">
        <w:rPr>
          <w:rFonts w:cs="Arial"/>
        </w:rPr>
        <w:t>cafes, restaurants, hotels and other kinds of public accommodation.</w:t>
      </w:r>
    </w:p>
    <w:p w14:paraId="56A387CE" w14:textId="77777777" w:rsidR="00C07372" w:rsidRDefault="00C07372" w:rsidP="00C07372">
      <w:r>
        <w:t>Incidents involving bystanders, visitors, students, patrons or other members of the public are only notifiable if:</w:t>
      </w:r>
    </w:p>
    <w:p w14:paraId="56A387CF" w14:textId="77777777" w:rsidR="00C07372" w:rsidRPr="00307F3C" w:rsidRDefault="00C07372" w:rsidP="00307F3C">
      <w:pPr>
        <w:numPr>
          <w:ilvl w:val="0"/>
          <w:numId w:val="23"/>
        </w:numPr>
        <w:ind w:left="340" w:hanging="340"/>
        <w:rPr>
          <w:rFonts w:cs="Arial"/>
        </w:rPr>
      </w:pPr>
      <w:r w:rsidRPr="00307F3C">
        <w:rPr>
          <w:rFonts w:cs="Arial"/>
        </w:rPr>
        <w:t>there is a death</w:t>
      </w:r>
    </w:p>
    <w:p w14:paraId="56A387D0" w14:textId="77777777" w:rsidR="00C07372" w:rsidRPr="00307F3C" w:rsidRDefault="00C07372" w:rsidP="00307F3C">
      <w:pPr>
        <w:numPr>
          <w:ilvl w:val="0"/>
          <w:numId w:val="23"/>
        </w:numPr>
        <w:ind w:left="340" w:hanging="340"/>
        <w:rPr>
          <w:rFonts w:cs="Arial"/>
        </w:rPr>
      </w:pPr>
      <w:r w:rsidRPr="00307F3C">
        <w:rPr>
          <w:rFonts w:cs="Arial"/>
        </w:rPr>
        <w:t>a ‘serious injury or illness’ is suffered or there is a dangerous incident (‘near miss’ as described above), and</w:t>
      </w:r>
    </w:p>
    <w:p w14:paraId="56A387D1" w14:textId="77777777" w:rsidR="00C07372" w:rsidRPr="00307F3C" w:rsidRDefault="00C07372" w:rsidP="00307F3C">
      <w:pPr>
        <w:numPr>
          <w:ilvl w:val="0"/>
          <w:numId w:val="23"/>
        </w:numPr>
        <w:ind w:left="340" w:hanging="340"/>
        <w:rPr>
          <w:rFonts w:cs="Arial"/>
        </w:rPr>
      </w:pPr>
      <w:r w:rsidRPr="00307F3C">
        <w:rPr>
          <w:rFonts w:cs="Arial"/>
        </w:rPr>
        <w:t>the incident arises out of the conduct of a business or undertaking.</w:t>
      </w:r>
    </w:p>
    <w:p w14:paraId="56A387D2" w14:textId="77777777" w:rsidR="00C07372" w:rsidRDefault="00C07372" w:rsidP="00C07372">
      <w:r>
        <w:t>An incident may arise out of the conduct of a business or undertaking for example because of:</w:t>
      </w:r>
    </w:p>
    <w:p w14:paraId="56A387D3" w14:textId="77777777" w:rsidR="00C07372" w:rsidRPr="00307F3C" w:rsidRDefault="00C07372" w:rsidP="00307F3C">
      <w:pPr>
        <w:numPr>
          <w:ilvl w:val="0"/>
          <w:numId w:val="23"/>
        </w:numPr>
        <w:ind w:left="340" w:hanging="340"/>
        <w:rPr>
          <w:rFonts w:cs="Arial"/>
        </w:rPr>
      </w:pPr>
      <w:r w:rsidRPr="00307F3C">
        <w:rPr>
          <w:rFonts w:cs="Arial"/>
        </w:rPr>
        <w:t>the way a work activity is organised (for example inadequate safety precautions)</w:t>
      </w:r>
    </w:p>
    <w:p w14:paraId="56A387D4" w14:textId="77777777" w:rsidR="00C07372" w:rsidRPr="00307F3C" w:rsidRDefault="00C07372" w:rsidP="00307F3C">
      <w:pPr>
        <w:numPr>
          <w:ilvl w:val="0"/>
          <w:numId w:val="23"/>
        </w:numPr>
        <w:ind w:left="340" w:hanging="340"/>
        <w:rPr>
          <w:rFonts w:cs="Arial"/>
        </w:rPr>
      </w:pPr>
      <w:r w:rsidRPr="00307F3C">
        <w:rPr>
          <w:rFonts w:cs="Arial"/>
        </w:rPr>
        <w:t>the way equipment or substances are used (for example lifts, machinery)</w:t>
      </w:r>
    </w:p>
    <w:p w14:paraId="56A387D5" w14:textId="77777777" w:rsidR="00C07372" w:rsidRPr="00307F3C" w:rsidRDefault="00C07372" w:rsidP="00307F3C">
      <w:pPr>
        <w:numPr>
          <w:ilvl w:val="0"/>
          <w:numId w:val="23"/>
        </w:numPr>
        <w:ind w:left="340" w:hanging="340"/>
        <w:rPr>
          <w:rFonts w:cs="Arial"/>
        </w:rPr>
      </w:pPr>
      <w:r w:rsidRPr="00307F3C">
        <w:rPr>
          <w:rFonts w:cs="Arial"/>
        </w:rPr>
        <w:t>the condition of a workplace (for example poorly maintained or slippery floors)</w:t>
      </w:r>
    </w:p>
    <w:p w14:paraId="56A387D6" w14:textId="77777777" w:rsidR="00C07372" w:rsidRPr="00307F3C" w:rsidRDefault="00C07372" w:rsidP="00307F3C">
      <w:pPr>
        <w:numPr>
          <w:ilvl w:val="0"/>
          <w:numId w:val="23"/>
        </w:numPr>
        <w:ind w:left="340" w:hanging="340"/>
        <w:rPr>
          <w:rFonts w:cs="Arial"/>
        </w:rPr>
      </w:pPr>
      <w:r w:rsidRPr="00307F3C">
        <w:rPr>
          <w:rFonts w:cs="Arial"/>
        </w:rPr>
        <w:t>actions of someone who is not a worker at the workplace.</w:t>
      </w:r>
    </w:p>
    <w:p w14:paraId="56A387D7" w14:textId="77777777" w:rsidR="00C07372" w:rsidRDefault="00C07372" w:rsidP="00C07372">
      <w:r>
        <w:t>If a visitor at a shopping centre is taken to hospital after sustaining a serious fracture then the incident would be notifiable. If a visitor is taken to hospital because of their pre-existing medical condition (for example heart attack, epileptic seizure at a shop) this would not be notifiable as it did not result from the conduct of the business or undertaking.</w:t>
      </w:r>
    </w:p>
    <w:p w14:paraId="56A387D8" w14:textId="77777777" w:rsidR="00C07372" w:rsidRDefault="00C07372" w:rsidP="00C07372">
      <w:pPr>
        <w:pStyle w:val="Heading3"/>
      </w:pPr>
      <w:r>
        <w:t>Incidents during sports activities</w:t>
      </w:r>
    </w:p>
    <w:p w14:paraId="56A387D9" w14:textId="77777777" w:rsidR="00C07372" w:rsidRDefault="00C07372" w:rsidP="00C07372">
      <w:r>
        <w:t>Work health and safety duties apply in relation to professional sports people for whom sport is work and sport organised by businesses or undertakings. They do not apply to purely social or recreational activities or activities organised by wholly volunteer associations that do not employ anyone.</w:t>
      </w:r>
    </w:p>
    <w:p w14:paraId="56A387DA" w14:textId="77777777" w:rsidR="00C07372" w:rsidRDefault="00C07372" w:rsidP="00C07372">
      <w:r>
        <w:t>For more information about the way the work health and safety laws affect volunteers and organisations with volunteers refer to the online resource kit published by Safe Work Australia.</w:t>
      </w:r>
    </w:p>
    <w:p w14:paraId="56A387DB" w14:textId="77777777" w:rsidR="00C07372" w:rsidRDefault="00C07372" w:rsidP="00C07372">
      <w:r>
        <w:t>Some sports injuries may arise from ‘work’ (for example a professional AFL footballer) while others may not (a local amateur club footballer).</w:t>
      </w:r>
    </w:p>
    <w:p w14:paraId="56A387DC" w14:textId="77777777" w:rsidR="00C07372" w:rsidRDefault="00C07372" w:rsidP="00C07372">
      <w:r>
        <w:t xml:space="preserve">Sports injuries are </w:t>
      </w:r>
      <w:r w:rsidRPr="008B20A6">
        <w:rPr>
          <w:b/>
        </w:rPr>
        <w:t>not notifiable</w:t>
      </w:r>
      <w:r>
        <w:t xml:space="preserve"> if arising out of the normal conduct of a sports activity for example rough and tumble of a game.</w:t>
      </w:r>
    </w:p>
    <w:p w14:paraId="56A387DD" w14:textId="77777777" w:rsidR="00C07372" w:rsidRDefault="00C07372" w:rsidP="00C07372">
      <w:r>
        <w:t xml:space="preserve">Sports injuries </w:t>
      </w:r>
      <w:r w:rsidRPr="008B20A6">
        <w:rPr>
          <w:b/>
        </w:rPr>
        <w:t xml:space="preserve">are </w:t>
      </w:r>
      <w:r w:rsidR="000D48C4" w:rsidRPr="008B20A6">
        <w:rPr>
          <w:b/>
        </w:rPr>
        <w:t>notifiable</w:t>
      </w:r>
      <w:r>
        <w:t xml:space="preserve"> only if arising out of the conduct of a business or undertaking for example:</w:t>
      </w:r>
    </w:p>
    <w:p w14:paraId="56A387DE" w14:textId="77777777" w:rsidR="00C07372" w:rsidRPr="00307F3C" w:rsidRDefault="00C07372" w:rsidP="00307F3C">
      <w:pPr>
        <w:numPr>
          <w:ilvl w:val="0"/>
          <w:numId w:val="23"/>
        </w:numPr>
        <w:ind w:left="340" w:hanging="340"/>
        <w:rPr>
          <w:rFonts w:cs="Arial"/>
        </w:rPr>
      </w:pPr>
      <w:r w:rsidRPr="00307F3C">
        <w:rPr>
          <w:rFonts w:cs="Arial"/>
        </w:rPr>
        <w:t>the way a work activity involving sport is arranged</w:t>
      </w:r>
    </w:p>
    <w:p w14:paraId="56A387DF" w14:textId="77777777" w:rsidR="00C07372" w:rsidRPr="00307F3C" w:rsidRDefault="00C07372" w:rsidP="00307F3C">
      <w:pPr>
        <w:numPr>
          <w:ilvl w:val="0"/>
          <w:numId w:val="23"/>
        </w:numPr>
        <w:ind w:left="340" w:hanging="340"/>
        <w:rPr>
          <w:rFonts w:cs="Arial"/>
        </w:rPr>
      </w:pPr>
      <w:r w:rsidRPr="00307F3C">
        <w:rPr>
          <w:rFonts w:cs="Arial"/>
        </w:rPr>
        <w:lastRenderedPageBreak/>
        <w:t>the way the sporting activity is managed or controlled</w:t>
      </w:r>
    </w:p>
    <w:p w14:paraId="56A387E0" w14:textId="77777777" w:rsidR="00C07372" w:rsidRPr="00307F3C" w:rsidRDefault="00C07372" w:rsidP="00307F3C">
      <w:pPr>
        <w:numPr>
          <w:ilvl w:val="0"/>
          <w:numId w:val="23"/>
        </w:numPr>
        <w:ind w:left="340" w:hanging="340"/>
        <w:rPr>
          <w:rFonts w:cs="Arial"/>
        </w:rPr>
      </w:pPr>
      <w:r w:rsidRPr="00307F3C">
        <w:rPr>
          <w:rFonts w:cs="Arial"/>
        </w:rPr>
        <w:t>the condition, design or maintenance of premises or equipment, or</w:t>
      </w:r>
    </w:p>
    <w:p w14:paraId="56A387E1" w14:textId="77777777" w:rsidR="00C07372" w:rsidRPr="00307F3C" w:rsidRDefault="00C07372" w:rsidP="00307F3C">
      <w:pPr>
        <w:numPr>
          <w:ilvl w:val="0"/>
          <w:numId w:val="23"/>
        </w:numPr>
        <w:ind w:left="340" w:hanging="340"/>
        <w:rPr>
          <w:rFonts w:cs="Arial"/>
        </w:rPr>
      </w:pPr>
      <w:r w:rsidRPr="00307F3C">
        <w:rPr>
          <w:rFonts w:cs="Arial"/>
        </w:rPr>
        <w:t>the way work is carried out</w:t>
      </w:r>
      <w:r w:rsidR="00FF7B24">
        <w:rPr>
          <w:rFonts w:cs="Arial"/>
        </w:rPr>
        <w:t>,</w:t>
      </w:r>
      <w:r w:rsidRPr="00307F3C">
        <w:rPr>
          <w:rFonts w:cs="Arial"/>
        </w:rPr>
        <w:t xml:space="preserve"> for example inadequate supervision. </w:t>
      </w:r>
    </w:p>
    <w:p w14:paraId="56A387E2" w14:textId="77777777" w:rsidR="00C07372" w:rsidRDefault="00C07372" w:rsidP="00C07372">
      <w:r>
        <w:t>Examples of notifiable incidents include:</w:t>
      </w:r>
    </w:p>
    <w:p w14:paraId="56A387E3" w14:textId="77777777" w:rsidR="00C07372" w:rsidRPr="00307F3C" w:rsidRDefault="00C07372" w:rsidP="00307F3C">
      <w:pPr>
        <w:numPr>
          <w:ilvl w:val="0"/>
          <w:numId w:val="23"/>
        </w:numPr>
        <w:ind w:left="340" w:hanging="340"/>
        <w:rPr>
          <w:rFonts w:cs="Arial"/>
        </w:rPr>
      </w:pPr>
      <w:r w:rsidRPr="00307F3C">
        <w:rPr>
          <w:rFonts w:cs="Arial"/>
        </w:rPr>
        <w:t>the condition of the premises or sports equipment was a factor in the incident—for example where a participant suffers an injury requiring admission as an inpatient at a hospital due to tripping over on a potholed tarmac surface, or</w:t>
      </w:r>
    </w:p>
    <w:p w14:paraId="56A387E4" w14:textId="77777777" w:rsidR="00FD16BC" w:rsidRPr="00307F3C" w:rsidRDefault="00C07372" w:rsidP="00307F3C">
      <w:pPr>
        <w:numPr>
          <w:ilvl w:val="0"/>
          <w:numId w:val="23"/>
        </w:numPr>
        <w:ind w:left="340" w:hanging="340"/>
        <w:rPr>
          <w:rFonts w:cs="Arial"/>
        </w:rPr>
      </w:pPr>
      <w:r w:rsidRPr="00307F3C">
        <w:rPr>
          <w:rFonts w:cs="Arial"/>
        </w:rPr>
        <w:t>there was inadequate supervision to prevent an incident—like ensuring the safe use of equipment used by students on a school excursion or failings in the organisation and management of an event.</w:t>
      </w:r>
    </w:p>
    <w:sectPr w:rsidR="00FD16BC" w:rsidRPr="00307F3C" w:rsidSect="002B0C57">
      <w:headerReference w:type="default" r:id="rId19"/>
      <w:footerReference w:type="default" r:id="rId20"/>
      <w:headerReference w:type="first" r:id="rId21"/>
      <w:footerReference w:type="first" r:id="rId22"/>
      <w:pgSz w:w="11906" w:h="16838" w:code="9"/>
      <w:pgMar w:top="1418" w:right="1134" w:bottom="1077" w:left="1418" w:header="454" w:footer="3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387E7" w14:textId="77777777" w:rsidR="00533F3E" w:rsidRDefault="00533F3E" w:rsidP="004A37B8">
      <w:r>
        <w:separator/>
      </w:r>
    </w:p>
  </w:endnote>
  <w:endnote w:type="continuationSeparator" w:id="0">
    <w:p w14:paraId="56A387E8" w14:textId="77777777" w:rsidR="00533F3E" w:rsidRDefault="00533F3E" w:rsidP="004A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zald Book">
    <w:altName w:val="Cambria"/>
    <w:panose1 w:val="00000000000000000000"/>
    <w:charset w:val="4D"/>
    <w:family w:val="roman"/>
    <w:notTrueType/>
    <w:pitch w:val="default"/>
    <w:sig w:usb0="00000003" w:usb1="00000000" w:usb2="00000000" w:usb3="00000000" w:csb0="00000001" w:csb1="00000000"/>
  </w:font>
  <w:font w:name="Gotham Light">
    <w:altName w:val="Calibri"/>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87EA" w14:textId="4D79F475" w:rsidR="0098300A" w:rsidRDefault="003F5423">
    <w:pPr>
      <w:pStyle w:val="Footer"/>
    </w:pPr>
    <w:r w:rsidRPr="00555FB9">
      <w:rPr>
        <w:rFonts w:cs="Arial"/>
        <w:sz w:val="18"/>
        <w:szCs w:val="18"/>
      </w:rPr>
      <w:t xml:space="preserve">Information Sheet: </w:t>
    </w:r>
    <w:r>
      <w:rPr>
        <w:rFonts w:cs="Arial"/>
        <w:i/>
        <w:sz w:val="18"/>
        <w:szCs w:val="18"/>
      </w:rPr>
      <w:t>Incident Notification</w:t>
    </w:r>
    <w:r>
      <w:rPr>
        <w:i/>
        <w:sz w:val="18"/>
        <w:szCs w:val="18"/>
      </w:rPr>
      <w:tab/>
    </w:r>
    <w:r>
      <w:rPr>
        <w:sz w:val="18"/>
        <w:szCs w:val="18"/>
      </w:rPr>
      <w:t xml:space="preserve">November 2015 </w:t>
    </w:r>
    <w:r>
      <w:rPr>
        <w:sz w:val="18"/>
        <w:szCs w:val="18"/>
      </w:rPr>
      <w:tab/>
    </w:r>
    <w:r w:rsidRPr="00F84B15">
      <w:rPr>
        <w:rFonts w:cs="Arial"/>
        <w:sz w:val="18"/>
        <w:szCs w:val="10"/>
      </w:rPr>
      <w:t xml:space="preserve">Page </w:t>
    </w:r>
    <w:r w:rsidRPr="00F84B15">
      <w:rPr>
        <w:rFonts w:cs="Arial"/>
        <w:sz w:val="18"/>
        <w:szCs w:val="10"/>
      </w:rPr>
      <w:fldChar w:fldCharType="begin"/>
    </w:r>
    <w:r w:rsidRPr="00F84B15">
      <w:rPr>
        <w:rFonts w:cs="Arial"/>
        <w:sz w:val="18"/>
        <w:szCs w:val="10"/>
      </w:rPr>
      <w:instrText xml:space="preserve"> PAGE   \* MERGEFORMAT </w:instrText>
    </w:r>
    <w:r w:rsidRPr="00F84B15">
      <w:rPr>
        <w:rFonts w:cs="Arial"/>
        <w:sz w:val="18"/>
        <w:szCs w:val="10"/>
      </w:rPr>
      <w:fldChar w:fldCharType="separate"/>
    </w:r>
    <w:r w:rsidR="000D48C4">
      <w:rPr>
        <w:rFonts w:cs="Arial"/>
        <w:noProof/>
        <w:sz w:val="18"/>
        <w:szCs w:val="10"/>
      </w:rPr>
      <w:t>6</w:t>
    </w:r>
    <w:r w:rsidRPr="00F84B15">
      <w:rPr>
        <w:rFonts w:cs="Arial"/>
        <w:sz w:val="18"/>
        <w:szCs w:val="10"/>
      </w:rPr>
      <w:fldChar w:fldCharType="end"/>
    </w:r>
    <w:r w:rsidRPr="00F84B15">
      <w:rPr>
        <w:rFonts w:cs="Arial"/>
        <w:sz w:val="18"/>
        <w:szCs w:val="10"/>
      </w:rPr>
      <w:t xml:space="preserve"> of </w:t>
    </w:r>
    <w:r w:rsidRPr="00F84B15">
      <w:rPr>
        <w:rFonts w:cs="Arial"/>
        <w:sz w:val="18"/>
        <w:szCs w:val="10"/>
      </w:rPr>
      <w:fldChar w:fldCharType="begin"/>
    </w:r>
    <w:r w:rsidRPr="00F84B15">
      <w:rPr>
        <w:rFonts w:cs="Arial"/>
        <w:sz w:val="18"/>
        <w:szCs w:val="10"/>
      </w:rPr>
      <w:instrText xml:space="preserve"> SECTIONPAGES   \* MERGEFORMAT </w:instrText>
    </w:r>
    <w:r w:rsidRPr="00F84B15">
      <w:rPr>
        <w:rFonts w:cs="Arial"/>
        <w:sz w:val="18"/>
        <w:szCs w:val="10"/>
      </w:rPr>
      <w:fldChar w:fldCharType="separate"/>
    </w:r>
    <w:r w:rsidR="008A77EB">
      <w:rPr>
        <w:rFonts w:cs="Arial"/>
        <w:noProof/>
        <w:sz w:val="18"/>
        <w:szCs w:val="10"/>
      </w:rPr>
      <w:t>10</w:t>
    </w:r>
    <w:r w:rsidRPr="00F84B15">
      <w:rPr>
        <w:rFonts w:cs="Arial"/>
        <w:sz w:val="18"/>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359532"/>
      <w:docPartObj>
        <w:docPartGallery w:val="Page Numbers (Bottom of Page)"/>
        <w:docPartUnique/>
      </w:docPartObj>
    </w:sdtPr>
    <w:sdtEndPr>
      <w:rPr>
        <w:noProof/>
      </w:rPr>
    </w:sdtEndPr>
    <w:sdtContent>
      <w:p w14:paraId="56A387EC" w14:textId="77777777" w:rsidR="00841E86" w:rsidRDefault="003F5423">
        <w:pPr>
          <w:pStyle w:val="Footer"/>
        </w:pPr>
        <w:r>
          <w:rPr>
            <w:rFonts w:ascii="Gotham Light" w:hAnsi="Gotham Light" w:cs="Gotham Light"/>
            <w:noProof/>
            <w:color w:val="000000"/>
            <w:sz w:val="18"/>
            <w:szCs w:val="18"/>
            <w:lang w:eastAsia="en-AU"/>
          </w:rPr>
          <w:drawing>
            <wp:inline distT="0" distB="0" distL="0" distR="0" wp14:anchorId="56A387F1" wp14:editId="56A387F2">
              <wp:extent cx="1131429" cy="396000"/>
              <wp:effectExtent l="0" t="0" r="0" b="4445"/>
              <wp:docPr id="11" name="Picture 11" descr="Creative Commons icon"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1429" cy="396000"/>
                      </a:xfrm>
                      <a:prstGeom prst="rect">
                        <a:avLst/>
                      </a:prstGeom>
                    </pic:spPr>
                  </pic:pic>
                </a:graphicData>
              </a:graphic>
            </wp:inline>
          </w:drawing>
        </w:r>
        <w:r>
          <w:tab/>
        </w:r>
        <w:r>
          <w:tab/>
        </w:r>
        <w:r w:rsidRPr="00555FB9">
          <w:rPr>
            <w:rFonts w:eastAsia="Calibri" w:cs="Arial"/>
            <w:sz w:val="18"/>
            <w:szCs w:val="18"/>
          </w:rPr>
          <w:t>978-1-76028-</w:t>
        </w:r>
        <w:r>
          <w:rPr>
            <w:rFonts w:eastAsia="Calibri" w:cs="Arial"/>
            <w:sz w:val="18"/>
            <w:szCs w:val="18"/>
          </w:rPr>
          <w:t>465</w:t>
        </w:r>
        <w:r w:rsidRPr="00555FB9">
          <w:rPr>
            <w:rFonts w:eastAsia="Calibri" w:cs="Arial"/>
            <w:sz w:val="18"/>
            <w:szCs w:val="18"/>
          </w:rPr>
          <w:t>-</w:t>
        </w:r>
        <w:r>
          <w:rPr>
            <w:rFonts w:eastAsia="Calibri" w:cs="Arial"/>
            <w:sz w:val="18"/>
            <w:szCs w:val="18"/>
          </w:rPr>
          <w:t xml:space="preserve">7 </w:t>
        </w:r>
        <w:r w:rsidRPr="00555FB9">
          <w:rPr>
            <w:rFonts w:eastAsia="Calibri" w:cs="Arial"/>
            <w:sz w:val="18"/>
            <w:szCs w:val="18"/>
          </w:rPr>
          <w:t>[PDF]</w:t>
        </w:r>
        <w:r w:rsidRPr="00555FB9">
          <w:rPr>
            <w:rFonts w:eastAsia="Calibri" w:cs="Arial"/>
            <w:sz w:val="18"/>
            <w:szCs w:val="18"/>
          </w:rPr>
          <w:br/>
        </w:r>
        <w:r w:rsidRPr="00555FB9">
          <w:rPr>
            <w:rFonts w:eastAsia="Calibri" w:cs="Arial"/>
            <w:sz w:val="18"/>
            <w:szCs w:val="18"/>
          </w:rPr>
          <w:tab/>
        </w:r>
        <w:r w:rsidRPr="00555FB9">
          <w:rPr>
            <w:rFonts w:eastAsia="Calibri" w:cs="Arial"/>
            <w:sz w:val="18"/>
            <w:szCs w:val="18"/>
          </w:rPr>
          <w:tab/>
          <w:t>978-1-76028-</w:t>
        </w:r>
        <w:r>
          <w:rPr>
            <w:rFonts w:eastAsia="Calibri" w:cs="Arial"/>
            <w:sz w:val="18"/>
            <w:szCs w:val="18"/>
          </w:rPr>
          <w:t>466</w:t>
        </w:r>
        <w:r w:rsidRPr="00555FB9">
          <w:rPr>
            <w:rFonts w:eastAsia="Calibri" w:cs="Arial"/>
            <w:sz w:val="18"/>
            <w:szCs w:val="18"/>
          </w:rPr>
          <w:t>-</w:t>
        </w:r>
        <w:r>
          <w:rPr>
            <w:rFonts w:eastAsia="Calibri" w:cs="Arial"/>
            <w:sz w:val="18"/>
            <w:szCs w:val="18"/>
          </w:rPr>
          <w:t xml:space="preserve">4 </w:t>
        </w:r>
        <w:r w:rsidRPr="00555FB9">
          <w:rPr>
            <w:rFonts w:eastAsia="Calibri" w:cs="Arial"/>
            <w:sz w:val="18"/>
            <w:szCs w:val="18"/>
          </w:rPr>
          <w:t>[DOCX]</w:t>
        </w:r>
        <w:r>
          <w:rPr>
            <w:rFonts w:eastAsia="Calibri" w:cs="Arial"/>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387E5" w14:textId="77777777" w:rsidR="00533F3E" w:rsidRDefault="00533F3E" w:rsidP="004A37B8">
      <w:r>
        <w:separator/>
      </w:r>
    </w:p>
  </w:footnote>
  <w:footnote w:type="continuationSeparator" w:id="0">
    <w:p w14:paraId="56A387E6" w14:textId="77777777" w:rsidR="00533F3E" w:rsidRDefault="00533F3E" w:rsidP="004A3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87E9" w14:textId="77777777" w:rsidR="00841E86" w:rsidRDefault="00841E86">
    <w:pPr>
      <w:pStyle w:val="Header"/>
    </w:pPr>
    <w:r>
      <w:rPr>
        <w:noProof/>
        <w:lang w:eastAsia="en-AU"/>
      </w:rPr>
      <w:drawing>
        <wp:inline distT="0" distB="0" distL="0" distR="0" wp14:anchorId="56A387ED" wp14:editId="56A387EE">
          <wp:extent cx="2146063" cy="432000"/>
          <wp:effectExtent l="0" t="0" r="6985" b="6350"/>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F2549\AppData\Local\Microsoft\Windows\Temporary Internet Files\Content.Outlook\9BAAIXIB\SWA_logo_inline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063" cy="43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87EB" w14:textId="77777777" w:rsidR="00841E86" w:rsidRPr="001267CE" w:rsidRDefault="00841E86" w:rsidP="001267CE">
    <w:pPr>
      <w:pStyle w:val="Header"/>
    </w:pPr>
    <w:r>
      <w:rPr>
        <w:noProof/>
        <w:lang w:eastAsia="en-AU"/>
      </w:rPr>
      <w:drawing>
        <wp:inline distT="0" distB="0" distL="0" distR="0" wp14:anchorId="56A387EF" wp14:editId="56A387F0">
          <wp:extent cx="2146063" cy="432000"/>
          <wp:effectExtent l="0" t="0" r="6985" b="6350"/>
          <wp:docPr id="3" name="Picture 3"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F2549\AppData\Local\Microsoft\Windows\Temporary Internet Files\Content.Outlook\9BAAIXIB\SWA_logo_inline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063" cy="43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ED9"/>
    <w:multiLevelType w:val="hybridMultilevel"/>
    <w:tmpl w:val="21C26C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471804"/>
    <w:multiLevelType w:val="hybridMultilevel"/>
    <w:tmpl w:val="07C8E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574FCF"/>
    <w:multiLevelType w:val="hybridMultilevel"/>
    <w:tmpl w:val="1578E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1B4F94"/>
    <w:multiLevelType w:val="hybridMultilevel"/>
    <w:tmpl w:val="5C78C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C06968"/>
    <w:multiLevelType w:val="hybridMultilevel"/>
    <w:tmpl w:val="045A5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1A635D"/>
    <w:multiLevelType w:val="hybridMultilevel"/>
    <w:tmpl w:val="07B27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881157"/>
    <w:multiLevelType w:val="hybridMultilevel"/>
    <w:tmpl w:val="DD84D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7C57BB"/>
    <w:multiLevelType w:val="hybridMultilevel"/>
    <w:tmpl w:val="CF5A3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AD5836"/>
    <w:multiLevelType w:val="hybridMultilevel"/>
    <w:tmpl w:val="B0320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345950"/>
    <w:multiLevelType w:val="hybridMultilevel"/>
    <w:tmpl w:val="55225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AC1D5B"/>
    <w:multiLevelType w:val="hybridMultilevel"/>
    <w:tmpl w:val="DBDAEAFA"/>
    <w:lvl w:ilvl="0" w:tplc="9E80428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480565"/>
    <w:multiLevelType w:val="hybridMultilevel"/>
    <w:tmpl w:val="9A3EE9C6"/>
    <w:lvl w:ilvl="0" w:tplc="EE561FE6">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333A39"/>
    <w:multiLevelType w:val="hybridMultilevel"/>
    <w:tmpl w:val="9466753C"/>
    <w:lvl w:ilvl="0" w:tplc="0C090001">
      <w:start w:val="1"/>
      <w:numFmt w:val="bullet"/>
      <w:lvlText w:val=""/>
      <w:lvlJc w:val="left"/>
      <w:pPr>
        <w:ind w:left="840" w:hanging="360"/>
      </w:pPr>
      <w:rPr>
        <w:rFonts w:ascii="Symbol" w:hAnsi="Symbol" w:hint="default"/>
      </w:rPr>
    </w:lvl>
    <w:lvl w:ilvl="1" w:tplc="0C090003">
      <w:start w:val="1"/>
      <w:numFmt w:val="bullet"/>
      <w:lvlText w:val="o"/>
      <w:lvlJc w:val="left"/>
      <w:pPr>
        <w:ind w:left="1560" w:hanging="360"/>
      </w:pPr>
      <w:rPr>
        <w:rFonts w:ascii="Courier New" w:hAnsi="Courier New" w:cs="Courier New" w:hint="default"/>
      </w:rPr>
    </w:lvl>
    <w:lvl w:ilvl="2" w:tplc="0C090005">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3" w15:restartNumberingAfterBreak="0">
    <w:nsid w:val="32F804F5"/>
    <w:multiLevelType w:val="hybridMultilevel"/>
    <w:tmpl w:val="A7C6EF6C"/>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4" w15:restartNumberingAfterBreak="0">
    <w:nsid w:val="3587402B"/>
    <w:multiLevelType w:val="hybridMultilevel"/>
    <w:tmpl w:val="CA50F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532AD0"/>
    <w:multiLevelType w:val="hybridMultilevel"/>
    <w:tmpl w:val="59440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522CE8"/>
    <w:multiLevelType w:val="hybridMultilevel"/>
    <w:tmpl w:val="19065C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s="Times New Roman"/>
        <w:color w:val="auto"/>
        <w:spacing w:val="0"/>
        <w:position w:val="0"/>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496571C0"/>
    <w:multiLevelType w:val="hybridMultilevel"/>
    <w:tmpl w:val="2BBAD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1042A5"/>
    <w:multiLevelType w:val="hybridMultilevel"/>
    <w:tmpl w:val="E73A6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801285"/>
    <w:multiLevelType w:val="hybridMultilevel"/>
    <w:tmpl w:val="5428D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970150"/>
    <w:multiLevelType w:val="hybridMultilevel"/>
    <w:tmpl w:val="04708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C92789"/>
    <w:multiLevelType w:val="hybridMultilevel"/>
    <w:tmpl w:val="F776F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694BA7"/>
    <w:multiLevelType w:val="hybridMultilevel"/>
    <w:tmpl w:val="F15E3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B07999"/>
    <w:multiLevelType w:val="hybridMultilevel"/>
    <w:tmpl w:val="F27622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61E2074"/>
    <w:multiLevelType w:val="hybridMultilevel"/>
    <w:tmpl w:val="8A7AD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7516C0"/>
    <w:multiLevelType w:val="hybridMultilevel"/>
    <w:tmpl w:val="E50EE2E0"/>
    <w:lvl w:ilvl="0" w:tplc="0C090001">
      <w:start w:val="1"/>
      <w:numFmt w:val="bullet"/>
      <w:lvlText w:val=""/>
      <w:lvlJc w:val="left"/>
      <w:pPr>
        <w:ind w:left="720" w:hanging="360"/>
      </w:pPr>
      <w:rPr>
        <w:rFonts w:ascii="Symbol" w:hAnsi="Symbol" w:hint="default"/>
      </w:rPr>
    </w:lvl>
    <w:lvl w:ilvl="1" w:tplc="607836CA">
      <w:start w:val="1"/>
      <w:numFmt w:val="bullet"/>
      <w:lvlText w:val="o"/>
      <w:lvlJc w:val="left"/>
      <w:pPr>
        <w:ind w:left="1440" w:hanging="360"/>
      </w:pPr>
      <w:rPr>
        <w:rFonts w:ascii="Courier New" w:hAnsi="Courier New" w:cs="Courier New" w:hint="default"/>
        <w:color w:val="FF000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CA2E45"/>
    <w:multiLevelType w:val="hybridMultilevel"/>
    <w:tmpl w:val="938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C740C8"/>
    <w:multiLevelType w:val="hybridMultilevel"/>
    <w:tmpl w:val="B1DCE168"/>
    <w:lvl w:ilvl="0" w:tplc="E66EB0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EF3197"/>
    <w:multiLevelType w:val="hybridMultilevel"/>
    <w:tmpl w:val="9B884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24"/>
  </w:num>
  <w:num w:numId="4">
    <w:abstractNumId w:val="16"/>
  </w:num>
  <w:num w:numId="5">
    <w:abstractNumId w:val="0"/>
  </w:num>
  <w:num w:numId="6">
    <w:abstractNumId w:val="3"/>
  </w:num>
  <w:num w:numId="7">
    <w:abstractNumId w:val="17"/>
  </w:num>
  <w:num w:numId="8">
    <w:abstractNumId w:val="22"/>
  </w:num>
  <w:num w:numId="9">
    <w:abstractNumId w:val="6"/>
  </w:num>
  <w:num w:numId="10">
    <w:abstractNumId w:val="21"/>
  </w:num>
  <w:num w:numId="11">
    <w:abstractNumId w:val="25"/>
  </w:num>
  <w:num w:numId="12">
    <w:abstractNumId w:val="13"/>
  </w:num>
  <w:num w:numId="13">
    <w:abstractNumId w:val="12"/>
  </w:num>
  <w:num w:numId="14">
    <w:abstractNumId w:val="9"/>
  </w:num>
  <w:num w:numId="15">
    <w:abstractNumId w:val="7"/>
  </w:num>
  <w:num w:numId="16">
    <w:abstractNumId w:val="19"/>
  </w:num>
  <w:num w:numId="17">
    <w:abstractNumId w:val="29"/>
  </w:num>
  <w:num w:numId="18">
    <w:abstractNumId w:val="27"/>
  </w:num>
  <w:num w:numId="19">
    <w:abstractNumId w:val="28"/>
  </w:num>
  <w:num w:numId="20">
    <w:abstractNumId w:val="4"/>
  </w:num>
  <w:num w:numId="21">
    <w:abstractNumId w:val="1"/>
  </w:num>
  <w:num w:numId="22">
    <w:abstractNumId w:val="14"/>
  </w:num>
  <w:num w:numId="23">
    <w:abstractNumId w:val="5"/>
  </w:num>
  <w:num w:numId="24">
    <w:abstractNumId w:val="20"/>
  </w:num>
  <w:num w:numId="25">
    <w:abstractNumId w:val="2"/>
  </w:num>
  <w:num w:numId="26">
    <w:abstractNumId w:val="23"/>
  </w:num>
  <w:num w:numId="27">
    <w:abstractNumId w:val="15"/>
  </w:num>
  <w:num w:numId="28">
    <w:abstractNumId w:val="8"/>
  </w:num>
  <w:num w:numId="29">
    <w:abstractNumId w:val="18"/>
  </w:num>
  <w:num w:numId="30">
    <w:abstractNumId w:val="1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7B8"/>
    <w:rsid w:val="00004684"/>
    <w:rsid w:val="00005AC0"/>
    <w:rsid w:val="000075CF"/>
    <w:rsid w:val="00007698"/>
    <w:rsid w:val="00007D75"/>
    <w:rsid w:val="00007DB2"/>
    <w:rsid w:val="000125EE"/>
    <w:rsid w:val="00016448"/>
    <w:rsid w:val="000234BA"/>
    <w:rsid w:val="00024CF8"/>
    <w:rsid w:val="00025F97"/>
    <w:rsid w:val="000338E4"/>
    <w:rsid w:val="0003777B"/>
    <w:rsid w:val="00040846"/>
    <w:rsid w:val="00043408"/>
    <w:rsid w:val="00043CD6"/>
    <w:rsid w:val="00043F64"/>
    <w:rsid w:val="000450DF"/>
    <w:rsid w:val="00046315"/>
    <w:rsid w:val="00047C02"/>
    <w:rsid w:val="00053808"/>
    <w:rsid w:val="00053F91"/>
    <w:rsid w:val="000577F7"/>
    <w:rsid w:val="00057D8F"/>
    <w:rsid w:val="00060FF7"/>
    <w:rsid w:val="0006156E"/>
    <w:rsid w:val="0006240C"/>
    <w:rsid w:val="00062D92"/>
    <w:rsid w:val="000662AF"/>
    <w:rsid w:val="0007041C"/>
    <w:rsid w:val="0007085F"/>
    <w:rsid w:val="00072A64"/>
    <w:rsid w:val="00073B6E"/>
    <w:rsid w:val="00073F7C"/>
    <w:rsid w:val="00076B67"/>
    <w:rsid w:val="00082AD2"/>
    <w:rsid w:val="00087675"/>
    <w:rsid w:val="00090F01"/>
    <w:rsid w:val="00091241"/>
    <w:rsid w:val="00092064"/>
    <w:rsid w:val="000925F8"/>
    <w:rsid w:val="00092B56"/>
    <w:rsid w:val="00095028"/>
    <w:rsid w:val="0009593D"/>
    <w:rsid w:val="00096566"/>
    <w:rsid w:val="0009684B"/>
    <w:rsid w:val="000A1D39"/>
    <w:rsid w:val="000A282F"/>
    <w:rsid w:val="000A51A8"/>
    <w:rsid w:val="000A5625"/>
    <w:rsid w:val="000A6BC3"/>
    <w:rsid w:val="000B147F"/>
    <w:rsid w:val="000B4334"/>
    <w:rsid w:val="000C3B27"/>
    <w:rsid w:val="000C3C21"/>
    <w:rsid w:val="000C4CF2"/>
    <w:rsid w:val="000C54FE"/>
    <w:rsid w:val="000D3595"/>
    <w:rsid w:val="000D399D"/>
    <w:rsid w:val="000D47AA"/>
    <w:rsid w:val="000D48C4"/>
    <w:rsid w:val="000D4C12"/>
    <w:rsid w:val="000D573C"/>
    <w:rsid w:val="000D5EED"/>
    <w:rsid w:val="000E468B"/>
    <w:rsid w:val="000E5A4E"/>
    <w:rsid w:val="000E7CA1"/>
    <w:rsid w:val="000F15B0"/>
    <w:rsid w:val="000F7C04"/>
    <w:rsid w:val="000F7CCF"/>
    <w:rsid w:val="0010298E"/>
    <w:rsid w:val="001113EB"/>
    <w:rsid w:val="00115AAE"/>
    <w:rsid w:val="00117840"/>
    <w:rsid w:val="00120797"/>
    <w:rsid w:val="001208F2"/>
    <w:rsid w:val="001267CE"/>
    <w:rsid w:val="00130063"/>
    <w:rsid w:val="00130B0D"/>
    <w:rsid w:val="00134C80"/>
    <w:rsid w:val="00134E45"/>
    <w:rsid w:val="0013559E"/>
    <w:rsid w:val="00136523"/>
    <w:rsid w:val="00144226"/>
    <w:rsid w:val="001462E6"/>
    <w:rsid w:val="00147FE3"/>
    <w:rsid w:val="00150540"/>
    <w:rsid w:val="00151F70"/>
    <w:rsid w:val="00155A26"/>
    <w:rsid w:val="0015627D"/>
    <w:rsid w:val="001572C0"/>
    <w:rsid w:val="00157650"/>
    <w:rsid w:val="001634FE"/>
    <w:rsid w:val="00166BE0"/>
    <w:rsid w:val="0017640F"/>
    <w:rsid w:val="001808E9"/>
    <w:rsid w:val="00185E34"/>
    <w:rsid w:val="00186414"/>
    <w:rsid w:val="00192A27"/>
    <w:rsid w:val="00192EA5"/>
    <w:rsid w:val="00193310"/>
    <w:rsid w:val="001A104E"/>
    <w:rsid w:val="001A4ED1"/>
    <w:rsid w:val="001A71A9"/>
    <w:rsid w:val="001B2A5C"/>
    <w:rsid w:val="001C5C56"/>
    <w:rsid w:val="001D21A0"/>
    <w:rsid w:val="001D2408"/>
    <w:rsid w:val="001D32FA"/>
    <w:rsid w:val="001D6E11"/>
    <w:rsid w:val="001E0DE2"/>
    <w:rsid w:val="001E31B0"/>
    <w:rsid w:val="001E32FE"/>
    <w:rsid w:val="001E5488"/>
    <w:rsid w:val="001E69C3"/>
    <w:rsid w:val="001F2B80"/>
    <w:rsid w:val="001F4333"/>
    <w:rsid w:val="001F4913"/>
    <w:rsid w:val="001F5D65"/>
    <w:rsid w:val="001F7588"/>
    <w:rsid w:val="0020404B"/>
    <w:rsid w:val="00204E83"/>
    <w:rsid w:val="0021096B"/>
    <w:rsid w:val="00210E77"/>
    <w:rsid w:val="002127A8"/>
    <w:rsid w:val="00212B98"/>
    <w:rsid w:val="002229A6"/>
    <w:rsid w:val="002241DC"/>
    <w:rsid w:val="00227333"/>
    <w:rsid w:val="00227CF9"/>
    <w:rsid w:val="002306A5"/>
    <w:rsid w:val="00232A24"/>
    <w:rsid w:val="00237C5B"/>
    <w:rsid w:val="00240067"/>
    <w:rsid w:val="00240AA0"/>
    <w:rsid w:val="002440EE"/>
    <w:rsid w:val="002448CA"/>
    <w:rsid w:val="00250BD7"/>
    <w:rsid w:val="00257260"/>
    <w:rsid w:val="0026524A"/>
    <w:rsid w:val="00265EE8"/>
    <w:rsid w:val="00267B9C"/>
    <w:rsid w:val="00272343"/>
    <w:rsid w:val="00272D71"/>
    <w:rsid w:val="00273D94"/>
    <w:rsid w:val="00277905"/>
    <w:rsid w:val="00281098"/>
    <w:rsid w:val="002823F5"/>
    <w:rsid w:val="00283386"/>
    <w:rsid w:val="002835F3"/>
    <w:rsid w:val="00295808"/>
    <w:rsid w:val="00296057"/>
    <w:rsid w:val="002972FB"/>
    <w:rsid w:val="002A7B97"/>
    <w:rsid w:val="002A7B99"/>
    <w:rsid w:val="002B0C57"/>
    <w:rsid w:val="002B123B"/>
    <w:rsid w:val="002C04F7"/>
    <w:rsid w:val="002C1EF8"/>
    <w:rsid w:val="002C559E"/>
    <w:rsid w:val="002C7B60"/>
    <w:rsid w:val="002D3817"/>
    <w:rsid w:val="002D3B7C"/>
    <w:rsid w:val="002D63B0"/>
    <w:rsid w:val="002E1A36"/>
    <w:rsid w:val="002E258D"/>
    <w:rsid w:val="002E2A71"/>
    <w:rsid w:val="002E3976"/>
    <w:rsid w:val="002E66DF"/>
    <w:rsid w:val="002E759B"/>
    <w:rsid w:val="002F3999"/>
    <w:rsid w:val="002F4292"/>
    <w:rsid w:val="002F6D32"/>
    <w:rsid w:val="002F74E4"/>
    <w:rsid w:val="0030075B"/>
    <w:rsid w:val="00303BAA"/>
    <w:rsid w:val="003043F1"/>
    <w:rsid w:val="00305FB3"/>
    <w:rsid w:val="0030635C"/>
    <w:rsid w:val="00307F3C"/>
    <w:rsid w:val="0031030F"/>
    <w:rsid w:val="00313DCF"/>
    <w:rsid w:val="00314E16"/>
    <w:rsid w:val="0032339C"/>
    <w:rsid w:val="0032691C"/>
    <w:rsid w:val="00326AC0"/>
    <w:rsid w:val="00327014"/>
    <w:rsid w:val="0033154C"/>
    <w:rsid w:val="003336A6"/>
    <w:rsid w:val="003354FE"/>
    <w:rsid w:val="00337422"/>
    <w:rsid w:val="00337F90"/>
    <w:rsid w:val="0034414D"/>
    <w:rsid w:val="00350484"/>
    <w:rsid w:val="0035110C"/>
    <w:rsid w:val="003513D5"/>
    <w:rsid w:val="003530F7"/>
    <w:rsid w:val="00353A85"/>
    <w:rsid w:val="00356CF0"/>
    <w:rsid w:val="00357903"/>
    <w:rsid w:val="0036241E"/>
    <w:rsid w:val="0036309C"/>
    <w:rsid w:val="00363131"/>
    <w:rsid w:val="00363EDD"/>
    <w:rsid w:val="00365AE6"/>
    <w:rsid w:val="00371089"/>
    <w:rsid w:val="00371291"/>
    <w:rsid w:val="003716D8"/>
    <w:rsid w:val="00376358"/>
    <w:rsid w:val="00376900"/>
    <w:rsid w:val="00377E0D"/>
    <w:rsid w:val="0038230E"/>
    <w:rsid w:val="0038525B"/>
    <w:rsid w:val="00390898"/>
    <w:rsid w:val="00396979"/>
    <w:rsid w:val="003969CE"/>
    <w:rsid w:val="003A22DD"/>
    <w:rsid w:val="003A3931"/>
    <w:rsid w:val="003A4323"/>
    <w:rsid w:val="003B54AC"/>
    <w:rsid w:val="003C0E45"/>
    <w:rsid w:val="003C1FA4"/>
    <w:rsid w:val="003C38A6"/>
    <w:rsid w:val="003C4D73"/>
    <w:rsid w:val="003C52A6"/>
    <w:rsid w:val="003D35B2"/>
    <w:rsid w:val="003D4E3F"/>
    <w:rsid w:val="003D5539"/>
    <w:rsid w:val="003E2096"/>
    <w:rsid w:val="003E57E0"/>
    <w:rsid w:val="003E7F4C"/>
    <w:rsid w:val="003F007E"/>
    <w:rsid w:val="003F0789"/>
    <w:rsid w:val="003F37A6"/>
    <w:rsid w:val="003F5423"/>
    <w:rsid w:val="00400B3F"/>
    <w:rsid w:val="00403C92"/>
    <w:rsid w:val="0040439B"/>
    <w:rsid w:val="004119F7"/>
    <w:rsid w:val="00411EC4"/>
    <w:rsid w:val="00412840"/>
    <w:rsid w:val="004218FA"/>
    <w:rsid w:val="00421EE3"/>
    <w:rsid w:val="00422BF5"/>
    <w:rsid w:val="00422E2D"/>
    <w:rsid w:val="00425204"/>
    <w:rsid w:val="00431BFF"/>
    <w:rsid w:val="0043319F"/>
    <w:rsid w:val="004369F1"/>
    <w:rsid w:val="00437AB9"/>
    <w:rsid w:val="004405D7"/>
    <w:rsid w:val="00443692"/>
    <w:rsid w:val="004456C5"/>
    <w:rsid w:val="0044789E"/>
    <w:rsid w:val="00453FA8"/>
    <w:rsid w:val="004615BA"/>
    <w:rsid w:val="0046272D"/>
    <w:rsid w:val="00462B56"/>
    <w:rsid w:val="00465AED"/>
    <w:rsid w:val="00466EAA"/>
    <w:rsid w:val="004671D3"/>
    <w:rsid w:val="0047115B"/>
    <w:rsid w:val="00474262"/>
    <w:rsid w:val="0047442B"/>
    <w:rsid w:val="00474B46"/>
    <w:rsid w:val="004766E3"/>
    <w:rsid w:val="0048450D"/>
    <w:rsid w:val="00492E66"/>
    <w:rsid w:val="004A1EA8"/>
    <w:rsid w:val="004A298B"/>
    <w:rsid w:val="004A2E9D"/>
    <w:rsid w:val="004A37B8"/>
    <w:rsid w:val="004A57BF"/>
    <w:rsid w:val="004A5A5F"/>
    <w:rsid w:val="004B06C0"/>
    <w:rsid w:val="004B0894"/>
    <w:rsid w:val="004B1751"/>
    <w:rsid w:val="004B21A7"/>
    <w:rsid w:val="004C314F"/>
    <w:rsid w:val="004D2BFD"/>
    <w:rsid w:val="004E0DEA"/>
    <w:rsid w:val="004E174E"/>
    <w:rsid w:val="004E51C9"/>
    <w:rsid w:val="004E5E00"/>
    <w:rsid w:val="004F07FB"/>
    <w:rsid w:val="004F4E6B"/>
    <w:rsid w:val="004F64EB"/>
    <w:rsid w:val="00502363"/>
    <w:rsid w:val="00502461"/>
    <w:rsid w:val="0050762B"/>
    <w:rsid w:val="0051060A"/>
    <w:rsid w:val="0051081B"/>
    <w:rsid w:val="005125BF"/>
    <w:rsid w:val="005128A5"/>
    <w:rsid w:val="00513C83"/>
    <w:rsid w:val="0051537F"/>
    <w:rsid w:val="00522312"/>
    <w:rsid w:val="00524112"/>
    <w:rsid w:val="005276D2"/>
    <w:rsid w:val="00533F3E"/>
    <w:rsid w:val="00537821"/>
    <w:rsid w:val="00537AA8"/>
    <w:rsid w:val="00544841"/>
    <w:rsid w:val="005531AD"/>
    <w:rsid w:val="0055701A"/>
    <w:rsid w:val="0056010E"/>
    <w:rsid w:val="0056077E"/>
    <w:rsid w:val="005610D4"/>
    <w:rsid w:val="00561456"/>
    <w:rsid w:val="00564CF6"/>
    <w:rsid w:val="00565BCF"/>
    <w:rsid w:val="00565D48"/>
    <w:rsid w:val="00570EC8"/>
    <w:rsid w:val="005718C3"/>
    <w:rsid w:val="005723A8"/>
    <w:rsid w:val="00574892"/>
    <w:rsid w:val="00576E62"/>
    <w:rsid w:val="00577507"/>
    <w:rsid w:val="00583135"/>
    <w:rsid w:val="00585A73"/>
    <w:rsid w:val="005867A8"/>
    <w:rsid w:val="005868AE"/>
    <w:rsid w:val="00587EB6"/>
    <w:rsid w:val="005A0D2E"/>
    <w:rsid w:val="005A0F50"/>
    <w:rsid w:val="005C148A"/>
    <w:rsid w:val="005C3471"/>
    <w:rsid w:val="005C3616"/>
    <w:rsid w:val="005C75F7"/>
    <w:rsid w:val="005D211C"/>
    <w:rsid w:val="005D236C"/>
    <w:rsid w:val="005D624A"/>
    <w:rsid w:val="005D63A0"/>
    <w:rsid w:val="005D76E9"/>
    <w:rsid w:val="005E16D4"/>
    <w:rsid w:val="005E49F4"/>
    <w:rsid w:val="005F16FF"/>
    <w:rsid w:val="005F2955"/>
    <w:rsid w:val="005F44F8"/>
    <w:rsid w:val="005F453D"/>
    <w:rsid w:val="005F7682"/>
    <w:rsid w:val="0060212E"/>
    <w:rsid w:val="00604513"/>
    <w:rsid w:val="00607F8A"/>
    <w:rsid w:val="0061051E"/>
    <w:rsid w:val="00610A6B"/>
    <w:rsid w:val="006110FB"/>
    <w:rsid w:val="00614B8D"/>
    <w:rsid w:val="00617A5F"/>
    <w:rsid w:val="006207CB"/>
    <w:rsid w:val="006308A0"/>
    <w:rsid w:val="00630D2E"/>
    <w:rsid w:val="006311AC"/>
    <w:rsid w:val="006321C9"/>
    <w:rsid w:val="00634D47"/>
    <w:rsid w:val="00637692"/>
    <w:rsid w:val="00640983"/>
    <w:rsid w:val="00640E7E"/>
    <w:rsid w:val="006433A8"/>
    <w:rsid w:val="006435D7"/>
    <w:rsid w:val="00644CC9"/>
    <w:rsid w:val="006517EE"/>
    <w:rsid w:val="00651EBE"/>
    <w:rsid w:val="00651F53"/>
    <w:rsid w:val="00653223"/>
    <w:rsid w:val="0065652D"/>
    <w:rsid w:val="006671CF"/>
    <w:rsid w:val="00671B1A"/>
    <w:rsid w:val="006777CC"/>
    <w:rsid w:val="006805CF"/>
    <w:rsid w:val="0068175F"/>
    <w:rsid w:val="0069236C"/>
    <w:rsid w:val="00692CF9"/>
    <w:rsid w:val="006939DD"/>
    <w:rsid w:val="00694159"/>
    <w:rsid w:val="00695B75"/>
    <w:rsid w:val="00697C43"/>
    <w:rsid w:val="006A103C"/>
    <w:rsid w:val="006A27FA"/>
    <w:rsid w:val="006A486B"/>
    <w:rsid w:val="006A4CAA"/>
    <w:rsid w:val="006A712C"/>
    <w:rsid w:val="006C7B5F"/>
    <w:rsid w:val="006D0759"/>
    <w:rsid w:val="006D1B9D"/>
    <w:rsid w:val="006D2B67"/>
    <w:rsid w:val="006D580B"/>
    <w:rsid w:val="006E1DF6"/>
    <w:rsid w:val="006E1E8C"/>
    <w:rsid w:val="006E5C46"/>
    <w:rsid w:val="006E5C82"/>
    <w:rsid w:val="006F3912"/>
    <w:rsid w:val="00703867"/>
    <w:rsid w:val="007061D9"/>
    <w:rsid w:val="00706D65"/>
    <w:rsid w:val="00711A8D"/>
    <w:rsid w:val="00725B84"/>
    <w:rsid w:val="00731EA5"/>
    <w:rsid w:val="00735B56"/>
    <w:rsid w:val="00736646"/>
    <w:rsid w:val="007379EF"/>
    <w:rsid w:val="00737AB0"/>
    <w:rsid w:val="00740241"/>
    <w:rsid w:val="007413D5"/>
    <w:rsid w:val="00741EB1"/>
    <w:rsid w:val="0074303B"/>
    <w:rsid w:val="00743A29"/>
    <w:rsid w:val="00744BB1"/>
    <w:rsid w:val="00746248"/>
    <w:rsid w:val="00753EDD"/>
    <w:rsid w:val="007544AC"/>
    <w:rsid w:val="007554AB"/>
    <w:rsid w:val="00755617"/>
    <w:rsid w:val="00760AB0"/>
    <w:rsid w:val="00761B16"/>
    <w:rsid w:val="00767D51"/>
    <w:rsid w:val="00771517"/>
    <w:rsid w:val="00775174"/>
    <w:rsid w:val="00775B68"/>
    <w:rsid w:val="00780D8E"/>
    <w:rsid w:val="00792605"/>
    <w:rsid w:val="007929F5"/>
    <w:rsid w:val="00795123"/>
    <w:rsid w:val="00795831"/>
    <w:rsid w:val="007A25A8"/>
    <w:rsid w:val="007B3BB6"/>
    <w:rsid w:val="007B4F00"/>
    <w:rsid w:val="007B65A5"/>
    <w:rsid w:val="007B7FA0"/>
    <w:rsid w:val="007C2E2F"/>
    <w:rsid w:val="007D1181"/>
    <w:rsid w:val="007D3158"/>
    <w:rsid w:val="007D37B8"/>
    <w:rsid w:val="007D3FCD"/>
    <w:rsid w:val="007D48CC"/>
    <w:rsid w:val="007D61CA"/>
    <w:rsid w:val="007D674D"/>
    <w:rsid w:val="007E15E0"/>
    <w:rsid w:val="007E2C6D"/>
    <w:rsid w:val="007F0BEE"/>
    <w:rsid w:val="007F24E7"/>
    <w:rsid w:val="007F74D3"/>
    <w:rsid w:val="00800685"/>
    <w:rsid w:val="00805CBE"/>
    <w:rsid w:val="0081176F"/>
    <w:rsid w:val="00813CA6"/>
    <w:rsid w:val="00814D2C"/>
    <w:rsid w:val="00823243"/>
    <w:rsid w:val="008233C4"/>
    <w:rsid w:val="00823E11"/>
    <w:rsid w:val="0082439C"/>
    <w:rsid w:val="00827192"/>
    <w:rsid w:val="008311A6"/>
    <w:rsid w:val="0083546D"/>
    <w:rsid w:val="00835C2B"/>
    <w:rsid w:val="008361B1"/>
    <w:rsid w:val="00836965"/>
    <w:rsid w:val="00841BE5"/>
    <w:rsid w:val="00841E86"/>
    <w:rsid w:val="008538E5"/>
    <w:rsid w:val="00854CCA"/>
    <w:rsid w:val="00863A5D"/>
    <w:rsid w:val="008654E7"/>
    <w:rsid w:val="008673D7"/>
    <w:rsid w:val="00872A4D"/>
    <w:rsid w:val="00880367"/>
    <w:rsid w:val="00880C00"/>
    <w:rsid w:val="00883558"/>
    <w:rsid w:val="008847DC"/>
    <w:rsid w:val="00885FA6"/>
    <w:rsid w:val="00890701"/>
    <w:rsid w:val="00894CA7"/>
    <w:rsid w:val="00897EBD"/>
    <w:rsid w:val="008A039F"/>
    <w:rsid w:val="008A77EB"/>
    <w:rsid w:val="008A7A12"/>
    <w:rsid w:val="008B2209"/>
    <w:rsid w:val="008B2526"/>
    <w:rsid w:val="008B6D9E"/>
    <w:rsid w:val="008B79D5"/>
    <w:rsid w:val="008C290A"/>
    <w:rsid w:val="008C3A2F"/>
    <w:rsid w:val="008C609C"/>
    <w:rsid w:val="008C6C96"/>
    <w:rsid w:val="008C77E0"/>
    <w:rsid w:val="008D3067"/>
    <w:rsid w:val="008D4554"/>
    <w:rsid w:val="008D4758"/>
    <w:rsid w:val="008D6D9D"/>
    <w:rsid w:val="008D778D"/>
    <w:rsid w:val="008D7AA4"/>
    <w:rsid w:val="008F3196"/>
    <w:rsid w:val="008F746E"/>
    <w:rsid w:val="00903764"/>
    <w:rsid w:val="00904987"/>
    <w:rsid w:val="009071FF"/>
    <w:rsid w:val="00907BD7"/>
    <w:rsid w:val="00907CC7"/>
    <w:rsid w:val="009158FF"/>
    <w:rsid w:val="00923C15"/>
    <w:rsid w:val="0093044D"/>
    <w:rsid w:val="00934D0E"/>
    <w:rsid w:val="00937189"/>
    <w:rsid w:val="00937432"/>
    <w:rsid w:val="0093764D"/>
    <w:rsid w:val="00937A05"/>
    <w:rsid w:val="00943238"/>
    <w:rsid w:val="00943471"/>
    <w:rsid w:val="00944B1F"/>
    <w:rsid w:val="00951B35"/>
    <w:rsid w:val="00951D20"/>
    <w:rsid w:val="00951DA2"/>
    <w:rsid w:val="0096472E"/>
    <w:rsid w:val="0096489C"/>
    <w:rsid w:val="009701D1"/>
    <w:rsid w:val="00980A9E"/>
    <w:rsid w:val="0098300A"/>
    <w:rsid w:val="00997E55"/>
    <w:rsid w:val="009A0564"/>
    <w:rsid w:val="009B7B1F"/>
    <w:rsid w:val="009C0A98"/>
    <w:rsid w:val="009C3AB3"/>
    <w:rsid w:val="009C557A"/>
    <w:rsid w:val="009C5E96"/>
    <w:rsid w:val="009D0415"/>
    <w:rsid w:val="009D09B7"/>
    <w:rsid w:val="009D2ABA"/>
    <w:rsid w:val="009D64A1"/>
    <w:rsid w:val="009D7C99"/>
    <w:rsid w:val="009E45FB"/>
    <w:rsid w:val="009E737A"/>
    <w:rsid w:val="009F1D54"/>
    <w:rsid w:val="009F2712"/>
    <w:rsid w:val="009F7747"/>
    <w:rsid w:val="00A00D70"/>
    <w:rsid w:val="00A039E9"/>
    <w:rsid w:val="00A07B0D"/>
    <w:rsid w:val="00A10BC1"/>
    <w:rsid w:val="00A11782"/>
    <w:rsid w:val="00A12744"/>
    <w:rsid w:val="00A15DC6"/>
    <w:rsid w:val="00A20CA6"/>
    <w:rsid w:val="00A22D6A"/>
    <w:rsid w:val="00A236BC"/>
    <w:rsid w:val="00A24F71"/>
    <w:rsid w:val="00A27015"/>
    <w:rsid w:val="00A279F1"/>
    <w:rsid w:val="00A35BAC"/>
    <w:rsid w:val="00A3644A"/>
    <w:rsid w:val="00A37C9F"/>
    <w:rsid w:val="00A41AE0"/>
    <w:rsid w:val="00A41DCE"/>
    <w:rsid w:val="00A42626"/>
    <w:rsid w:val="00A52596"/>
    <w:rsid w:val="00A53446"/>
    <w:rsid w:val="00A535C0"/>
    <w:rsid w:val="00A66520"/>
    <w:rsid w:val="00A807AE"/>
    <w:rsid w:val="00A80902"/>
    <w:rsid w:val="00A84AA5"/>
    <w:rsid w:val="00A856E8"/>
    <w:rsid w:val="00A915FE"/>
    <w:rsid w:val="00A9188F"/>
    <w:rsid w:val="00AA0AB8"/>
    <w:rsid w:val="00AA16C0"/>
    <w:rsid w:val="00AA1A39"/>
    <w:rsid w:val="00AA2749"/>
    <w:rsid w:val="00AA768A"/>
    <w:rsid w:val="00AB1E8D"/>
    <w:rsid w:val="00AB47CC"/>
    <w:rsid w:val="00AB4C24"/>
    <w:rsid w:val="00AB6F50"/>
    <w:rsid w:val="00AC275B"/>
    <w:rsid w:val="00AC43B4"/>
    <w:rsid w:val="00AC56AC"/>
    <w:rsid w:val="00AC6976"/>
    <w:rsid w:val="00AC7910"/>
    <w:rsid w:val="00AC7FB8"/>
    <w:rsid w:val="00AD09F7"/>
    <w:rsid w:val="00AD1556"/>
    <w:rsid w:val="00AE2CB2"/>
    <w:rsid w:val="00AE4BB2"/>
    <w:rsid w:val="00AE5CEB"/>
    <w:rsid w:val="00AF0FE5"/>
    <w:rsid w:val="00AF17A2"/>
    <w:rsid w:val="00AF4FAE"/>
    <w:rsid w:val="00B032B5"/>
    <w:rsid w:val="00B0684C"/>
    <w:rsid w:val="00B07A9E"/>
    <w:rsid w:val="00B102CE"/>
    <w:rsid w:val="00B106B4"/>
    <w:rsid w:val="00B1172F"/>
    <w:rsid w:val="00B12D9D"/>
    <w:rsid w:val="00B159F2"/>
    <w:rsid w:val="00B20FDC"/>
    <w:rsid w:val="00B3519B"/>
    <w:rsid w:val="00B35217"/>
    <w:rsid w:val="00B372CF"/>
    <w:rsid w:val="00B421C1"/>
    <w:rsid w:val="00B4410E"/>
    <w:rsid w:val="00B44333"/>
    <w:rsid w:val="00B443DB"/>
    <w:rsid w:val="00B44713"/>
    <w:rsid w:val="00B458A0"/>
    <w:rsid w:val="00B461A4"/>
    <w:rsid w:val="00B523C5"/>
    <w:rsid w:val="00B55F08"/>
    <w:rsid w:val="00B568B4"/>
    <w:rsid w:val="00B56CBE"/>
    <w:rsid w:val="00B63881"/>
    <w:rsid w:val="00B64EE5"/>
    <w:rsid w:val="00B71976"/>
    <w:rsid w:val="00B750E5"/>
    <w:rsid w:val="00B80AB4"/>
    <w:rsid w:val="00B830A4"/>
    <w:rsid w:val="00B835FC"/>
    <w:rsid w:val="00B84036"/>
    <w:rsid w:val="00B856F4"/>
    <w:rsid w:val="00B92317"/>
    <w:rsid w:val="00B929CD"/>
    <w:rsid w:val="00B97F0A"/>
    <w:rsid w:val="00BB3766"/>
    <w:rsid w:val="00BB5817"/>
    <w:rsid w:val="00BB6395"/>
    <w:rsid w:val="00BB7FC4"/>
    <w:rsid w:val="00BC2676"/>
    <w:rsid w:val="00BC3BCC"/>
    <w:rsid w:val="00BC4392"/>
    <w:rsid w:val="00BC4AE2"/>
    <w:rsid w:val="00BD3FBF"/>
    <w:rsid w:val="00BD655E"/>
    <w:rsid w:val="00BE1B88"/>
    <w:rsid w:val="00BE6F53"/>
    <w:rsid w:val="00BF2AC8"/>
    <w:rsid w:val="00C02058"/>
    <w:rsid w:val="00C037C6"/>
    <w:rsid w:val="00C045FC"/>
    <w:rsid w:val="00C05002"/>
    <w:rsid w:val="00C07372"/>
    <w:rsid w:val="00C113BA"/>
    <w:rsid w:val="00C1403E"/>
    <w:rsid w:val="00C17B4E"/>
    <w:rsid w:val="00C20D9E"/>
    <w:rsid w:val="00C224EA"/>
    <w:rsid w:val="00C24152"/>
    <w:rsid w:val="00C244F9"/>
    <w:rsid w:val="00C26867"/>
    <w:rsid w:val="00C319AE"/>
    <w:rsid w:val="00C31DA3"/>
    <w:rsid w:val="00C323D3"/>
    <w:rsid w:val="00C32AF4"/>
    <w:rsid w:val="00C3541F"/>
    <w:rsid w:val="00C3785F"/>
    <w:rsid w:val="00C4057E"/>
    <w:rsid w:val="00C431C3"/>
    <w:rsid w:val="00C45E59"/>
    <w:rsid w:val="00C46965"/>
    <w:rsid w:val="00C505E5"/>
    <w:rsid w:val="00C51AEB"/>
    <w:rsid w:val="00C607DD"/>
    <w:rsid w:val="00C60D24"/>
    <w:rsid w:val="00C60F16"/>
    <w:rsid w:val="00C618AA"/>
    <w:rsid w:val="00C7349C"/>
    <w:rsid w:val="00C73684"/>
    <w:rsid w:val="00C807F2"/>
    <w:rsid w:val="00C81CE9"/>
    <w:rsid w:val="00C82C8B"/>
    <w:rsid w:val="00C82ECD"/>
    <w:rsid w:val="00C83CEF"/>
    <w:rsid w:val="00C858E3"/>
    <w:rsid w:val="00C873BA"/>
    <w:rsid w:val="00C97190"/>
    <w:rsid w:val="00CA1672"/>
    <w:rsid w:val="00CA217D"/>
    <w:rsid w:val="00CB0EC8"/>
    <w:rsid w:val="00CB3863"/>
    <w:rsid w:val="00CB7AAA"/>
    <w:rsid w:val="00CC0718"/>
    <w:rsid w:val="00CC2DF4"/>
    <w:rsid w:val="00CC645B"/>
    <w:rsid w:val="00CC6A59"/>
    <w:rsid w:val="00CD04BD"/>
    <w:rsid w:val="00CE022F"/>
    <w:rsid w:val="00CE315A"/>
    <w:rsid w:val="00CE67B1"/>
    <w:rsid w:val="00CF1923"/>
    <w:rsid w:val="00CF426E"/>
    <w:rsid w:val="00D00685"/>
    <w:rsid w:val="00D10266"/>
    <w:rsid w:val="00D13C5E"/>
    <w:rsid w:val="00D173F3"/>
    <w:rsid w:val="00D241D7"/>
    <w:rsid w:val="00D30E28"/>
    <w:rsid w:val="00D347CC"/>
    <w:rsid w:val="00D352A8"/>
    <w:rsid w:val="00D37240"/>
    <w:rsid w:val="00D43C7A"/>
    <w:rsid w:val="00D504C7"/>
    <w:rsid w:val="00D51852"/>
    <w:rsid w:val="00D5637F"/>
    <w:rsid w:val="00D60955"/>
    <w:rsid w:val="00D631B7"/>
    <w:rsid w:val="00D65884"/>
    <w:rsid w:val="00D66F7A"/>
    <w:rsid w:val="00D71DCD"/>
    <w:rsid w:val="00D82941"/>
    <w:rsid w:val="00D90A1F"/>
    <w:rsid w:val="00D90E08"/>
    <w:rsid w:val="00DA024A"/>
    <w:rsid w:val="00DA4280"/>
    <w:rsid w:val="00DA6E0B"/>
    <w:rsid w:val="00DB0834"/>
    <w:rsid w:val="00DB49A2"/>
    <w:rsid w:val="00DB4ACB"/>
    <w:rsid w:val="00DB553B"/>
    <w:rsid w:val="00DC0141"/>
    <w:rsid w:val="00DC0596"/>
    <w:rsid w:val="00DC0D18"/>
    <w:rsid w:val="00DC113C"/>
    <w:rsid w:val="00DC1E13"/>
    <w:rsid w:val="00DC3D40"/>
    <w:rsid w:val="00DD0F76"/>
    <w:rsid w:val="00DD4201"/>
    <w:rsid w:val="00DD7BA5"/>
    <w:rsid w:val="00DE11AA"/>
    <w:rsid w:val="00DE2754"/>
    <w:rsid w:val="00DE594F"/>
    <w:rsid w:val="00DF0E07"/>
    <w:rsid w:val="00DF1BD8"/>
    <w:rsid w:val="00DF5A1C"/>
    <w:rsid w:val="00DF62A2"/>
    <w:rsid w:val="00E004E6"/>
    <w:rsid w:val="00E02D1F"/>
    <w:rsid w:val="00E04785"/>
    <w:rsid w:val="00E05322"/>
    <w:rsid w:val="00E139E7"/>
    <w:rsid w:val="00E16549"/>
    <w:rsid w:val="00E17474"/>
    <w:rsid w:val="00E21349"/>
    <w:rsid w:val="00E2301D"/>
    <w:rsid w:val="00E23379"/>
    <w:rsid w:val="00E24256"/>
    <w:rsid w:val="00E26F1F"/>
    <w:rsid w:val="00E30040"/>
    <w:rsid w:val="00E34976"/>
    <w:rsid w:val="00E369AF"/>
    <w:rsid w:val="00E42D9D"/>
    <w:rsid w:val="00E42DF0"/>
    <w:rsid w:val="00E4373B"/>
    <w:rsid w:val="00E43B25"/>
    <w:rsid w:val="00E43D4F"/>
    <w:rsid w:val="00E44363"/>
    <w:rsid w:val="00E447E6"/>
    <w:rsid w:val="00E46253"/>
    <w:rsid w:val="00E47B9C"/>
    <w:rsid w:val="00E5171C"/>
    <w:rsid w:val="00E549AD"/>
    <w:rsid w:val="00E57080"/>
    <w:rsid w:val="00E60F81"/>
    <w:rsid w:val="00E61203"/>
    <w:rsid w:val="00E6171E"/>
    <w:rsid w:val="00E62BBF"/>
    <w:rsid w:val="00E64C8F"/>
    <w:rsid w:val="00E65DE5"/>
    <w:rsid w:val="00E71960"/>
    <w:rsid w:val="00E737B7"/>
    <w:rsid w:val="00E75E99"/>
    <w:rsid w:val="00E77C24"/>
    <w:rsid w:val="00E77DBD"/>
    <w:rsid w:val="00E81F83"/>
    <w:rsid w:val="00E877D5"/>
    <w:rsid w:val="00E90148"/>
    <w:rsid w:val="00E94641"/>
    <w:rsid w:val="00EA0810"/>
    <w:rsid w:val="00EA2B7F"/>
    <w:rsid w:val="00EB0456"/>
    <w:rsid w:val="00EB2062"/>
    <w:rsid w:val="00EB2FD3"/>
    <w:rsid w:val="00EB335A"/>
    <w:rsid w:val="00EB51CD"/>
    <w:rsid w:val="00EB6255"/>
    <w:rsid w:val="00EB6A10"/>
    <w:rsid w:val="00EB6E1B"/>
    <w:rsid w:val="00EC0816"/>
    <w:rsid w:val="00EC112B"/>
    <w:rsid w:val="00EC1AC6"/>
    <w:rsid w:val="00EC3CF6"/>
    <w:rsid w:val="00EC67FE"/>
    <w:rsid w:val="00EC73DF"/>
    <w:rsid w:val="00ED00AF"/>
    <w:rsid w:val="00ED1244"/>
    <w:rsid w:val="00ED5107"/>
    <w:rsid w:val="00ED583A"/>
    <w:rsid w:val="00ED5A2E"/>
    <w:rsid w:val="00ED7945"/>
    <w:rsid w:val="00EE4B20"/>
    <w:rsid w:val="00EF1477"/>
    <w:rsid w:val="00EF3989"/>
    <w:rsid w:val="00EF4019"/>
    <w:rsid w:val="00F018DE"/>
    <w:rsid w:val="00F02BB8"/>
    <w:rsid w:val="00F040B4"/>
    <w:rsid w:val="00F05828"/>
    <w:rsid w:val="00F0738D"/>
    <w:rsid w:val="00F15396"/>
    <w:rsid w:val="00F17175"/>
    <w:rsid w:val="00F20C6C"/>
    <w:rsid w:val="00F2334D"/>
    <w:rsid w:val="00F27F2D"/>
    <w:rsid w:val="00F3104B"/>
    <w:rsid w:val="00F325AD"/>
    <w:rsid w:val="00F35585"/>
    <w:rsid w:val="00F356A4"/>
    <w:rsid w:val="00F36DB7"/>
    <w:rsid w:val="00F41FDB"/>
    <w:rsid w:val="00F51B97"/>
    <w:rsid w:val="00F52187"/>
    <w:rsid w:val="00F52862"/>
    <w:rsid w:val="00F53389"/>
    <w:rsid w:val="00F543C1"/>
    <w:rsid w:val="00F562CE"/>
    <w:rsid w:val="00F5639B"/>
    <w:rsid w:val="00F5697D"/>
    <w:rsid w:val="00F576BE"/>
    <w:rsid w:val="00F63B3E"/>
    <w:rsid w:val="00F6586D"/>
    <w:rsid w:val="00F74BDA"/>
    <w:rsid w:val="00F831FD"/>
    <w:rsid w:val="00F911EC"/>
    <w:rsid w:val="00F936DF"/>
    <w:rsid w:val="00FA6101"/>
    <w:rsid w:val="00FB0C59"/>
    <w:rsid w:val="00FB2280"/>
    <w:rsid w:val="00FB2EA3"/>
    <w:rsid w:val="00FB6FA6"/>
    <w:rsid w:val="00FC1A71"/>
    <w:rsid w:val="00FC3104"/>
    <w:rsid w:val="00FD16BC"/>
    <w:rsid w:val="00FD3C9A"/>
    <w:rsid w:val="00FD44A5"/>
    <w:rsid w:val="00FD5E08"/>
    <w:rsid w:val="00FE037A"/>
    <w:rsid w:val="00FE3E77"/>
    <w:rsid w:val="00FE56F3"/>
    <w:rsid w:val="00FE65FB"/>
    <w:rsid w:val="00FF0E78"/>
    <w:rsid w:val="00FF38A9"/>
    <w:rsid w:val="00FF7B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6A386BF"/>
  <w15:docId w15:val="{FEE90688-1AF0-497C-AEDA-7FB7B0BE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F3C"/>
    <w:pPr>
      <w:spacing w:before="120"/>
    </w:pPr>
    <w:rPr>
      <w:rFonts w:ascii="Arial" w:hAnsi="Arial"/>
      <w:sz w:val="22"/>
      <w:szCs w:val="24"/>
    </w:rPr>
  </w:style>
  <w:style w:type="paragraph" w:styleId="Heading1">
    <w:name w:val="heading 1"/>
    <w:basedOn w:val="Normal"/>
    <w:next w:val="Normal"/>
    <w:link w:val="Heading1Char"/>
    <w:uiPriority w:val="9"/>
    <w:qFormat/>
    <w:rsid w:val="00B44333"/>
    <w:pPr>
      <w:keepNext/>
      <w:spacing w:before="240" w:after="60"/>
      <w:jc w:val="center"/>
      <w:outlineLvl w:val="0"/>
    </w:pPr>
    <w:rPr>
      <w:rFonts w:eastAsia="Batang" w:cs="Arial"/>
      <w:b/>
      <w:bCs/>
      <w:color w:val="C00000"/>
      <w:sz w:val="44"/>
      <w:szCs w:val="32"/>
      <w:lang w:eastAsia="en-US"/>
    </w:rPr>
  </w:style>
  <w:style w:type="paragraph" w:styleId="Heading2">
    <w:name w:val="heading 2"/>
    <w:basedOn w:val="Normal"/>
    <w:next w:val="Normal"/>
    <w:link w:val="Heading2Char"/>
    <w:uiPriority w:val="9"/>
    <w:qFormat/>
    <w:rsid w:val="00B44333"/>
    <w:pPr>
      <w:keepNext/>
      <w:spacing w:before="240" w:after="240"/>
      <w:outlineLvl w:val="1"/>
    </w:pPr>
    <w:rPr>
      <w:rFonts w:cs="Arial"/>
      <w:b/>
      <w:bCs/>
      <w:iCs/>
      <w:color w:val="C00000"/>
      <w:sz w:val="24"/>
      <w:szCs w:val="28"/>
      <w:lang w:eastAsia="en-US"/>
    </w:rPr>
  </w:style>
  <w:style w:type="paragraph" w:styleId="Heading3">
    <w:name w:val="heading 3"/>
    <w:basedOn w:val="Normal"/>
    <w:next w:val="Normal"/>
    <w:link w:val="Heading3Char"/>
    <w:uiPriority w:val="9"/>
    <w:qFormat/>
    <w:rsid w:val="00B44333"/>
    <w:pPr>
      <w:keepNext/>
      <w:spacing w:before="240"/>
      <w:outlineLvl w:val="2"/>
    </w:pPr>
    <w:rPr>
      <w:rFonts w:cs="Arial"/>
      <w:b/>
      <w:bCs/>
      <w:i/>
      <w:color w:val="C00000"/>
      <w:szCs w:val="26"/>
      <w:lang w:eastAsia="en-US"/>
    </w:rPr>
  </w:style>
  <w:style w:type="paragraph" w:styleId="Heading5">
    <w:name w:val="heading 5"/>
    <w:basedOn w:val="Normal"/>
    <w:next w:val="Normal"/>
    <w:link w:val="Heading5Char"/>
    <w:uiPriority w:val="9"/>
    <w:unhideWhenUsed/>
    <w:qFormat/>
    <w:rsid w:val="00F562CE"/>
    <w:pPr>
      <w:keepNext/>
      <w:keepLines/>
      <w:spacing w:before="200"/>
      <w:outlineLvl w:val="4"/>
    </w:pPr>
    <w:rPr>
      <w:rFonts w:asciiTheme="majorHAnsi" w:eastAsiaTheme="majorEastAsia" w:hAnsiTheme="majorHAnsi" w:cstheme="majorBidi"/>
      <w:color w:val="243F60" w:themeColor="accent1" w:themeShade="7F"/>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Bullet1">
    <w:name w:val="Bullet 1"/>
    <w:basedOn w:val="Normal"/>
    <w:link w:val="Bullet1Char"/>
    <w:rsid w:val="00144226"/>
    <w:pPr>
      <w:spacing w:before="60"/>
      <w:ind w:left="720" w:hanging="360"/>
    </w:pPr>
  </w:style>
  <w:style w:type="character" w:customStyle="1" w:styleId="Bullet1Char">
    <w:name w:val="Bullet 1 Char"/>
    <w:link w:val="Bullet1"/>
    <w:rsid w:val="00144226"/>
    <w:rPr>
      <w:rFonts w:ascii="Arial" w:hAnsi="Arial"/>
      <w:sz w:val="22"/>
      <w:szCs w:val="24"/>
    </w:rPr>
  </w:style>
  <w:style w:type="character" w:styleId="Strong">
    <w:name w:val="Strong"/>
    <w:basedOn w:val="DefaultParagraphFont"/>
    <w:uiPriority w:val="22"/>
    <w:qFormat/>
    <w:rsid w:val="00144226"/>
    <w:rPr>
      <w:b/>
      <w:bCs/>
    </w:rPr>
  </w:style>
  <w:style w:type="paragraph" w:styleId="ListParagraph">
    <w:name w:val="List Paragraph"/>
    <w:basedOn w:val="Normal"/>
    <w:uiPriority w:val="34"/>
    <w:qFormat/>
    <w:rsid w:val="00F562CE"/>
    <w:pPr>
      <w:ind w:left="720"/>
      <w:contextualSpacing/>
    </w:pPr>
    <w:rPr>
      <w:szCs w:val="20"/>
      <w:lang w:eastAsia="en-US"/>
    </w:rPr>
  </w:style>
  <w:style w:type="character" w:customStyle="1" w:styleId="Heading5Char">
    <w:name w:val="Heading 5 Char"/>
    <w:basedOn w:val="DefaultParagraphFont"/>
    <w:link w:val="Heading5"/>
    <w:uiPriority w:val="9"/>
    <w:rsid w:val="00F562CE"/>
    <w:rPr>
      <w:rFonts w:asciiTheme="majorHAnsi" w:eastAsiaTheme="majorEastAsia" w:hAnsiTheme="majorHAnsi" w:cstheme="majorBidi"/>
      <w:color w:val="243F60" w:themeColor="accent1" w:themeShade="7F"/>
      <w:sz w:val="22"/>
      <w:lang w:eastAsia="en-US"/>
    </w:rPr>
  </w:style>
  <w:style w:type="paragraph" w:styleId="BalloonText">
    <w:name w:val="Balloon Text"/>
    <w:basedOn w:val="Normal"/>
    <w:link w:val="BalloonTextChar"/>
    <w:uiPriority w:val="99"/>
    <w:semiHidden/>
    <w:unhideWhenUsed/>
    <w:rsid w:val="004A37B8"/>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4A37B8"/>
    <w:rPr>
      <w:rFonts w:ascii="Tahoma" w:hAnsi="Tahoma" w:cs="Tahoma"/>
      <w:sz w:val="16"/>
      <w:szCs w:val="16"/>
      <w:lang w:eastAsia="en-US"/>
    </w:rPr>
  </w:style>
  <w:style w:type="paragraph" w:styleId="Header">
    <w:name w:val="header"/>
    <w:basedOn w:val="Normal"/>
    <w:link w:val="HeaderChar"/>
    <w:uiPriority w:val="99"/>
    <w:unhideWhenUsed/>
    <w:rsid w:val="004A37B8"/>
    <w:pPr>
      <w:tabs>
        <w:tab w:val="center" w:pos="4513"/>
        <w:tab w:val="right" w:pos="9026"/>
      </w:tabs>
    </w:pPr>
    <w:rPr>
      <w:szCs w:val="20"/>
      <w:lang w:eastAsia="en-US"/>
    </w:rPr>
  </w:style>
  <w:style w:type="character" w:customStyle="1" w:styleId="HeaderChar">
    <w:name w:val="Header Char"/>
    <w:basedOn w:val="DefaultParagraphFont"/>
    <w:link w:val="Header"/>
    <w:uiPriority w:val="99"/>
    <w:rsid w:val="004A37B8"/>
    <w:rPr>
      <w:rFonts w:ascii="Arial" w:hAnsi="Arial"/>
      <w:sz w:val="22"/>
      <w:lang w:eastAsia="en-US"/>
    </w:rPr>
  </w:style>
  <w:style w:type="paragraph" w:styleId="Footer">
    <w:name w:val="footer"/>
    <w:basedOn w:val="Normal"/>
    <w:link w:val="FooterChar"/>
    <w:uiPriority w:val="99"/>
    <w:unhideWhenUsed/>
    <w:rsid w:val="004A37B8"/>
    <w:pPr>
      <w:tabs>
        <w:tab w:val="center" w:pos="4513"/>
        <w:tab w:val="right" w:pos="9026"/>
      </w:tabs>
    </w:pPr>
    <w:rPr>
      <w:szCs w:val="20"/>
      <w:lang w:eastAsia="en-US"/>
    </w:rPr>
  </w:style>
  <w:style w:type="character" w:customStyle="1" w:styleId="FooterChar">
    <w:name w:val="Footer Char"/>
    <w:basedOn w:val="DefaultParagraphFont"/>
    <w:link w:val="Footer"/>
    <w:uiPriority w:val="99"/>
    <w:rsid w:val="004A37B8"/>
    <w:rPr>
      <w:rFonts w:ascii="Arial" w:hAnsi="Arial"/>
      <w:sz w:val="22"/>
      <w:lang w:eastAsia="en-US"/>
    </w:rPr>
  </w:style>
  <w:style w:type="character" w:styleId="Hyperlink">
    <w:name w:val="Hyperlink"/>
    <w:basedOn w:val="DefaultParagraphFont"/>
    <w:uiPriority w:val="99"/>
    <w:rsid w:val="004A37B8"/>
    <w:rPr>
      <w:color w:val="0000FF"/>
      <w:u w:val="single"/>
    </w:rPr>
  </w:style>
  <w:style w:type="table" w:styleId="TableGrid">
    <w:name w:val="Table Grid"/>
    <w:basedOn w:val="TableNormal"/>
    <w:uiPriority w:val="59"/>
    <w:rsid w:val="004A3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44333"/>
    <w:rPr>
      <w:rFonts w:ascii="Arial" w:eastAsia="Batang" w:hAnsi="Arial" w:cs="Arial"/>
      <w:b/>
      <w:bCs/>
      <w:color w:val="C00000"/>
      <w:sz w:val="44"/>
      <w:szCs w:val="32"/>
      <w:lang w:eastAsia="en-US"/>
    </w:rPr>
  </w:style>
  <w:style w:type="character" w:customStyle="1" w:styleId="Heading2Char">
    <w:name w:val="Heading 2 Char"/>
    <w:basedOn w:val="DefaultParagraphFont"/>
    <w:link w:val="Heading2"/>
    <w:uiPriority w:val="9"/>
    <w:rsid w:val="00B44333"/>
    <w:rPr>
      <w:rFonts w:ascii="Arial" w:hAnsi="Arial" w:cs="Arial"/>
      <w:b/>
      <w:bCs/>
      <w:iCs/>
      <w:color w:val="C00000"/>
      <w:sz w:val="24"/>
      <w:szCs w:val="28"/>
      <w:lang w:eastAsia="en-US"/>
    </w:rPr>
  </w:style>
  <w:style w:type="paragraph" w:customStyle="1" w:styleId="Default">
    <w:name w:val="Default"/>
    <w:rsid w:val="00C07372"/>
    <w:pPr>
      <w:widowControl w:val="0"/>
      <w:autoSpaceDE w:val="0"/>
      <w:autoSpaceDN w:val="0"/>
      <w:adjustRightInd w:val="0"/>
    </w:pPr>
    <w:rPr>
      <w:rFonts w:ascii="Newzald Book" w:eastAsiaTheme="minorEastAsia" w:hAnsi="Newzald Book" w:cs="Newzald Book"/>
      <w:color w:val="000000"/>
      <w:sz w:val="24"/>
      <w:szCs w:val="24"/>
      <w:lang w:val="en-US" w:eastAsia="en-US"/>
    </w:rPr>
  </w:style>
  <w:style w:type="character" w:customStyle="1" w:styleId="Heading3Char">
    <w:name w:val="Heading 3 Char"/>
    <w:basedOn w:val="DefaultParagraphFont"/>
    <w:link w:val="Heading3"/>
    <w:uiPriority w:val="9"/>
    <w:rsid w:val="00B44333"/>
    <w:rPr>
      <w:rFonts w:ascii="Arial" w:hAnsi="Arial" w:cs="Arial"/>
      <w:b/>
      <w:bCs/>
      <w:i/>
      <w:color w:val="C00000"/>
      <w:sz w:val="22"/>
      <w:szCs w:val="26"/>
      <w:lang w:eastAsia="en-US"/>
    </w:rPr>
  </w:style>
  <w:style w:type="paragraph" w:customStyle="1" w:styleId="Paragraph">
    <w:name w:val="Paragraph"/>
    <w:basedOn w:val="Normal"/>
    <w:rsid w:val="00C07372"/>
    <w:pPr>
      <w:numPr>
        <w:numId w:val="7"/>
      </w:numPr>
      <w:tabs>
        <w:tab w:val="left" w:pos="425"/>
      </w:tabs>
      <w:spacing w:after="240"/>
    </w:pPr>
    <w:rPr>
      <w:rFonts w:cs="Arial"/>
      <w:szCs w:val="22"/>
    </w:rPr>
  </w:style>
  <w:style w:type="numbering" w:customStyle="1" w:styleId="StyleOutlinenumberedVerdana">
    <w:name w:val="Style Outline numbered Verdana"/>
    <w:rsid w:val="00C07372"/>
    <w:pPr>
      <w:numPr>
        <w:numId w:val="7"/>
      </w:numPr>
    </w:pPr>
  </w:style>
  <w:style w:type="character" w:styleId="CommentReference">
    <w:name w:val="annotation reference"/>
    <w:basedOn w:val="DefaultParagraphFont"/>
    <w:uiPriority w:val="99"/>
    <w:semiHidden/>
    <w:unhideWhenUsed/>
    <w:rsid w:val="00240067"/>
    <w:rPr>
      <w:sz w:val="16"/>
      <w:szCs w:val="16"/>
    </w:rPr>
  </w:style>
  <w:style w:type="paragraph" w:styleId="CommentText">
    <w:name w:val="annotation text"/>
    <w:basedOn w:val="Normal"/>
    <w:link w:val="CommentTextChar"/>
    <w:uiPriority w:val="99"/>
    <w:semiHidden/>
    <w:unhideWhenUsed/>
    <w:rsid w:val="00240067"/>
    <w:rPr>
      <w:sz w:val="20"/>
      <w:szCs w:val="20"/>
    </w:rPr>
  </w:style>
  <w:style w:type="character" w:customStyle="1" w:styleId="CommentTextChar">
    <w:name w:val="Comment Text Char"/>
    <w:basedOn w:val="DefaultParagraphFont"/>
    <w:link w:val="CommentText"/>
    <w:uiPriority w:val="99"/>
    <w:semiHidden/>
    <w:rsid w:val="00240067"/>
    <w:rPr>
      <w:rFonts w:ascii="Arial" w:hAnsi="Arial"/>
    </w:rPr>
  </w:style>
  <w:style w:type="paragraph" w:styleId="CommentSubject">
    <w:name w:val="annotation subject"/>
    <w:basedOn w:val="CommentText"/>
    <w:next w:val="CommentText"/>
    <w:link w:val="CommentSubjectChar"/>
    <w:uiPriority w:val="99"/>
    <w:semiHidden/>
    <w:unhideWhenUsed/>
    <w:rsid w:val="00240067"/>
    <w:rPr>
      <w:b/>
      <w:bCs/>
    </w:rPr>
  </w:style>
  <w:style w:type="character" w:customStyle="1" w:styleId="CommentSubjectChar">
    <w:name w:val="Comment Subject Char"/>
    <w:basedOn w:val="CommentTextChar"/>
    <w:link w:val="CommentSubject"/>
    <w:uiPriority w:val="99"/>
    <w:semiHidden/>
    <w:rsid w:val="00240067"/>
    <w:rPr>
      <w:rFonts w:ascii="Arial" w:hAnsi="Arial"/>
      <w:b/>
      <w:bCs/>
    </w:rPr>
  </w:style>
  <w:style w:type="character" w:styleId="FollowedHyperlink">
    <w:name w:val="FollowedHyperlink"/>
    <w:basedOn w:val="DefaultParagraphFont"/>
    <w:uiPriority w:val="99"/>
    <w:semiHidden/>
    <w:unhideWhenUsed/>
    <w:rsid w:val="008654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05675">
      <w:bodyDiv w:val="1"/>
      <w:marLeft w:val="0"/>
      <w:marRight w:val="0"/>
      <w:marTop w:val="0"/>
      <w:marBottom w:val="0"/>
      <w:divBdr>
        <w:top w:val="none" w:sz="0" w:space="0" w:color="auto"/>
        <w:left w:val="none" w:sz="0" w:space="0" w:color="auto"/>
        <w:bottom w:val="none" w:sz="0" w:space="0" w:color="auto"/>
        <w:right w:val="none" w:sz="0" w:space="0" w:color="auto"/>
      </w:divBdr>
      <w:divsChild>
        <w:div w:id="38357378">
          <w:marLeft w:val="0"/>
          <w:marRight w:val="0"/>
          <w:marTop w:val="225"/>
          <w:marBottom w:val="0"/>
          <w:divBdr>
            <w:top w:val="none" w:sz="0" w:space="0" w:color="auto"/>
            <w:left w:val="none" w:sz="0" w:space="0" w:color="auto"/>
            <w:bottom w:val="none" w:sz="0" w:space="0" w:color="auto"/>
            <w:right w:val="none" w:sz="0" w:space="0" w:color="auto"/>
          </w:divBdr>
          <w:divsChild>
            <w:div w:id="1433746766">
              <w:marLeft w:val="0"/>
              <w:marRight w:val="0"/>
              <w:marTop w:val="0"/>
              <w:marBottom w:val="0"/>
              <w:divBdr>
                <w:top w:val="none" w:sz="0" w:space="0" w:color="auto"/>
                <w:left w:val="none" w:sz="0" w:space="0" w:color="auto"/>
                <w:bottom w:val="none" w:sz="0" w:space="0" w:color="auto"/>
                <w:right w:val="none" w:sz="0" w:space="0" w:color="auto"/>
              </w:divBdr>
              <w:divsChild>
                <w:div w:id="1790927220">
                  <w:marLeft w:val="0"/>
                  <w:marRight w:val="0"/>
                  <w:marTop w:val="0"/>
                  <w:marBottom w:val="0"/>
                  <w:divBdr>
                    <w:top w:val="none" w:sz="0" w:space="0" w:color="auto"/>
                    <w:left w:val="none" w:sz="0" w:space="0" w:color="auto"/>
                    <w:bottom w:val="none" w:sz="0" w:space="0" w:color="auto"/>
                    <w:right w:val="none" w:sz="0" w:space="0" w:color="auto"/>
                  </w:divBdr>
                  <w:divsChild>
                    <w:div w:id="2035113143">
                      <w:marLeft w:val="0"/>
                      <w:marRight w:val="0"/>
                      <w:marTop w:val="0"/>
                      <w:marBottom w:val="0"/>
                      <w:divBdr>
                        <w:top w:val="none" w:sz="0" w:space="0" w:color="auto"/>
                        <w:left w:val="none" w:sz="0" w:space="0" w:color="auto"/>
                        <w:bottom w:val="none" w:sz="0" w:space="0" w:color="auto"/>
                        <w:right w:val="none" w:sz="0" w:space="0" w:color="auto"/>
                      </w:divBdr>
                      <w:divsChild>
                        <w:div w:id="1872188762">
                          <w:marLeft w:val="0"/>
                          <w:marRight w:val="0"/>
                          <w:marTop w:val="0"/>
                          <w:marBottom w:val="0"/>
                          <w:divBdr>
                            <w:top w:val="none" w:sz="0" w:space="0" w:color="auto"/>
                            <w:left w:val="none" w:sz="0" w:space="0" w:color="auto"/>
                            <w:bottom w:val="none" w:sz="0" w:space="0" w:color="auto"/>
                            <w:right w:val="none" w:sz="0" w:space="0" w:color="auto"/>
                          </w:divBdr>
                          <w:divsChild>
                            <w:div w:id="815490224">
                              <w:marLeft w:val="0"/>
                              <w:marRight w:val="0"/>
                              <w:marTop w:val="0"/>
                              <w:marBottom w:val="0"/>
                              <w:divBdr>
                                <w:top w:val="none" w:sz="0" w:space="0" w:color="auto"/>
                                <w:left w:val="none" w:sz="0" w:space="0" w:color="auto"/>
                                <w:bottom w:val="none" w:sz="0" w:space="0" w:color="auto"/>
                                <w:right w:val="none" w:sz="0" w:space="0" w:color="auto"/>
                              </w:divBdr>
                              <w:divsChild>
                                <w:div w:id="18429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36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fework.sa.gov.au/" TargetMode="External"/><Relationship Id="rId18" Type="http://schemas.openxmlformats.org/officeDocument/2006/relationships/hyperlink" Target="http://www.comcare.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worksafe.qld.gov.au/" TargetMode="External"/><Relationship Id="rId17" Type="http://schemas.openxmlformats.org/officeDocument/2006/relationships/hyperlink" Target="https://worksafe.nt.gov.au/" TargetMode="External"/><Relationship Id="rId2" Type="http://schemas.openxmlformats.org/officeDocument/2006/relationships/customXml" Target="../customXml/item2.xml"/><Relationship Id="rId16" Type="http://schemas.openxmlformats.org/officeDocument/2006/relationships/hyperlink" Target="http://www.worksafe.tas.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rksafe.vic.gov.a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worksafe.act.gov.au/" TargetMode="External"/><Relationship Id="rId23" Type="http://schemas.openxmlformats.org/officeDocument/2006/relationships/fontTable" Target="fontTable.xml"/><Relationship Id="rId10" Type="http://schemas.openxmlformats.org/officeDocument/2006/relationships/hyperlink" Target="http://www.safework.nsw.gov.au/"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ommerce.wa.gov.au/WorkSaf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 xsi:nil="true"/>
    <ParentFolderID xmlns="http://schemas.microsoft.com/sharepoint/v3/fields">690</ParentFolderID>
  </documentManagement>
</p:properties>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479FF-E7FF-43D1-9631-BDE6D1964A45}">
  <ds:schemaRefs>
    <ds:schemaRef ds:uri="http://schemas.microsoft.com/office/2006/metadata/properties"/>
    <ds:schemaRef ds:uri="http://schemas.microsoft.com/office/infopath/2007/PartnerControls"/>
    <ds:schemaRef ds:uri="http://schemas.microsoft.com/sharepoint/v3/fields"/>
  </ds:schemaRefs>
</ds:datastoreItem>
</file>

<file path=customXml/itemProps2.xml><?xml version="1.0" encoding="utf-8"?>
<ds:datastoreItem xmlns:ds="http://schemas.openxmlformats.org/officeDocument/2006/customXml" ds:itemID="{BA1E23C0-AECA-4484-94AF-D19C9089C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79AF41-F015-422F-A1AE-FC75DE76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3107</Words>
  <Characters>17711</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notification fact sheet</dc:title>
  <dc:creator>Roxanne Ruscoe</dc:creator>
  <cp:lastModifiedBy>TWOHIG,Marcus</cp:lastModifiedBy>
  <cp:revision>2</cp:revision>
  <cp:lastPrinted>2015-09-10T04:02:00Z</cp:lastPrinted>
  <dcterms:created xsi:type="dcterms:W3CDTF">2022-09-16T04:24:00Z</dcterms:created>
  <dcterms:modified xsi:type="dcterms:W3CDTF">2022-09-16T04:24:00Z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y fmtid="{D5CDD505-2E9C-101B-9397-08002B2CF9AE}" pid="3" name="MSIP_Label_79d889eb-932f-4752-8739-64d25806ef64_Enabled">
    <vt:lpwstr>true</vt:lpwstr>
  </property>
  <property fmtid="{D5CDD505-2E9C-101B-9397-08002B2CF9AE}" pid="4" name="MSIP_Label_79d889eb-932f-4752-8739-64d25806ef64_SetDate">
    <vt:lpwstr>2022-09-15T01:10:36Z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e4b521ea-f5f8-4078-98ea-40e4d396062c</vt:lpwstr>
  </property>
  <property fmtid="{D5CDD505-2E9C-101B-9397-08002B2CF9AE}" pid="9" name="MSIP_Label_79d889eb-932f-4752-8739-64d25806ef64_ContentBits">
    <vt:lpwstr>0</vt:lpwstr>
  </property>
</Properties>
</file>