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439" w:rsidRPr="00742DA8" w:rsidRDefault="00FC6A9C" w:rsidP="003763F2">
      <w:pPr>
        <w:spacing w:before="0" w:after="240"/>
        <w:jc w:val="center"/>
        <w:rPr>
          <w:rFonts w:eastAsia="Times New Roman" w:cs="Arial"/>
          <w:b/>
          <w:color w:val="C00000"/>
          <w:sz w:val="44"/>
          <w:szCs w:val="44"/>
          <w:lang w:eastAsia="en-AU"/>
        </w:rPr>
      </w:pPr>
      <w:bookmarkStart w:id="0" w:name="_Toc383692167"/>
      <w:bookmarkStart w:id="1" w:name="_GoBack"/>
      <w:bookmarkEnd w:id="1"/>
      <w:r>
        <w:rPr>
          <w:rFonts w:eastAsia="Times New Roman" w:cs="Arial"/>
          <w:b/>
          <w:color w:val="C00000"/>
          <w:sz w:val="44"/>
          <w:szCs w:val="44"/>
          <w:lang w:eastAsia="en-AU"/>
        </w:rPr>
        <w:t>FORESTRY</w:t>
      </w:r>
      <w:r w:rsidR="00406C2C">
        <w:rPr>
          <w:rFonts w:eastAsia="Times New Roman" w:cs="Arial"/>
          <w:b/>
          <w:color w:val="C00000"/>
          <w:sz w:val="44"/>
          <w:szCs w:val="44"/>
          <w:lang w:eastAsia="en-AU"/>
        </w:rPr>
        <w:t>:</w:t>
      </w:r>
      <w:r>
        <w:rPr>
          <w:rFonts w:eastAsia="Times New Roman" w:cs="Arial"/>
          <w:b/>
          <w:color w:val="C00000"/>
          <w:sz w:val="44"/>
          <w:szCs w:val="44"/>
          <w:lang w:eastAsia="en-AU"/>
        </w:rPr>
        <w:t xml:space="preserve"> </w:t>
      </w:r>
      <w:r w:rsidR="00C45439" w:rsidRPr="00742DA8">
        <w:rPr>
          <w:rFonts w:eastAsia="Times New Roman" w:cs="Arial"/>
          <w:b/>
          <w:color w:val="C00000"/>
          <w:sz w:val="44"/>
          <w:szCs w:val="44"/>
          <w:lang w:eastAsia="en-AU"/>
        </w:rPr>
        <w:t>GUIDE</w:t>
      </w:r>
      <w:r w:rsidR="00406C2C">
        <w:rPr>
          <w:rFonts w:eastAsia="Times New Roman" w:cs="Arial"/>
          <w:b/>
          <w:color w:val="C00000"/>
          <w:sz w:val="44"/>
          <w:szCs w:val="44"/>
          <w:lang w:eastAsia="en-AU"/>
        </w:rPr>
        <w:t xml:space="preserve"> TO MANAGING </w:t>
      </w:r>
      <w:r w:rsidR="00392AB4">
        <w:rPr>
          <w:rFonts w:eastAsia="Times New Roman" w:cs="Arial"/>
          <w:b/>
          <w:color w:val="C00000"/>
          <w:sz w:val="44"/>
          <w:szCs w:val="44"/>
          <w:lang w:eastAsia="en-AU"/>
        </w:rPr>
        <w:br/>
      </w:r>
      <w:r w:rsidR="00406C2C">
        <w:rPr>
          <w:rFonts w:eastAsia="Times New Roman" w:cs="Arial"/>
          <w:b/>
          <w:color w:val="C00000"/>
          <w:sz w:val="44"/>
          <w:szCs w:val="44"/>
          <w:lang w:eastAsia="en-AU"/>
        </w:rPr>
        <w:t>RISKS OF</w:t>
      </w:r>
      <w:r w:rsidR="00406C2C" w:rsidRPr="00742DA8">
        <w:rPr>
          <w:rFonts w:eastAsia="Times New Roman" w:cs="Arial"/>
          <w:b/>
          <w:color w:val="C00000"/>
          <w:sz w:val="44"/>
          <w:szCs w:val="44"/>
          <w:lang w:eastAsia="en-AU"/>
        </w:rPr>
        <w:t xml:space="preserve"> </w:t>
      </w:r>
      <w:r w:rsidR="00C45439">
        <w:rPr>
          <w:rFonts w:eastAsia="Times New Roman" w:cs="Arial"/>
          <w:b/>
          <w:color w:val="C00000"/>
          <w:sz w:val="44"/>
          <w:szCs w:val="44"/>
          <w:lang w:eastAsia="en-AU"/>
        </w:rPr>
        <w:t xml:space="preserve">INFIELD PROCESSING </w:t>
      </w:r>
      <w:r w:rsidR="00392AB4">
        <w:rPr>
          <w:rFonts w:eastAsia="Times New Roman" w:cs="Arial"/>
          <w:b/>
          <w:color w:val="C00000"/>
          <w:sz w:val="44"/>
          <w:szCs w:val="44"/>
          <w:lang w:eastAsia="en-AU"/>
        </w:rPr>
        <w:br/>
      </w:r>
      <w:r w:rsidR="00C45439">
        <w:rPr>
          <w:rFonts w:eastAsia="Times New Roman" w:cs="Arial"/>
          <w:b/>
          <w:color w:val="C00000"/>
          <w:sz w:val="44"/>
          <w:szCs w:val="44"/>
          <w:lang w:eastAsia="en-AU"/>
        </w:rPr>
        <w:t>OF FOREST PRODUCTS</w:t>
      </w:r>
    </w:p>
    <w:p w:rsidR="00555576" w:rsidRDefault="00C45439" w:rsidP="00555576">
      <w:pPr>
        <w:rPr>
          <w:rFonts w:cs="Arial"/>
          <w:sz w:val="20"/>
          <w:szCs w:val="20"/>
        </w:rPr>
      </w:pPr>
      <w:r w:rsidRPr="00833B6E">
        <w:rPr>
          <w:w w:val="105"/>
          <w:sz w:val="20"/>
          <w:szCs w:val="20"/>
        </w:rPr>
        <w:t xml:space="preserve">This Guide </w:t>
      </w:r>
      <w:r w:rsidR="00FC6A9C">
        <w:rPr>
          <w:w w:val="105"/>
          <w:sz w:val="20"/>
          <w:szCs w:val="20"/>
        </w:rPr>
        <w:t>includes</w:t>
      </w:r>
      <w:r w:rsidR="00FC6A9C" w:rsidRPr="00833B6E">
        <w:rPr>
          <w:w w:val="105"/>
          <w:sz w:val="20"/>
          <w:szCs w:val="20"/>
        </w:rPr>
        <w:t xml:space="preserve"> </w:t>
      </w:r>
      <w:r w:rsidRPr="00833B6E">
        <w:rPr>
          <w:w w:val="105"/>
          <w:sz w:val="20"/>
          <w:szCs w:val="20"/>
        </w:rPr>
        <w:t xml:space="preserve">information on the potential hazards of </w:t>
      </w:r>
      <w:r>
        <w:rPr>
          <w:w w:val="105"/>
          <w:sz w:val="20"/>
          <w:szCs w:val="20"/>
        </w:rPr>
        <w:t>infield processing of forest products</w:t>
      </w:r>
      <w:r w:rsidRPr="00833B6E">
        <w:rPr>
          <w:w w:val="105"/>
          <w:sz w:val="20"/>
          <w:szCs w:val="20"/>
        </w:rPr>
        <w:t xml:space="preserve"> and practical examples of ways you can control the risks associated with them.</w:t>
      </w:r>
      <w:r w:rsidR="00555576">
        <w:rPr>
          <w:rFonts w:cs="Arial"/>
          <w:sz w:val="20"/>
          <w:szCs w:val="20"/>
        </w:rPr>
        <w:t xml:space="preserve"> </w:t>
      </w:r>
      <w:r w:rsidRPr="00555576">
        <w:rPr>
          <w:rFonts w:cs="Arial"/>
          <w:sz w:val="20"/>
          <w:szCs w:val="20"/>
        </w:rPr>
        <w:t xml:space="preserve">It </w:t>
      </w:r>
      <w:r w:rsidR="00FE7570" w:rsidRPr="00555576">
        <w:rPr>
          <w:rFonts w:cs="Arial"/>
          <w:sz w:val="20"/>
          <w:szCs w:val="20"/>
        </w:rPr>
        <w:t xml:space="preserve">is part of a </w:t>
      </w:r>
      <w:r w:rsidR="00FE7570" w:rsidRPr="000C58C4">
        <w:rPr>
          <w:rFonts w:cs="Arial"/>
          <w:sz w:val="20"/>
          <w:szCs w:val="20"/>
        </w:rPr>
        <w:t>series of forestry industry material</w:t>
      </w:r>
      <w:r w:rsidR="00FE7570" w:rsidRPr="00555576">
        <w:rPr>
          <w:rFonts w:cs="Arial"/>
          <w:sz w:val="20"/>
          <w:szCs w:val="20"/>
        </w:rPr>
        <w:t xml:space="preserve"> and </w:t>
      </w:r>
      <w:r w:rsidRPr="00555576">
        <w:rPr>
          <w:rFonts w:cs="Arial"/>
          <w:sz w:val="20"/>
          <w:szCs w:val="20"/>
        </w:rPr>
        <w:t xml:space="preserve">should be read and used together with the </w:t>
      </w:r>
      <w:hyperlink r:id="rId8" w:history="1">
        <w:r w:rsidR="00B1631E" w:rsidRPr="000C58C4">
          <w:rPr>
            <w:rStyle w:val="Hyperlink"/>
            <w:rFonts w:cs="Arial"/>
            <w:i/>
            <w:sz w:val="20"/>
            <w:szCs w:val="20"/>
          </w:rPr>
          <w:t>G</w:t>
        </w:r>
        <w:r w:rsidR="001B2827" w:rsidRPr="000C58C4">
          <w:rPr>
            <w:rStyle w:val="Hyperlink"/>
            <w:rFonts w:cs="Arial"/>
            <w:i/>
            <w:sz w:val="20"/>
            <w:szCs w:val="20"/>
          </w:rPr>
          <w:t>eneral g</w:t>
        </w:r>
        <w:r w:rsidR="00F00E1C" w:rsidRPr="000C58C4">
          <w:rPr>
            <w:rStyle w:val="Hyperlink"/>
            <w:rFonts w:cs="Arial"/>
            <w:i/>
            <w:sz w:val="20"/>
            <w:szCs w:val="20"/>
          </w:rPr>
          <w:t>uide</w:t>
        </w:r>
        <w:r w:rsidR="00B1631E" w:rsidRPr="000C58C4">
          <w:rPr>
            <w:rStyle w:val="Hyperlink"/>
            <w:rFonts w:cs="Arial"/>
            <w:i/>
            <w:sz w:val="20"/>
            <w:szCs w:val="20"/>
          </w:rPr>
          <w:t xml:space="preserve"> for </w:t>
        </w:r>
        <w:r w:rsidR="001B2827" w:rsidRPr="000C58C4">
          <w:rPr>
            <w:rStyle w:val="Hyperlink"/>
            <w:rFonts w:cs="Arial"/>
            <w:i/>
            <w:sz w:val="20"/>
            <w:szCs w:val="20"/>
          </w:rPr>
          <w:t>m</w:t>
        </w:r>
        <w:r w:rsidRPr="000C58C4">
          <w:rPr>
            <w:rStyle w:val="Hyperlink"/>
            <w:rFonts w:cs="Arial"/>
            <w:i/>
            <w:sz w:val="20"/>
            <w:szCs w:val="20"/>
          </w:rPr>
          <w:t>anaging risks in forestry operations</w:t>
        </w:r>
      </w:hyperlink>
      <w:r w:rsidR="00FE7570" w:rsidRPr="00555576">
        <w:rPr>
          <w:rFonts w:cs="Arial"/>
          <w:i/>
          <w:sz w:val="20"/>
          <w:szCs w:val="20"/>
        </w:rPr>
        <w:t xml:space="preserve"> </w:t>
      </w:r>
      <w:r w:rsidR="00FE7570" w:rsidRPr="00555576">
        <w:rPr>
          <w:rFonts w:cs="Arial"/>
          <w:sz w:val="20"/>
          <w:szCs w:val="20"/>
        </w:rPr>
        <w:t>and specific guidance material on:</w:t>
      </w:r>
    </w:p>
    <w:p w:rsidR="007C1F4C" w:rsidRDefault="00B0117C" w:rsidP="00D9096A">
      <w:pPr>
        <w:pStyle w:val="ListParagraph"/>
        <w:numPr>
          <w:ilvl w:val="0"/>
          <w:numId w:val="7"/>
        </w:numPr>
      </w:pPr>
      <w:hyperlink r:id="rId9" w:history="1">
        <w:r w:rsidR="00406C2C" w:rsidRPr="000C58C4">
          <w:rPr>
            <w:rStyle w:val="Hyperlink"/>
          </w:rPr>
          <w:t xml:space="preserve">growing </w:t>
        </w:r>
        <w:r w:rsidR="007C1F4C" w:rsidRPr="000C58C4">
          <w:rPr>
            <w:rStyle w:val="Hyperlink"/>
          </w:rPr>
          <w:t xml:space="preserve">and </w:t>
        </w:r>
        <w:r w:rsidR="00406C2C" w:rsidRPr="000C58C4">
          <w:rPr>
            <w:rStyle w:val="Hyperlink"/>
          </w:rPr>
          <w:t>managing forests</w:t>
        </w:r>
      </w:hyperlink>
    </w:p>
    <w:p w:rsidR="007C1F4C" w:rsidRDefault="00B0117C" w:rsidP="00D9096A">
      <w:pPr>
        <w:pStyle w:val="ListParagraph"/>
        <w:numPr>
          <w:ilvl w:val="0"/>
          <w:numId w:val="7"/>
        </w:numPr>
      </w:pPr>
      <w:hyperlink r:id="rId10" w:history="1">
        <w:r w:rsidR="00406C2C" w:rsidRPr="000C58C4">
          <w:rPr>
            <w:rStyle w:val="Hyperlink"/>
          </w:rPr>
          <w:t>cable logging</w:t>
        </w:r>
      </w:hyperlink>
    </w:p>
    <w:p w:rsidR="00C45439" w:rsidRPr="00833B6E" w:rsidRDefault="00B0117C" w:rsidP="00D9096A">
      <w:pPr>
        <w:pStyle w:val="ListParagraph"/>
        <w:numPr>
          <w:ilvl w:val="0"/>
          <w:numId w:val="7"/>
        </w:numPr>
      </w:pPr>
      <w:hyperlink r:id="rId11" w:history="1">
        <w:r w:rsidR="00406C2C" w:rsidRPr="002F163B">
          <w:rPr>
            <w:rStyle w:val="Hyperlink"/>
          </w:rPr>
          <w:t xml:space="preserve">coupe </w:t>
        </w:r>
        <w:r w:rsidR="00C45439" w:rsidRPr="002F163B">
          <w:rPr>
            <w:rStyle w:val="Hyperlink"/>
          </w:rPr>
          <w:t xml:space="preserve">and </w:t>
        </w:r>
        <w:r w:rsidR="00406C2C" w:rsidRPr="002F163B">
          <w:rPr>
            <w:rStyle w:val="Hyperlink"/>
          </w:rPr>
          <w:t xml:space="preserve">harvesting site access </w:t>
        </w:r>
        <w:r w:rsidR="00C45439" w:rsidRPr="002F163B">
          <w:rPr>
            <w:rStyle w:val="Hyperlink"/>
          </w:rPr>
          <w:t xml:space="preserve">and </w:t>
        </w:r>
        <w:r w:rsidR="00406C2C" w:rsidRPr="002F163B">
          <w:rPr>
            <w:rStyle w:val="Hyperlink"/>
          </w:rPr>
          <w:t>preparation</w:t>
        </w:r>
      </w:hyperlink>
    </w:p>
    <w:p w:rsidR="00FC27D3" w:rsidRDefault="00B0117C" w:rsidP="00D9096A">
      <w:pPr>
        <w:pStyle w:val="ListParagraph"/>
        <w:numPr>
          <w:ilvl w:val="0"/>
          <w:numId w:val="7"/>
        </w:numPr>
      </w:pPr>
      <w:hyperlink r:id="rId12" w:history="1">
        <w:r w:rsidR="00406C2C" w:rsidRPr="002F163B">
          <w:rPr>
            <w:rStyle w:val="Hyperlink"/>
          </w:rPr>
          <w:t>timber harvesting operations</w:t>
        </w:r>
      </w:hyperlink>
    </w:p>
    <w:p w:rsidR="00111D42" w:rsidRDefault="00B0117C" w:rsidP="00D9096A">
      <w:pPr>
        <w:pStyle w:val="ListParagraph"/>
        <w:numPr>
          <w:ilvl w:val="0"/>
          <w:numId w:val="7"/>
        </w:numPr>
      </w:pPr>
      <w:hyperlink r:id="rId13" w:history="1">
        <w:r w:rsidR="00406C2C" w:rsidRPr="002F163B">
          <w:rPr>
            <w:rStyle w:val="Hyperlink"/>
          </w:rPr>
          <w:t>log landings</w:t>
        </w:r>
      </w:hyperlink>
    </w:p>
    <w:p w:rsidR="00C45439" w:rsidRPr="00833B6E" w:rsidRDefault="00B0117C" w:rsidP="00D9096A">
      <w:pPr>
        <w:pStyle w:val="ListParagraph"/>
        <w:numPr>
          <w:ilvl w:val="0"/>
          <w:numId w:val="7"/>
        </w:numPr>
      </w:pPr>
      <w:hyperlink r:id="rId14" w:history="1">
        <w:r w:rsidR="00406C2C" w:rsidRPr="00003C83">
          <w:rPr>
            <w:rStyle w:val="Hyperlink"/>
          </w:rPr>
          <w:t>log extraction</w:t>
        </w:r>
      </w:hyperlink>
    </w:p>
    <w:p w:rsidR="00C45439" w:rsidRPr="00833B6E" w:rsidRDefault="00B0117C" w:rsidP="00D9096A">
      <w:pPr>
        <w:pStyle w:val="ListParagraph"/>
        <w:numPr>
          <w:ilvl w:val="0"/>
          <w:numId w:val="7"/>
        </w:numPr>
      </w:pPr>
      <w:hyperlink r:id="rId15" w:history="1">
        <w:r w:rsidR="00406C2C" w:rsidRPr="00003C83">
          <w:rPr>
            <w:rStyle w:val="Hyperlink"/>
          </w:rPr>
          <w:t>loading</w:t>
        </w:r>
        <w:r w:rsidR="00C45439" w:rsidRPr="00003C83">
          <w:rPr>
            <w:rStyle w:val="Hyperlink"/>
          </w:rPr>
          <w:t xml:space="preserve">, </w:t>
        </w:r>
        <w:r w:rsidR="00406C2C" w:rsidRPr="00003C83">
          <w:rPr>
            <w:rStyle w:val="Hyperlink"/>
          </w:rPr>
          <w:t xml:space="preserve">transporting </w:t>
        </w:r>
        <w:r w:rsidR="00C45439" w:rsidRPr="00003C83">
          <w:rPr>
            <w:rStyle w:val="Hyperlink"/>
          </w:rPr>
          <w:t xml:space="preserve">and </w:t>
        </w:r>
        <w:r w:rsidR="00406C2C" w:rsidRPr="00003C83">
          <w:rPr>
            <w:rStyle w:val="Hyperlink"/>
          </w:rPr>
          <w:t>unloading logs</w:t>
        </w:r>
      </w:hyperlink>
    </w:p>
    <w:p w:rsidR="00C45439" w:rsidRPr="00833B6E" w:rsidRDefault="00B0117C" w:rsidP="00D9096A">
      <w:pPr>
        <w:pStyle w:val="ListParagraph"/>
        <w:numPr>
          <w:ilvl w:val="0"/>
          <w:numId w:val="7"/>
        </w:numPr>
      </w:pPr>
      <w:hyperlink r:id="rId16" w:history="1">
        <w:r w:rsidR="00406C2C" w:rsidRPr="00003C83">
          <w:rPr>
            <w:rStyle w:val="Hyperlink"/>
          </w:rPr>
          <w:t xml:space="preserve">plant </w:t>
        </w:r>
        <w:r w:rsidR="00C45439" w:rsidRPr="00003C83">
          <w:rPr>
            <w:rStyle w:val="Hyperlink"/>
          </w:rPr>
          <w:t xml:space="preserve">and </w:t>
        </w:r>
        <w:r w:rsidR="00406C2C" w:rsidRPr="00003C83">
          <w:rPr>
            <w:rStyle w:val="Hyperlink"/>
          </w:rPr>
          <w:t xml:space="preserve">equipment </w:t>
        </w:r>
        <w:r w:rsidR="00C45439" w:rsidRPr="00003C83">
          <w:rPr>
            <w:rStyle w:val="Hyperlink"/>
          </w:rPr>
          <w:t xml:space="preserve">for </w:t>
        </w:r>
        <w:r w:rsidR="00406C2C" w:rsidRPr="00003C83">
          <w:rPr>
            <w:rStyle w:val="Hyperlink"/>
          </w:rPr>
          <w:t>forestry operations</w:t>
        </w:r>
      </w:hyperlink>
      <w:r w:rsidR="00C45439" w:rsidRPr="00833B6E">
        <w:t>, and</w:t>
      </w:r>
    </w:p>
    <w:p w:rsidR="00C45439" w:rsidRPr="00833B6E" w:rsidRDefault="00B0117C" w:rsidP="00D9096A">
      <w:pPr>
        <w:pStyle w:val="ListParagraph"/>
        <w:numPr>
          <w:ilvl w:val="0"/>
          <w:numId w:val="7"/>
        </w:numPr>
      </w:pPr>
      <w:hyperlink r:id="rId17" w:history="1">
        <w:proofErr w:type="gramStart"/>
        <w:r w:rsidR="00AA3882" w:rsidRPr="00003C83">
          <w:rPr>
            <w:rStyle w:val="Hyperlink"/>
          </w:rPr>
          <w:t>general</w:t>
        </w:r>
        <w:proofErr w:type="gramEnd"/>
        <w:r w:rsidR="00406C2C" w:rsidRPr="00003C83">
          <w:rPr>
            <w:rStyle w:val="Hyperlink"/>
          </w:rPr>
          <w:t xml:space="preserve"> hazards </w:t>
        </w:r>
        <w:r w:rsidR="00C45439" w:rsidRPr="00003C83">
          <w:rPr>
            <w:rStyle w:val="Hyperlink"/>
          </w:rPr>
          <w:t xml:space="preserve">in </w:t>
        </w:r>
        <w:r w:rsidR="00406C2C" w:rsidRPr="00003C83">
          <w:rPr>
            <w:rStyle w:val="Hyperlink"/>
          </w:rPr>
          <w:t>forestry operations</w:t>
        </w:r>
      </w:hyperlink>
      <w:r w:rsidR="00C45439" w:rsidRPr="00833B6E">
        <w:t>.</w:t>
      </w:r>
    </w:p>
    <w:p w:rsidR="00C45439" w:rsidRPr="00833B6E" w:rsidRDefault="00BF5DAD" w:rsidP="00C45439">
      <w:pPr>
        <w:rPr>
          <w:w w:val="105"/>
          <w:sz w:val="20"/>
          <w:szCs w:val="20"/>
        </w:rPr>
      </w:pPr>
      <w:r w:rsidRPr="00192478">
        <w:rPr>
          <w:w w:val="105"/>
          <w:sz w:val="20"/>
          <w:szCs w:val="20"/>
        </w:rPr>
        <w:t xml:space="preserve">These </w:t>
      </w:r>
      <w:r w:rsidRPr="00B07CE8">
        <w:rPr>
          <w:w w:val="105"/>
          <w:sz w:val="20"/>
          <w:szCs w:val="20"/>
        </w:rPr>
        <w:t>guides</w:t>
      </w:r>
      <w:r w:rsidRPr="00192478">
        <w:rPr>
          <w:w w:val="105"/>
          <w:sz w:val="20"/>
          <w:szCs w:val="20"/>
        </w:rPr>
        <w:t xml:space="preserve"> are available on the Safe Work Australia website</w:t>
      </w:r>
      <w:r>
        <w:rPr>
          <w:w w:val="105"/>
          <w:sz w:val="20"/>
          <w:szCs w:val="20"/>
        </w:rPr>
        <w:t>.</w:t>
      </w:r>
    </w:p>
    <w:bookmarkEnd w:id="0"/>
    <w:p w:rsidR="00FC34B8" w:rsidRPr="00D9096A" w:rsidRDefault="00FC34B8" w:rsidP="00D9096A">
      <w:pPr>
        <w:pStyle w:val="Heading2"/>
      </w:pPr>
      <w:r w:rsidRPr="00D9096A">
        <w:t>Processing site</w:t>
      </w:r>
    </w:p>
    <w:p w:rsidR="00FC34B8" w:rsidRPr="00D126D1" w:rsidRDefault="00C45439" w:rsidP="00C45439">
      <w:pPr>
        <w:rPr>
          <w:rFonts w:cs="Arial"/>
          <w:bCs/>
          <w:kern w:val="32"/>
          <w:sz w:val="20"/>
          <w:szCs w:val="20"/>
        </w:rPr>
      </w:pPr>
      <w:r w:rsidRPr="00D126D1">
        <w:rPr>
          <w:rFonts w:cs="Arial"/>
          <w:bCs/>
          <w:kern w:val="32"/>
          <w:sz w:val="20"/>
          <w:szCs w:val="20"/>
        </w:rPr>
        <w:t>The site for infield processing needs to be well-planned. The factors identified</w:t>
      </w:r>
      <w:r w:rsidR="00FC34B8" w:rsidRPr="00D126D1">
        <w:rPr>
          <w:rFonts w:cs="Arial"/>
          <w:bCs/>
          <w:kern w:val="32"/>
          <w:sz w:val="20"/>
          <w:szCs w:val="20"/>
        </w:rPr>
        <w:t xml:space="preserve"> on landing design</w:t>
      </w:r>
      <w:r w:rsidRPr="00D126D1">
        <w:rPr>
          <w:rFonts w:cs="Arial"/>
          <w:bCs/>
          <w:kern w:val="32"/>
          <w:sz w:val="20"/>
          <w:szCs w:val="20"/>
        </w:rPr>
        <w:t xml:space="preserve"> in </w:t>
      </w:r>
      <w:r w:rsidR="00FC27D3" w:rsidRPr="00D126D1">
        <w:rPr>
          <w:rFonts w:cs="Arial"/>
          <w:bCs/>
          <w:kern w:val="32"/>
          <w:sz w:val="20"/>
          <w:szCs w:val="20"/>
        </w:rPr>
        <w:t xml:space="preserve">the </w:t>
      </w:r>
      <w:hyperlink r:id="rId18" w:history="1">
        <w:r w:rsidR="001B2827" w:rsidRPr="00F251CB">
          <w:rPr>
            <w:rStyle w:val="Hyperlink"/>
            <w:rFonts w:cs="Arial"/>
            <w:bCs/>
            <w:i/>
            <w:kern w:val="32"/>
            <w:sz w:val="20"/>
            <w:szCs w:val="20"/>
          </w:rPr>
          <w:t>Guide to managing risks of log l</w:t>
        </w:r>
        <w:r w:rsidR="00FC27D3" w:rsidRPr="00F251CB">
          <w:rPr>
            <w:rStyle w:val="Hyperlink"/>
            <w:rFonts w:cs="Arial"/>
            <w:bCs/>
            <w:i/>
            <w:kern w:val="32"/>
            <w:sz w:val="20"/>
            <w:szCs w:val="20"/>
          </w:rPr>
          <w:t>andings</w:t>
        </w:r>
      </w:hyperlink>
      <w:r w:rsidR="00FC27D3" w:rsidRPr="00D126D1">
        <w:rPr>
          <w:rFonts w:cs="Arial"/>
          <w:bCs/>
          <w:kern w:val="32"/>
          <w:sz w:val="20"/>
          <w:szCs w:val="20"/>
        </w:rPr>
        <w:t xml:space="preserve"> </w:t>
      </w:r>
      <w:r w:rsidRPr="00D126D1">
        <w:rPr>
          <w:rFonts w:cs="Arial"/>
          <w:bCs/>
          <w:kern w:val="32"/>
          <w:sz w:val="20"/>
          <w:szCs w:val="20"/>
        </w:rPr>
        <w:t xml:space="preserve">are also relevant. </w:t>
      </w:r>
    </w:p>
    <w:p w:rsidR="00C45439" w:rsidRPr="00D126D1" w:rsidRDefault="00FC34B8" w:rsidP="00C45439">
      <w:pPr>
        <w:rPr>
          <w:rFonts w:cs="Arial"/>
          <w:bCs/>
          <w:kern w:val="32"/>
          <w:sz w:val="20"/>
          <w:szCs w:val="20"/>
        </w:rPr>
      </w:pPr>
      <w:r w:rsidRPr="00D126D1">
        <w:rPr>
          <w:rFonts w:cs="Arial"/>
          <w:bCs/>
          <w:kern w:val="32"/>
          <w:sz w:val="20"/>
          <w:szCs w:val="20"/>
        </w:rPr>
        <w:t xml:space="preserve">There should </w:t>
      </w:r>
      <w:r w:rsidR="00C45439" w:rsidRPr="00D126D1">
        <w:rPr>
          <w:rFonts w:cs="Arial"/>
          <w:bCs/>
          <w:kern w:val="32"/>
          <w:sz w:val="20"/>
          <w:szCs w:val="20"/>
        </w:rPr>
        <w:t>also be space and amenities for:</w:t>
      </w:r>
    </w:p>
    <w:p w:rsidR="00C45439" w:rsidRPr="00D9096A" w:rsidRDefault="00C45439" w:rsidP="00D9096A">
      <w:pPr>
        <w:pStyle w:val="ListParagraph"/>
      </w:pPr>
      <w:r w:rsidRPr="00D9096A">
        <w:t>delivering and storing logs</w:t>
      </w:r>
    </w:p>
    <w:p w:rsidR="00C45439" w:rsidRPr="00D9096A" w:rsidRDefault="00C45439" w:rsidP="00D9096A">
      <w:pPr>
        <w:pStyle w:val="ListParagraph"/>
      </w:pPr>
      <w:r w:rsidRPr="00D9096A">
        <w:t>machine refuelling, repairs and servicing, and</w:t>
      </w:r>
    </w:p>
    <w:p w:rsidR="00C45439" w:rsidRPr="00D9096A" w:rsidRDefault="00C45439" w:rsidP="00D9096A">
      <w:pPr>
        <w:pStyle w:val="ListParagraph"/>
      </w:pPr>
      <w:proofErr w:type="gramStart"/>
      <w:r w:rsidRPr="00D9096A">
        <w:t>crew</w:t>
      </w:r>
      <w:proofErr w:type="gramEnd"/>
      <w:r w:rsidRPr="00D9096A">
        <w:t xml:space="preserve"> rest breaks.</w:t>
      </w:r>
    </w:p>
    <w:p w:rsidR="00C45439" w:rsidRPr="00D126D1" w:rsidRDefault="00C45439" w:rsidP="00C45439">
      <w:pPr>
        <w:rPr>
          <w:rFonts w:cs="Arial"/>
          <w:sz w:val="20"/>
          <w:szCs w:val="20"/>
        </w:rPr>
      </w:pPr>
      <w:r w:rsidRPr="00D126D1">
        <w:rPr>
          <w:rFonts w:cs="Arial"/>
          <w:sz w:val="20"/>
          <w:szCs w:val="20"/>
        </w:rPr>
        <w:t>The processing site should be separated from other workers as material can be thrown long distances</w:t>
      </w:r>
      <w:r w:rsidR="00593CDC" w:rsidRPr="00D126D1">
        <w:rPr>
          <w:rFonts w:cs="Arial"/>
          <w:sz w:val="20"/>
          <w:szCs w:val="20"/>
        </w:rPr>
        <w:t xml:space="preserve">, </w:t>
      </w:r>
      <w:r w:rsidRPr="00D126D1">
        <w:rPr>
          <w:rFonts w:cs="Arial"/>
          <w:sz w:val="20"/>
          <w:szCs w:val="20"/>
        </w:rPr>
        <w:t xml:space="preserve">for example </w:t>
      </w:r>
      <w:r w:rsidR="00593CDC" w:rsidRPr="00D126D1">
        <w:rPr>
          <w:rFonts w:cs="Arial"/>
          <w:sz w:val="20"/>
          <w:szCs w:val="20"/>
        </w:rPr>
        <w:t xml:space="preserve">if </w:t>
      </w:r>
      <w:r w:rsidRPr="00D126D1">
        <w:rPr>
          <w:rFonts w:cs="Arial"/>
          <w:sz w:val="20"/>
          <w:szCs w:val="20"/>
        </w:rPr>
        <w:t xml:space="preserve">machinery disintegrates, logs are fed through incorrectly or foreign matter hits </w:t>
      </w:r>
      <w:r w:rsidR="00593CDC" w:rsidRPr="00D126D1">
        <w:rPr>
          <w:rFonts w:cs="Arial"/>
          <w:sz w:val="20"/>
          <w:szCs w:val="20"/>
        </w:rPr>
        <w:t xml:space="preserve">the </w:t>
      </w:r>
      <w:r w:rsidRPr="00D126D1">
        <w:rPr>
          <w:rFonts w:cs="Arial"/>
          <w:sz w:val="20"/>
          <w:szCs w:val="20"/>
        </w:rPr>
        <w:t>spinning blades. It is important to identify a potential line of throw if equipment or products were to break down and ensure this area is clearly identified using signs and kept clear of people.</w:t>
      </w:r>
    </w:p>
    <w:p w:rsidR="00C45439" w:rsidRPr="00D126D1" w:rsidRDefault="00C45439" w:rsidP="00C45439">
      <w:pPr>
        <w:rPr>
          <w:rFonts w:cs="Arial"/>
          <w:sz w:val="20"/>
          <w:szCs w:val="20"/>
        </w:rPr>
      </w:pPr>
      <w:r w:rsidRPr="00D126D1">
        <w:rPr>
          <w:rFonts w:cs="Arial"/>
          <w:sz w:val="20"/>
          <w:szCs w:val="20"/>
        </w:rPr>
        <w:t xml:space="preserve">The hazards from log handling and operating machinery during onsite processing are significant. </w:t>
      </w:r>
      <w:r w:rsidR="00482DB1">
        <w:rPr>
          <w:rFonts w:cs="Arial"/>
          <w:sz w:val="20"/>
          <w:szCs w:val="20"/>
        </w:rPr>
        <w:br/>
      </w:r>
      <w:r w:rsidRPr="00D126D1">
        <w:rPr>
          <w:rFonts w:cs="Arial"/>
          <w:sz w:val="20"/>
          <w:szCs w:val="20"/>
        </w:rPr>
        <w:t>Only trained, competent workers should carry out these activities.</w:t>
      </w:r>
    </w:p>
    <w:p w:rsidR="00C45439" w:rsidRPr="00D126D1" w:rsidRDefault="00C45439" w:rsidP="00C45439">
      <w:pPr>
        <w:rPr>
          <w:rFonts w:cs="Arial"/>
          <w:sz w:val="20"/>
          <w:szCs w:val="20"/>
        </w:rPr>
      </w:pPr>
      <w:r w:rsidRPr="00D126D1">
        <w:rPr>
          <w:rFonts w:cs="Arial"/>
          <w:sz w:val="20"/>
          <w:szCs w:val="20"/>
        </w:rPr>
        <w:t xml:space="preserve">Useful information about the hazards from onsite processing activities is available from the manufacturers and suppliers of the equipment. Section 25 of the </w:t>
      </w:r>
      <w:proofErr w:type="spellStart"/>
      <w:r w:rsidRPr="00D126D1">
        <w:rPr>
          <w:rFonts w:cs="Arial"/>
          <w:sz w:val="20"/>
          <w:szCs w:val="20"/>
        </w:rPr>
        <w:t>WHS</w:t>
      </w:r>
      <w:proofErr w:type="spellEnd"/>
      <w:r w:rsidRPr="00D126D1">
        <w:rPr>
          <w:rFonts w:cs="Arial"/>
          <w:sz w:val="20"/>
          <w:szCs w:val="20"/>
        </w:rPr>
        <w:t xml:space="preserve"> Act requires a person who supplies plant to provide information about the plant’s intended purposes for use and conditions </w:t>
      </w:r>
      <w:r w:rsidR="00482DB1">
        <w:rPr>
          <w:rFonts w:cs="Arial"/>
          <w:sz w:val="20"/>
          <w:szCs w:val="20"/>
        </w:rPr>
        <w:br/>
      </w:r>
      <w:r w:rsidRPr="00D126D1">
        <w:rPr>
          <w:rFonts w:cs="Arial"/>
          <w:sz w:val="20"/>
          <w:szCs w:val="20"/>
        </w:rPr>
        <w:t>for its safe use to anyone they supply plant to.</w:t>
      </w:r>
    </w:p>
    <w:p w:rsidR="00C45439" w:rsidRPr="00D126D1" w:rsidRDefault="00C45439" w:rsidP="00D9096A">
      <w:pPr>
        <w:pStyle w:val="Heading2"/>
        <w:rPr>
          <w:i/>
          <w:iCs/>
        </w:rPr>
      </w:pPr>
      <w:bookmarkStart w:id="2" w:name="_Toc383692168"/>
      <w:r w:rsidRPr="00D126D1">
        <w:t>Infield chipping</w:t>
      </w:r>
      <w:bookmarkEnd w:id="2"/>
    </w:p>
    <w:p w:rsidR="00C45439" w:rsidRPr="00D126D1" w:rsidRDefault="00C45439" w:rsidP="00C45439">
      <w:pPr>
        <w:rPr>
          <w:rFonts w:cs="Arial"/>
          <w:sz w:val="20"/>
          <w:szCs w:val="20"/>
        </w:rPr>
      </w:pPr>
      <w:r w:rsidRPr="00D126D1">
        <w:rPr>
          <w:rFonts w:cs="Arial"/>
          <w:sz w:val="20"/>
          <w:szCs w:val="20"/>
        </w:rPr>
        <w:t xml:space="preserve">Infield chipping involves moving large volumes of logs to a dedicated location, removing branches </w:t>
      </w:r>
      <w:r w:rsidR="00482DB1">
        <w:rPr>
          <w:rFonts w:cs="Arial"/>
          <w:sz w:val="20"/>
          <w:szCs w:val="20"/>
        </w:rPr>
        <w:br/>
      </w:r>
      <w:r w:rsidRPr="00D126D1">
        <w:rPr>
          <w:rFonts w:cs="Arial"/>
          <w:sz w:val="20"/>
          <w:szCs w:val="20"/>
        </w:rPr>
        <w:t xml:space="preserve">and bark and processing the logs into chips. Careful planning is important to help ensure the site is big enough and products are removed from the processing site as it is generated to prevent the site becoming cluttered. Machine operators, truck drivers and site visitors should be able to communicate by radio or other effective means. Many issues associated with site design and the interactions with machinery are covered elsewhere in this </w:t>
      </w:r>
      <w:r w:rsidR="006F4408">
        <w:rPr>
          <w:rFonts w:cs="Arial"/>
          <w:sz w:val="20"/>
          <w:szCs w:val="20"/>
        </w:rPr>
        <w:t>G</w:t>
      </w:r>
      <w:r w:rsidR="00406C2C">
        <w:rPr>
          <w:rFonts w:cs="Arial"/>
          <w:sz w:val="20"/>
          <w:szCs w:val="20"/>
        </w:rPr>
        <w:t>uide</w:t>
      </w:r>
      <w:r w:rsidRPr="00D126D1">
        <w:rPr>
          <w:rFonts w:cs="Arial"/>
          <w:sz w:val="20"/>
          <w:szCs w:val="20"/>
        </w:rPr>
        <w:t>.</w:t>
      </w:r>
    </w:p>
    <w:p w:rsidR="00C45439" w:rsidRPr="00D126D1" w:rsidRDefault="00C45439" w:rsidP="00D9096A">
      <w:pPr>
        <w:pStyle w:val="Heading3"/>
        <w:spacing w:after="120"/>
        <w:rPr>
          <w:b w:val="0"/>
          <w:sz w:val="20"/>
          <w:szCs w:val="20"/>
        </w:rPr>
      </w:pPr>
      <w:r w:rsidRPr="00D126D1">
        <w:rPr>
          <w:sz w:val="20"/>
          <w:szCs w:val="20"/>
        </w:rPr>
        <w:lastRenderedPageBreak/>
        <w:t xml:space="preserve">Table 1 </w:t>
      </w:r>
      <w:r w:rsidRPr="00D126D1">
        <w:rPr>
          <w:b w:val="0"/>
          <w:sz w:val="20"/>
          <w:szCs w:val="20"/>
        </w:rPr>
        <w:t>Common hazards and risks associated with infield chipping</w:t>
      </w:r>
    </w:p>
    <w:tbl>
      <w:tblPr>
        <w:tblStyle w:val="redtable"/>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Common hazards and risks associated with infield chipping"/>
        <w:tblDescription w:val="Table 1 (shown in red) lists some of the common hazards and risks which can arise from infield chipping."/>
      </w:tblPr>
      <w:tblGrid>
        <w:gridCol w:w="9214"/>
      </w:tblGrid>
      <w:tr w:rsidR="00C45439" w:rsidRPr="00D126D1" w:rsidTr="00C712D4">
        <w:trPr>
          <w:trHeight w:val="510"/>
          <w:tblHeader/>
        </w:trPr>
        <w:tc>
          <w:tcPr>
            <w:tcW w:w="9214" w:type="dxa"/>
            <w:tcBorders>
              <w:bottom w:val="single" w:sz="4" w:space="0" w:color="auto"/>
            </w:tcBorders>
            <w:shd w:val="clear" w:color="auto" w:fill="FF0000"/>
            <w:vAlign w:val="center"/>
          </w:tcPr>
          <w:p w:rsidR="00C45439" w:rsidRPr="00D126D1" w:rsidRDefault="00C45439" w:rsidP="00C712D4">
            <w:pPr>
              <w:spacing w:before="0"/>
              <w:rPr>
                <w:rFonts w:cs="Arial"/>
                <w:b/>
                <w:color w:val="FFFFFF"/>
                <w:sz w:val="20"/>
                <w:szCs w:val="20"/>
                <w:lang w:eastAsia="en-AU"/>
              </w:rPr>
            </w:pPr>
            <w:r w:rsidRPr="00D126D1">
              <w:rPr>
                <w:rFonts w:cs="Arial"/>
                <w:b/>
                <w:color w:val="FFFFFF"/>
                <w:sz w:val="20"/>
                <w:szCs w:val="20"/>
                <w:lang w:eastAsia="en-AU"/>
              </w:rPr>
              <w:t>Hazards and risks</w:t>
            </w:r>
          </w:p>
        </w:tc>
      </w:tr>
      <w:tr w:rsidR="00C45439" w:rsidRPr="00D126D1" w:rsidTr="00473A81">
        <w:tc>
          <w:tcPr>
            <w:tcW w:w="9214" w:type="dxa"/>
            <w:shd w:val="clear" w:color="auto" w:fill="F2DBDB" w:themeFill="accent2" w:themeFillTint="33"/>
          </w:tcPr>
          <w:p w:rsidR="00C45439" w:rsidRPr="00D126D1" w:rsidRDefault="00C45439" w:rsidP="00121A85">
            <w:pPr>
              <w:pStyle w:val="ListParagraph"/>
            </w:pPr>
            <w:r w:rsidRPr="00D126D1">
              <w:t>mobile plant and static machines working in close proximity</w:t>
            </w:r>
          </w:p>
          <w:p w:rsidR="00C45439" w:rsidRPr="00D9096A" w:rsidRDefault="00C45439" w:rsidP="00D9096A">
            <w:pPr>
              <w:pStyle w:val="ListParagraph"/>
            </w:pPr>
            <w:r w:rsidRPr="00D9096A">
              <w:t>slips, strains and falls getting in and out of machinery</w:t>
            </w:r>
          </w:p>
          <w:p w:rsidR="00C45439" w:rsidRPr="00D9096A" w:rsidRDefault="00C45439" w:rsidP="00D9096A">
            <w:pPr>
              <w:pStyle w:val="ListParagraph"/>
            </w:pPr>
            <w:r w:rsidRPr="00D9096A">
              <w:t>being hit by:</w:t>
            </w:r>
          </w:p>
          <w:p w:rsidR="00C45439" w:rsidRPr="00D126D1" w:rsidRDefault="00C45439" w:rsidP="00D9096A">
            <w:pPr>
              <w:pStyle w:val="ListParagraph"/>
              <w:numPr>
                <w:ilvl w:val="1"/>
                <w:numId w:val="2"/>
              </w:numPr>
              <w:ind w:left="700"/>
            </w:pPr>
            <w:r w:rsidRPr="00D126D1">
              <w:t>material ejected from processing machinery</w:t>
            </w:r>
          </w:p>
          <w:p w:rsidR="00C45439" w:rsidRPr="00D126D1" w:rsidRDefault="00C45439" w:rsidP="00D9096A">
            <w:pPr>
              <w:pStyle w:val="ListParagraph"/>
              <w:numPr>
                <w:ilvl w:val="1"/>
                <w:numId w:val="2"/>
              </w:numPr>
              <w:ind w:left="700"/>
            </w:pPr>
            <w:r w:rsidRPr="00D126D1">
              <w:t>falling metal cowls and guards</w:t>
            </w:r>
          </w:p>
          <w:p w:rsidR="00C45439" w:rsidRPr="00D126D1" w:rsidRDefault="00C45439" w:rsidP="00D9096A">
            <w:pPr>
              <w:pStyle w:val="ListParagraph"/>
              <w:numPr>
                <w:ilvl w:val="1"/>
                <w:numId w:val="2"/>
              </w:numPr>
              <w:ind w:left="700"/>
            </w:pPr>
            <w:r w:rsidRPr="00D126D1">
              <w:t>plant</w:t>
            </w:r>
          </w:p>
          <w:p w:rsidR="00C45439" w:rsidRPr="00D9096A" w:rsidRDefault="00C45439" w:rsidP="00D9096A">
            <w:pPr>
              <w:pStyle w:val="ListParagraph"/>
            </w:pPr>
            <w:r w:rsidRPr="00D9096A">
              <w:t>contact with rotating chipper disc or flails</w:t>
            </w:r>
          </w:p>
          <w:p w:rsidR="00C45439" w:rsidRPr="00D9096A" w:rsidRDefault="00C45439" w:rsidP="00D9096A">
            <w:pPr>
              <w:pStyle w:val="ListParagraph"/>
            </w:pPr>
            <w:r w:rsidRPr="00D9096A">
              <w:t>falling from height, and</w:t>
            </w:r>
          </w:p>
          <w:p w:rsidR="00C45439" w:rsidRPr="00D126D1" w:rsidRDefault="00C45439" w:rsidP="00D9096A">
            <w:pPr>
              <w:pStyle w:val="ListParagraph"/>
              <w:rPr>
                <w:lang w:eastAsia="en-AU"/>
              </w:rPr>
            </w:pPr>
            <w:proofErr w:type="gramStart"/>
            <w:r w:rsidRPr="00D9096A">
              <w:t>noise</w:t>
            </w:r>
            <w:proofErr w:type="gramEnd"/>
            <w:r w:rsidRPr="00D9096A">
              <w:t>.</w:t>
            </w:r>
          </w:p>
        </w:tc>
      </w:tr>
    </w:tbl>
    <w:p w:rsidR="00C45439" w:rsidRPr="00D126D1" w:rsidRDefault="00C45439" w:rsidP="00D9096A">
      <w:pPr>
        <w:pStyle w:val="Heading3"/>
        <w:spacing w:after="120"/>
        <w:rPr>
          <w:sz w:val="20"/>
          <w:szCs w:val="20"/>
          <w:lang w:eastAsia="en-AU"/>
        </w:rPr>
      </w:pPr>
      <w:r w:rsidRPr="00D126D1">
        <w:rPr>
          <w:sz w:val="20"/>
          <w:szCs w:val="20"/>
          <w:lang w:eastAsia="en-AU"/>
        </w:rPr>
        <w:t xml:space="preserve">Table 2 </w:t>
      </w:r>
      <w:r w:rsidRPr="00D126D1">
        <w:rPr>
          <w:b w:val="0"/>
          <w:sz w:val="20"/>
          <w:szCs w:val="20"/>
          <w:lang w:eastAsia="en-AU"/>
        </w:rPr>
        <w:t>Recommended control measures for infield chipping</w:t>
      </w:r>
    </w:p>
    <w:tbl>
      <w:tblPr>
        <w:tblStyle w:val="greentable"/>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Control measures for infield chipping"/>
        <w:tblDescription w:val="Table 2 (shown in green) lists control measures that should be considered to help manage risks associated with infield chipping."/>
      </w:tblPr>
      <w:tblGrid>
        <w:gridCol w:w="9214"/>
      </w:tblGrid>
      <w:tr w:rsidR="00C45439" w:rsidRPr="00D126D1" w:rsidTr="007B6177">
        <w:trPr>
          <w:trHeight w:val="510"/>
          <w:tblHeader/>
        </w:trPr>
        <w:tc>
          <w:tcPr>
            <w:tcW w:w="9214" w:type="dxa"/>
            <w:shd w:val="clear" w:color="auto" w:fill="00B050"/>
            <w:vAlign w:val="center"/>
          </w:tcPr>
          <w:p w:rsidR="00C45439" w:rsidRPr="00D126D1" w:rsidRDefault="00C45439" w:rsidP="00C712D4">
            <w:pPr>
              <w:spacing w:before="0"/>
              <w:rPr>
                <w:rFonts w:cs="Arial"/>
                <w:b/>
                <w:color w:val="FFFFFF"/>
                <w:sz w:val="20"/>
                <w:szCs w:val="20"/>
                <w:lang w:eastAsia="en-AU"/>
              </w:rPr>
            </w:pPr>
            <w:r w:rsidRPr="00D126D1">
              <w:rPr>
                <w:rFonts w:cs="Arial"/>
                <w:b/>
                <w:color w:val="FFFFFF"/>
                <w:sz w:val="20"/>
                <w:szCs w:val="20"/>
                <w:lang w:eastAsia="en-AU"/>
              </w:rPr>
              <w:t>Control measures</w:t>
            </w:r>
          </w:p>
        </w:tc>
      </w:tr>
      <w:tr w:rsidR="00C45439" w:rsidRPr="00D126D1" w:rsidTr="007B6177">
        <w:tc>
          <w:tcPr>
            <w:tcW w:w="9214" w:type="dxa"/>
            <w:shd w:val="clear" w:color="auto" w:fill="EAF1DD" w:themeFill="accent3" w:themeFillTint="33"/>
          </w:tcPr>
          <w:p w:rsidR="00C45439" w:rsidRPr="00D9096A" w:rsidRDefault="00C45439" w:rsidP="00D9096A">
            <w:pPr>
              <w:pStyle w:val="ListParagraph"/>
            </w:pPr>
            <w:proofErr w:type="gramStart"/>
            <w:r w:rsidRPr="00D9096A">
              <w:t>maintaining</w:t>
            </w:r>
            <w:proofErr w:type="gramEnd"/>
            <w:r w:rsidRPr="00D9096A">
              <w:t xml:space="preserve"> a separation distance of at least two tree lengths from ground workers. </w:t>
            </w:r>
            <w:r w:rsidRPr="00D9096A">
              <w:br/>
              <w:t>A longer distance should be considered in front of a debris chute</w:t>
            </w:r>
          </w:p>
          <w:p w:rsidR="00C45439" w:rsidRPr="00D9096A" w:rsidRDefault="00C45439" w:rsidP="00D9096A">
            <w:pPr>
              <w:pStyle w:val="ListParagraph"/>
            </w:pPr>
            <w:r w:rsidRPr="00D9096A">
              <w:t>operators should be trained in the working limits of the machine</w:t>
            </w:r>
          </w:p>
          <w:p w:rsidR="00C45439" w:rsidRPr="00D9096A" w:rsidRDefault="00C45439" w:rsidP="00D9096A">
            <w:pPr>
              <w:pStyle w:val="ListParagraph"/>
            </w:pPr>
            <w:r w:rsidRPr="00D9096A">
              <w:t>establishing radio communication or other effective means of contact with other forest workers</w:t>
            </w:r>
          </w:p>
          <w:p w:rsidR="00C45439" w:rsidRPr="00D9096A" w:rsidRDefault="00C45439" w:rsidP="00D9096A">
            <w:pPr>
              <w:pStyle w:val="ListParagraph"/>
            </w:pPr>
            <w:r w:rsidRPr="00D9096A">
              <w:t>using:</w:t>
            </w:r>
          </w:p>
          <w:p w:rsidR="00C45439" w:rsidRPr="00D126D1" w:rsidRDefault="00C45439" w:rsidP="00D9096A">
            <w:pPr>
              <w:pStyle w:val="ListParagraph"/>
              <w:numPr>
                <w:ilvl w:val="1"/>
                <w:numId w:val="2"/>
              </w:numPr>
              <w:ind w:left="700"/>
            </w:pPr>
            <w:r w:rsidRPr="00D126D1">
              <w:t>specifically designed work platforms for changing chipper blades, routine maintenance and repairs</w:t>
            </w:r>
          </w:p>
          <w:p w:rsidR="00C45439" w:rsidRPr="00D126D1" w:rsidRDefault="00C45439" w:rsidP="00D9096A">
            <w:pPr>
              <w:pStyle w:val="ListParagraph"/>
              <w:numPr>
                <w:ilvl w:val="1"/>
                <w:numId w:val="2"/>
              </w:numPr>
              <w:ind w:left="700"/>
            </w:pPr>
            <w:r w:rsidRPr="00D126D1">
              <w:t>suitable placed handrails and steps</w:t>
            </w:r>
          </w:p>
          <w:p w:rsidR="00C45439" w:rsidRPr="00D126D1" w:rsidRDefault="00C45439" w:rsidP="00D9096A">
            <w:pPr>
              <w:pStyle w:val="ListParagraph"/>
              <w:numPr>
                <w:ilvl w:val="1"/>
                <w:numId w:val="2"/>
              </w:numPr>
              <w:ind w:left="700"/>
            </w:pPr>
            <w:r w:rsidRPr="00D126D1">
              <w:t xml:space="preserve">suitable and correctly maintained </w:t>
            </w:r>
            <w:r w:rsidR="00406C2C">
              <w:t>personal protective equipment (</w:t>
            </w:r>
            <w:r w:rsidRPr="00D126D1">
              <w:t>PPE</w:t>
            </w:r>
            <w:r w:rsidR="00406C2C">
              <w:t>)</w:t>
            </w:r>
            <w:r w:rsidRPr="00D126D1">
              <w:t xml:space="preserve"> for the work e.g. high visibility clothing, safety footwear, hearing protection, safety helmet when outside cabin and protective</w:t>
            </w:r>
            <w:r w:rsidRPr="00D126D1">
              <w:rPr>
                <w:color w:val="000000"/>
              </w:rPr>
              <w:t xml:space="preserve"> gloves when handling fuels or chipper blades</w:t>
            </w:r>
          </w:p>
          <w:p w:rsidR="00C45439" w:rsidRPr="00D9096A" w:rsidRDefault="00C45439" w:rsidP="00D9096A">
            <w:pPr>
              <w:pStyle w:val="ListParagraph"/>
            </w:pPr>
            <w:r w:rsidRPr="00D9096A">
              <w:t>having interlocks on chipper hoods to ensure they cannot be opened while the chipper disc is running down</w:t>
            </w:r>
          </w:p>
          <w:p w:rsidR="00C45439" w:rsidRPr="00D9096A" w:rsidRDefault="00C45439" w:rsidP="00D9096A">
            <w:pPr>
              <w:pStyle w:val="ListParagraph"/>
            </w:pPr>
            <w:r w:rsidRPr="00D9096A">
              <w:t>following tag out and isolation procedures when changing chipper blades and during maintenance and repairs, and</w:t>
            </w:r>
          </w:p>
          <w:p w:rsidR="00C45439" w:rsidRPr="00D126D1" w:rsidRDefault="00C45439" w:rsidP="00D9096A">
            <w:pPr>
              <w:pStyle w:val="ListParagraph"/>
              <w:rPr>
                <w:b/>
                <w:bCs/>
                <w:i/>
                <w:iCs/>
                <w:lang w:eastAsia="en-AU"/>
              </w:rPr>
            </w:pPr>
            <w:proofErr w:type="gramStart"/>
            <w:r w:rsidRPr="00D9096A">
              <w:t>cowls</w:t>
            </w:r>
            <w:proofErr w:type="gramEnd"/>
            <w:r w:rsidRPr="00D9096A">
              <w:t xml:space="preserve"> and guards designed to control the risk of the cowl or guard falling while replacing chipper blades and doing maintenance.</w:t>
            </w:r>
          </w:p>
        </w:tc>
      </w:tr>
    </w:tbl>
    <w:p w:rsidR="00C45439" w:rsidRPr="00D126D1" w:rsidRDefault="00C45439" w:rsidP="00D9096A">
      <w:pPr>
        <w:pStyle w:val="Heading2"/>
        <w:rPr>
          <w:i/>
          <w:iCs/>
        </w:rPr>
      </w:pPr>
      <w:bookmarkStart w:id="3" w:name="_Toc383692169"/>
      <w:r w:rsidRPr="00D126D1">
        <w:t>Firewood, post or sleeper cutting and portable sawmilling</w:t>
      </w:r>
      <w:bookmarkEnd w:id="3"/>
    </w:p>
    <w:p w:rsidR="00C45439" w:rsidRPr="00D126D1" w:rsidRDefault="00C45439" w:rsidP="00C45439">
      <w:pPr>
        <w:rPr>
          <w:sz w:val="20"/>
          <w:szCs w:val="20"/>
        </w:rPr>
      </w:pPr>
      <w:r w:rsidRPr="00D126D1">
        <w:rPr>
          <w:sz w:val="20"/>
          <w:szCs w:val="20"/>
        </w:rPr>
        <w:t xml:space="preserve">Firewood, post or sleeper cutting should be carried out using the risk management process as described in </w:t>
      </w:r>
      <w:r w:rsidR="00593CDC" w:rsidRPr="00D126D1">
        <w:rPr>
          <w:sz w:val="20"/>
          <w:szCs w:val="20"/>
        </w:rPr>
        <w:t xml:space="preserve">the </w:t>
      </w:r>
      <w:hyperlink r:id="rId19" w:history="1">
        <w:r w:rsidR="00555576" w:rsidRPr="00F251CB">
          <w:rPr>
            <w:rStyle w:val="Hyperlink"/>
            <w:rFonts w:cs="Arial"/>
            <w:i/>
            <w:sz w:val="20"/>
            <w:szCs w:val="20"/>
          </w:rPr>
          <w:t>G</w:t>
        </w:r>
        <w:r w:rsidR="001B2827" w:rsidRPr="00F251CB">
          <w:rPr>
            <w:rStyle w:val="Hyperlink"/>
            <w:rFonts w:cs="Arial"/>
            <w:i/>
            <w:sz w:val="20"/>
            <w:szCs w:val="20"/>
          </w:rPr>
          <w:t>eneral g</w:t>
        </w:r>
        <w:r w:rsidR="00F00E1C" w:rsidRPr="00F251CB">
          <w:rPr>
            <w:rStyle w:val="Hyperlink"/>
            <w:rFonts w:cs="Arial"/>
            <w:i/>
            <w:sz w:val="20"/>
            <w:szCs w:val="20"/>
          </w:rPr>
          <w:t>uide</w:t>
        </w:r>
        <w:r w:rsidR="004750D8" w:rsidRPr="00F251CB">
          <w:rPr>
            <w:rStyle w:val="Hyperlink"/>
            <w:rFonts w:cs="Arial"/>
            <w:i/>
            <w:sz w:val="20"/>
            <w:szCs w:val="20"/>
          </w:rPr>
          <w:t xml:space="preserve"> for m</w:t>
        </w:r>
        <w:r w:rsidR="00593CDC" w:rsidRPr="00F251CB">
          <w:rPr>
            <w:rStyle w:val="Hyperlink"/>
            <w:rFonts w:cs="Arial"/>
            <w:i/>
            <w:sz w:val="20"/>
            <w:szCs w:val="20"/>
          </w:rPr>
          <w:t>anaging risks in forestry operations</w:t>
        </w:r>
      </w:hyperlink>
      <w:r w:rsidRPr="00D126D1">
        <w:rPr>
          <w:sz w:val="20"/>
          <w:szCs w:val="20"/>
        </w:rPr>
        <w:t>.</w:t>
      </w:r>
    </w:p>
    <w:p w:rsidR="00C45439" w:rsidRPr="00D126D1" w:rsidRDefault="00C45439" w:rsidP="00C45439">
      <w:pPr>
        <w:rPr>
          <w:sz w:val="20"/>
          <w:szCs w:val="20"/>
        </w:rPr>
      </w:pPr>
      <w:r w:rsidRPr="00D126D1">
        <w:rPr>
          <w:sz w:val="20"/>
          <w:szCs w:val="20"/>
        </w:rPr>
        <w:t>When a tree is resting on its roots or is under tension the chainsaw operator should ensure a cut to the tree is made so neither the operator nor other workers or people are endangered by the stump or the log moving suddenly.</w:t>
      </w:r>
    </w:p>
    <w:p w:rsidR="00C45439" w:rsidRPr="00D126D1" w:rsidRDefault="00C45439" w:rsidP="00C45439">
      <w:pPr>
        <w:rPr>
          <w:sz w:val="20"/>
          <w:szCs w:val="20"/>
        </w:rPr>
      </w:pPr>
      <w:r w:rsidRPr="00D126D1">
        <w:rPr>
          <w:sz w:val="20"/>
          <w:szCs w:val="20"/>
        </w:rPr>
        <w:t>Cut firewood should be secured to the transporting vehicle accordi</w:t>
      </w:r>
      <w:r w:rsidR="00F251CB">
        <w:rPr>
          <w:sz w:val="20"/>
          <w:szCs w:val="20"/>
        </w:rPr>
        <w:t>ng to the Load Restraint Guide.</w:t>
      </w:r>
    </w:p>
    <w:p w:rsidR="00C45439" w:rsidRPr="00D126D1" w:rsidRDefault="00C45439" w:rsidP="00C45439">
      <w:pPr>
        <w:rPr>
          <w:sz w:val="20"/>
          <w:szCs w:val="20"/>
        </w:rPr>
      </w:pPr>
      <w:r w:rsidRPr="00D126D1">
        <w:rPr>
          <w:sz w:val="20"/>
          <w:szCs w:val="20"/>
        </w:rPr>
        <w:t>Information on mechanised firewood splitters is in AS/</w:t>
      </w:r>
      <w:proofErr w:type="spellStart"/>
      <w:r w:rsidRPr="00D126D1">
        <w:rPr>
          <w:sz w:val="20"/>
          <w:szCs w:val="20"/>
        </w:rPr>
        <w:t>NZS</w:t>
      </w:r>
      <w:proofErr w:type="spellEnd"/>
      <w:r w:rsidRPr="00D126D1">
        <w:rPr>
          <w:sz w:val="20"/>
          <w:szCs w:val="20"/>
        </w:rPr>
        <w:t xml:space="preserve"> 2153-1997-1998 (Series): </w:t>
      </w:r>
      <w:r w:rsidRPr="00D126D1">
        <w:rPr>
          <w:i/>
          <w:sz w:val="20"/>
          <w:szCs w:val="20"/>
        </w:rPr>
        <w:t>Tractors and machinery for agriculture and forestry – Technical means for ensuring safety.</w:t>
      </w:r>
    </w:p>
    <w:p w:rsidR="00C45439" w:rsidRPr="00D126D1" w:rsidRDefault="00C45439" w:rsidP="00D9096A">
      <w:pPr>
        <w:pStyle w:val="Heading3"/>
        <w:spacing w:after="120"/>
        <w:rPr>
          <w:sz w:val="20"/>
          <w:szCs w:val="20"/>
        </w:rPr>
      </w:pPr>
      <w:r w:rsidRPr="00D126D1">
        <w:rPr>
          <w:sz w:val="20"/>
          <w:szCs w:val="20"/>
        </w:rPr>
        <w:lastRenderedPageBreak/>
        <w:t xml:space="preserve">Table 3 </w:t>
      </w:r>
      <w:r w:rsidRPr="00D126D1">
        <w:rPr>
          <w:b w:val="0"/>
          <w:sz w:val="20"/>
          <w:szCs w:val="20"/>
        </w:rPr>
        <w:t>Specific hazards, risks and control measures associated with portable sawmilling</w:t>
      </w:r>
    </w:p>
    <w:tbl>
      <w:tblPr>
        <w:tblStyle w:val="greentable"/>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3 Specific hazards, risks and control measures associated with portable sawmilling"/>
        <w:tblDescription w:val="Table 3 sets out high risks (shown in red), reduced risk solutions (shown in amber) and preferred solutions (shown in green) for portable saw milling."/>
      </w:tblPr>
      <w:tblGrid>
        <w:gridCol w:w="3080"/>
        <w:gridCol w:w="3090"/>
        <w:gridCol w:w="3090"/>
      </w:tblGrid>
      <w:tr w:rsidR="00C45439" w:rsidRPr="00D126D1" w:rsidTr="00A56660">
        <w:trPr>
          <w:trHeight w:val="510"/>
          <w:tblHeader/>
        </w:trPr>
        <w:tc>
          <w:tcPr>
            <w:tcW w:w="3080" w:type="dxa"/>
            <w:tcBorders>
              <w:bottom w:val="single" w:sz="4" w:space="0" w:color="auto"/>
            </w:tcBorders>
            <w:shd w:val="clear" w:color="auto" w:fill="FF0000"/>
            <w:vAlign w:val="center"/>
          </w:tcPr>
          <w:p w:rsidR="00C45439" w:rsidRPr="00D126D1" w:rsidRDefault="00C45439" w:rsidP="00473A81">
            <w:pPr>
              <w:spacing w:after="120"/>
              <w:rPr>
                <w:b/>
                <w:color w:val="FFFFFF"/>
                <w:sz w:val="20"/>
                <w:szCs w:val="20"/>
              </w:rPr>
            </w:pPr>
            <w:r w:rsidRPr="00D126D1">
              <w:rPr>
                <w:b/>
                <w:color w:val="FFFFFF"/>
                <w:sz w:val="20"/>
                <w:szCs w:val="20"/>
              </w:rPr>
              <w:t>High risk activity or hazard</w:t>
            </w:r>
          </w:p>
        </w:tc>
        <w:tc>
          <w:tcPr>
            <w:tcW w:w="3090" w:type="dxa"/>
            <w:tcBorders>
              <w:bottom w:val="single" w:sz="4" w:space="0" w:color="auto"/>
            </w:tcBorders>
            <w:shd w:val="clear" w:color="auto" w:fill="FFC000"/>
          </w:tcPr>
          <w:p w:rsidR="00C45439" w:rsidRPr="00D126D1" w:rsidRDefault="00C45439" w:rsidP="00473A81">
            <w:pPr>
              <w:spacing w:after="120"/>
              <w:rPr>
                <w:b/>
                <w:sz w:val="20"/>
                <w:szCs w:val="20"/>
              </w:rPr>
            </w:pPr>
            <w:r w:rsidRPr="00D126D1">
              <w:rPr>
                <w:b/>
                <w:sz w:val="20"/>
                <w:szCs w:val="20"/>
              </w:rPr>
              <w:t>Reduced risk solution</w:t>
            </w:r>
          </w:p>
        </w:tc>
        <w:tc>
          <w:tcPr>
            <w:tcW w:w="3090" w:type="dxa"/>
            <w:tcBorders>
              <w:bottom w:val="single" w:sz="4" w:space="0" w:color="auto"/>
            </w:tcBorders>
            <w:shd w:val="clear" w:color="auto" w:fill="00B050"/>
          </w:tcPr>
          <w:p w:rsidR="00C45439" w:rsidRPr="00D126D1" w:rsidRDefault="00C45439" w:rsidP="00473A81">
            <w:pPr>
              <w:spacing w:after="120"/>
              <w:rPr>
                <w:b/>
                <w:color w:val="FFFFFF"/>
                <w:sz w:val="20"/>
                <w:szCs w:val="20"/>
              </w:rPr>
            </w:pPr>
            <w:r w:rsidRPr="00D126D1">
              <w:rPr>
                <w:b/>
                <w:color w:val="FFFFFF"/>
                <w:sz w:val="20"/>
                <w:szCs w:val="20"/>
              </w:rPr>
              <w:t>Preferred solution</w:t>
            </w:r>
          </w:p>
        </w:tc>
      </w:tr>
      <w:tr w:rsidR="00C45439" w:rsidRPr="00D126D1" w:rsidTr="00A56660">
        <w:tc>
          <w:tcPr>
            <w:tcW w:w="3080" w:type="dxa"/>
            <w:shd w:val="clear" w:color="auto" w:fill="F2DBDB"/>
          </w:tcPr>
          <w:p w:rsidR="00C45439" w:rsidRPr="00D9096A" w:rsidRDefault="00C45439" w:rsidP="00D9096A">
            <w:pPr>
              <w:pStyle w:val="ListParagraph"/>
            </w:pPr>
            <w:r w:rsidRPr="00D9096A">
              <w:t>material from saw blade flying towards operator</w:t>
            </w:r>
          </w:p>
        </w:tc>
        <w:tc>
          <w:tcPr>
            <w:tcW w:w="3090" w:type="dxa"/>
            <w:shd w:val="clear" w:color="auto" w:fill="FDE9D9"/>
          </w:tcPr>
          <w:p w:rsidR="00C45439" w:rsidRPr="00D126D1" w:rsidRDefault="00C45439" w:rsidP="00F25178">
            <w:pPr>
              <w:pStyle w:val="ListParagraph"/>
            </w:pPr>
            <w:r w:rsidRPr="00D126D1">
              <w:t>PPE e.g. eye protection</w:t>
            </w:r>
          </w:p>
        </w:tc>
        <w:tc>
          <w:tcPr>
            <w:tcW w:w="3090" w:type="dxa"/>
            <w:shd w:val="clear" w:color="auto" w:fill="EAF1DD"/>
          </w:tcPr>
          <w:p w:rsidR="00C45439" w:rsidRPr="00D126D1" w:rsidRDefault="00C45439" w:rsidP="00D9096A">
            <w:pPr>
              <w:pStyle w:val="ListParagraph"/>
            </w:pPr>
            <w:r w:rsidRPr="00D126D1">
              <w:t>operator does not stand in the cutting line of the saw</w:t>
            </w:r>
          </w:p>
        </w:tc>
      </w:tr>
      <w:tr w:rsidR="00C45439" w:rsidRPr="00D126D1" w:rsidTr="00A56660">
        <w:tc>
          <w:tcPr>
            <w:tcW w:w="3080" w:type="dxa"/>
            <w:shd w:val="clear" w:color="auto" w:fill="F2DBDB"/>
          </w:tcPr>
          <w:p w:rsidR="00C45439" w:rsidRPr="00D9096A" w:rsidRDefault="00C45439" w:rsidP="00D9096A">
            <w:pPr>
              <w:pStyle w:val="ListParagraph"/>
            </w:pPr>
            <w:r w:rsidRPr="00D9096A">
              <w:t>operator’s fingers or limbs coming into contact with saw blade</w:t>
            </w:r>
          </w:p>
        </w:tc>
        <w:tc>
          <w:tcPr>
            <w:tcW w:w="3090" w:type="dxa"/>
            <w:shd w:val="clear" w:color="auto" w:fill="FDE9D9"/>
          </w:tcPr>
          <w:p w:rsidR="00C45439" w:rsidRPr="00D126D1" w:rsidRDefault="00C45439" w:rsidP="00D9096A">
            <w:pPr>
              <w:pStyle w:val="ListParagraph"/>
            </w:pPr>
            <w:r w:rsidRPr="00D126D1">
              <w:t>use a mechanical device to feed logs through saw bench</w:t>
            </w:r>
          </w:p>
        </w:tc>
        <w:tc>
          <w:tcPr>
            <w:tcW w:w="3090" w:type="dxa"/>
            <w:shd w:val="clear" w:color="auto" w:fill="EAF1DD"/>
          </w:tcPr>
          <w:p w:rsidR="00C45439" w:rsidRPr="00D126D1" w:rsidRDefault="00C45439" w:rsidP="00D9096A">
            <w:pPr>
              <w:pStyle w:val="ListParagraph"/>
            </w:pPr>
            <w:r w:rsidRPr="00D126D1">
              <w:t>saw blades guarded</w:t>
            </w:r>
          </w:p>
          <w:p w:rsidR="00C45439" w:rsidRPr="00D126D1" w:rsidRDefault="00C45439" w:rsidP="00D9096A">
            <w:pPr>
              <w:pStyle w:val="ListParagraph"/>
            </w:pPr>
            <w:r w:rsidRPr="00D126D1">
              <w:t>machine cannot be operated while hands are still in contact with the material being cut</w:t>
            </w:r>
          </w:p>
        </w:tc>
      </w:tr>
      <w:tr w:rsidR="00C45439" w:rsidRPr="00D126D1" w:rsidTr="00A56660">
        <w:tc>
          <w:tcPr>
            <w:tcW w:w="3080" w:type="dxa"/>
            <w:shd w:val="clear" w:color="auto" w:fill="F2DBDB"/>
          </w:tcPr>
          <w:p w:rsidR="00C45439" w:rsidRPr="00D9096A" w:rsidRDefault="00C45439" w:rsidP="00D9096A">
            <w:pPr>
              <w:pStyle w:val="ListParagraph"/>
            </w:pPr>
            <w:r w:rsidRPr="00D9096A">
              <w:t>moving and locating logs manually</w:t>
            </w:r>
          </w:p>
        </w:tc>
        <w:tc>
          <w:tcPr>
            <w:tcW w:w="3090" w:type="dxa"/>
            <w:shd w:val="clear" w:color="auto" w:fill="FDE9D9"/>
          </w:tcPr>
          <w:p w:rsidR="00C45439" w:rsidRPr="00D126D1" w:rsidRDefault="00C45439" w:rsidP="00D9096A">
            <w:pPr>
              <w:pStyle w:val="ListParagraph"/>
            </w:pPr>
            <w:r w:rsidRPr="00D126D1">
              <w:t>no interim solution</w:t>
            </w:r>
          </w:p>
        </w:tc>
        <w:tc>
          <w:tcPr>
            <w:tcW w:w="3090" w:type="dxa"/>
            <w:shd w:val="clear" w:color="auto" w:fill="EAF1DD"/>
          </w:tcPr>
          <w:p w:rsidR="00C45439" w:rsidRPr="00D126D1" w:rsidRDefault="00C45439" w:rsidP="00D9096A">
            <w:pPr>
              <w:pStyle w:val="ListParagraph"/>
            </w:pPr>
            <w:r w:rsidRPr="00D126D1">
              <w:t xml:space="preserve">logs moved and lifted by machine fitted with </w:t>
            </w:r>
            <w:r w:rsidR="00406C2C">
              <w:t>roll over protective structures (</w:t>
            </w:r>
            <w:proofErr w:type="spellStart"/>
            <w:r w:rsidRPr="00D126D1">
              <w:t>ROPS</w:t>
            </w:r>
            <w:proofErr w:type="spellEnd"/>
            <w:r w:rsidR="00406C2C">
              <w:t>)</w:t>
            </w:r>
            <w:r w:rsidRPr="00D126D1">
              <w:t xml:space="preserve"> and </w:t>
            </w:r>
            <w:r w:rsidR="00406C2C">
              <w:t>falling object protective structures (</w:t>
            </w:r>
            <w:r w:rsidRPr="00D126D1">
              <w:t>FOPS</w:t>
            </w:r>
            <w:r w:rsidR="00406C2C">
              <w:t>)</w:t>
            </w:r>
            <w:r w:rsidRPr="00D126D1">
              <w:t xml:space="preserve"> canopy</w:t>
            </w:r>
          </w:p>
        </w:tc>
      </w:tr>
      <w:tr w:rsidR="00C45439" w:rsidRPr="00D126D1" w:rsidTr="00A56660">
        <w:tc>
          <w:tcPr>
            <w:tcW w:w="3080" w:type="dxa"/>
            <w:shd w:val="clear" w:color="auto" w:fill="F2DBDB"/>
          </w:tcPr>
          <w:p w:rsidR="00C45439" w:rsidRPr="00D9096A" w:rsidRDefault="00C45439" w:rsidP="00D9096A">
            <w:pPr>
              <w:pStyle w:val="ListParagraph"/>
            </w:pPr>
            <w:r w:rsidRPr="00D9096A">
              <w:t>manually lifting and stacking firewood, boards, posts or sleepers</w:t>
            </w:r>
          </w:p>
        </w:tc>
        <w:tc>
          <w:tcPr>
            <w:tcW w:w="3090" w:type="dxa"/>
            <w:shd w:val="clear" w:color="auto" w:fill="FDE9D9"/>
          </w:tcPr>
          <w:p w:rsidR="00C45439" w:rsidRPr="00D126D1" w:rsidRDefault="00C45439" w:rsidP="00D9096A">
            <w:pPr>
              <w:pStyle w:val="ListParagraph"/>
            </w:pPr>
            <w:r w:rsidRPr="00D126D1">
              <w:t>regular housekeeping to minimise effects of sap and reduce force</w:t>
            </w:r>
          </w:p>
        </w:tc>
        <w:tc>
          <w:tcPr>
            <w:tcW w:w="3090" w:type="dxa"/>
            <w:shd w:val="clear" w:color="auto" w:fill="EAF1DD"/>
          </w:tcPr>
          <w:p w:rsidR="00C45439" w:rsidRPr="00D126D1" w:rsidRDefault="00C45439" w:rsidP="00D9096A">
            <w:pPr>
              <w:pStyle w:val="ListParagraph"/>
            </w:pPr>
            <w:r w:rsidRPr="00D126D1">
              <w:t>mechanical aid to lift boards, posts or sleepers</w:t>
            </w:r>
          </w:p>
        </w:tc>
      </w:tr>
    </w:tbl>
    <w:p w:rsidR="00B07CE8" w:rsidRDefault="00B07CE8" w:rsidP="00B07CE8">
      <w:pPr>
        <w:pStyle w:val="Heading2"/>
      </w:pPr>
      <w:r>
        <w:t>Further information</w:t>
      </w:r>
    </w:p>
    <w:p w:rsidR="00C37CFF" w:rsidRPr="00A56660" w:rsidRDefault="00A56660" w:rsidP="00593CDC">
      <w:pPr>
        <w:rPr>
          <w:color w:val="000000"/>
          <w:sz w:val="20"/>
          <w:szCs w:val="20"/>
          <w:lang w:eastAsia="en-AU"/>
        </w:rPr>
      </w:pPr>
      <w:r w:rsidRPr="00A56660">
        <w:rPr>
          <w:sz w:val="20"/>
          <w:szCs w:val="20"/>
        </w:rPr>
        <w:t xml:space="preserve">Codes of practice, guidance material and other resources are on the </w:t>
      </w:r>
      <w:hyperlink r:id="rId20" w:history="1">
        <w:r w:rsidRPr="00C72CCB">
          <w:rPr>
            <w:rStyle w:val="Hyperlink"/>
            <w:sz w:val="20"/>
            <w:szCs w:val="20"/>
          </w:rPr>
          <w:t>Safe Work Australia</w:t>
        </w:r>
      </w:hyperlink>
      <w:r w:rsidRPr="00A56660">
        <w:rPr>
          <w:sz w:val="20"/>
          <w:szCs w:val="20"/>
        </w:rPr>
        <w:t xml:space="preserve"> </w:t>
      </w:r>
      <w:r w:rsidRPr="00A56660">
        <w:rPr>
          <w:color w:val="000000"/>
          <w:sz w:val="20"/>
          <w:szCs w:val="20"/>
          <w:lang w:eastAsia="en-AU"/>
        </w:rPr>
        <w:t xml:space="preserve">website </w:t>
      </w:r>
      <w:r w:rsidR="00C72CCB">
        <w:rPr>
          <w:color w:val="000000"/>
          <w:sz w:val="20"/>
          <w:szCs w:val="20"/>
          <w:lang w:eastAsia="en-AU"/>
        </w:rPr>
        <w:t>(</w:t>
      </w:r>
      <w:r w:rsidRPr="00C72CCB">
        <w:rPr>
          <w:rFonts w:cs="Arial"/>
          <w:sz w:val="20"/>
          <w:szCs w:val="20"/>
          <w:lang w:eastAsia="en-AU"/>
        </w:rPr>
        <w:t>www.swa.gov.au</w:t>
      </w:r>
      <w:r w:rsidR="00C72CCB">
        <w:rPr>
          <w:rFonts w:cs="Arial"/>
          <w:sz w:val="20"/>
          <w:szCs w:val="20"/>
          <w:lang w:eastAsia="en-AU"/>
        </w:rPr>
        <w:t>)</w:t>
      </w:r>
      <w:r w:rsidRPr="00A56660">
        <w:rPr>
          <w:rStyle w:val="Hyperlink"/>
          <w:rFonts w:cs="Arial"/>
          <w:sz w:val="20"/>
          <w:szCs w:val="20"/>
          <w:u w:val="none"/>
          <w:lang w:eastAsia="en-AU"/>
        </w:rPr>
        <w:t>.</w:t>
      </w:r>
    </w:p>
    <w:sectPr w:rsidR="00C37CFF" w:rsidRPr="00A56660" w:rsidSect="00392AB4">
      <w:headerReference w:type="default" r:id="rId21"/>
      <w:footerReference w:type="default" r:id="rId22"/>
      <w:headerReference w:type="first" r:id="rId23"/>
      <w:footerReference w:type="first" r:id="rId24"/>
      <w:pgSz w:w="11906" w:h="16838"/>
      <w:pgMar w:top="1440" w:right="1440" w:bottom="1440" w:left="1440"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CDC" w:rsidRDefault="00593CDC" w:rsidP="00593CDC">
      <w:pPr>
        <w:spacing w:before="0"/>
      </w:pPr>
      <w:r>
        <w:separator/>
      </w:r>
    </w:p>
  </w:endnote>
  <w:endnote w:type="continuationSeparator" w:id="0">
    <w:p w:rsidR="00593CDC" w:rsidRDefault="00593CDC" w:rsidP="00593C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otham Light">
    <w:altName w:val="Gotham Light"/>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DC" w:rsidRPr="00D9096A" w:rsidRDefault="00392AB4" w:rsidP="00C712D4">
    <w:pPr>
      <w:pStyle w:val="Footer"/>
      <w:tabs>
        <w:tab w:val="clear" w:pos="4513"/>
        <w:tab w:val="center" w:pos="4253"/>
        <w:tab w:val="left" w:pos="6946"/>
        <w:tab w:val="left" w:pos="7938"/>
      </w:tabs>
      <w:rPr>
        <w:sz w:val="18"/>
        <w:szCs w:val="18"/>
      </w:rPr>
    </w:pPr>
    <w:r w:rsidRPr="00D9096A">
      <w:rPr>
        <w:sz w:val="18"/>
        <w:szCs w:val="18"/>
      </w:rPr>
      <w:t xml:space="preserve">Forestry: </w:t>
    </w:r>
    <w:r w:rsidR="00482DB1">
      <w:rPr>
        <w:i/>
        <w:sz w:val="18"/>
        <w:szCs w:val="18"/>
      </w:rPr>
      <w:t>Guide to managing risks of infield p</w:t>
    </w:r>
    <w:r w:rsidRPr="00D9096A">
      <w:rPr>
        <w:i/>
        <w:sz w:val="18"/>
        <w:szCs w:val="18"/>
      </w:rPr>
      <w:t xml:space="preserve">rocessing </w:t>
    </w:r>
    <w:r w:rsidR="00482DB1">
      <w:rPr>
        <w:i/>
        <w:sz w:val="18"/>
        <w:szCs w:val="18"/>
      </w:rPr>
      <w:t>of forestry p</w:t>
    </w:r>
    <w:r w:rsidRPr="00D9096A">
      <w:rPr>
        <w:i/>
        <w:sz w:val="18"/>
        <w:szCs w:val="18"/>
      </w:rPr>
      <w:t>roducts</w:t>
    </w:r>
    <w:r w:rsidR="00D9096A">
      <w:rPr>
        <w:sz w:val="18"/>
        <w:szCs w:val="18"/>
      </w:rPr>
      <w:tab/>
    </w:r>
    <w:r w:rsidR="00653879">
      <w:rPr>
        <w:sz w:val="18"/>
        <w:szCs w:val="18"/>
      </w:rPr>
      <w:t>July</w:t>
    </w:r>
    <w:r w:rsidRPr="00D9096A">
      <w:rPr>
        <w:sz w:val="18"/>
        <w:szCs w:val="18"/>
      </w:rPr>
      <w:t xml:space="preserve"> 2014</w:t>
    </w:r>
    <w:r w:rsidR="00D9096A">
      <w:rPr>
        <w:sz w:val="18"/>
        <w:szCs w:val="18"/>
      </w:rPr>
      <w:tab/>
    </w:r>
    <w:r w:rsidRPr="00D9096A">
      <w:rPr>
        <w:sz w:val="18"/>
        <w:szCs w:val="18"/>
      </w:rPr>
      <w:t xml:space="preserve"> Page </w:t>
    </w:r>
    <w:r w:rsidRPr="00D9096A">
      <w:rPr>
        <w:caps/>
        <w:sz w:val="18"/>
        <w:szCs w:val="18"/>
      </w:rPr>
      <w:fldChar w:fldCharType="begin"/>
    </w:r>
    <w:r w:rsidRPr="00D9096A">
      <w:rPr>
        <w:caps/>
        <w:sz w:val="18"/>
        <w:szCs w:val="18"/>
      </w:rPr>
      <w:instrText xml:space="preserve"> PAGE </w:instrText>
    </w:r>
    <w:r w:rsidRPr="00D9096A">
      <w:rPr>
        <w:caps/>
        <w:sz w:val="18"/>
        <w:szCs w:val="18"/>
      </w:rPr>
      <w:fldChar w:fldCharType="separate"/>
    </w:r>
    <w:r w:rsidR="00B0117C">
      <w:rPr>
        <w:caps/>
        <w:noProof/>
        <w:sz w:val="18"/>
        <w:szCs w:val="18"/>
      </w:rPr>
      <w:t>3</w:t>
    </w:r>
    <w:r w:rsidRPr="00D9096A">
      <w:rPr>
        <w:caps/>
        <w:sz w:val="18"/>
        <w:szCs w:val="18"/>
      </w:rPr>
      <w:fldChar w:fldCharType="end"/>
    </w:r>
    <w:r w:rsidRPr="00D9096A">
      <w:rPr>
        <w:sz w:val="18"/>
        <w:szCs w:val="18"/>
      </w:rPr>
      <w:t xml:space="preserve"> of </w:t>
    </w:r>
    <w:r w:rsidRPr="00D9096A">
      <w:rPr>
        <w:caps/>
        <w:sz w:val="18"/>
        <w:szCs w:val="18"/>
      </w:rPr>
      <w:fldChar w:fldCharType="begin"/>
    </w:r>
    <w:r w:rsidRPr="00D9096A">
      <w:rPr>
        <w:caps/>
        <w:sz w:val="18"/>
        <w:szCs w:val="18"/>
      </w:rPr>
      <w:instrText xml:space="preserve"> NUMPAGES </w:instrText>
    </w:r>
    <w:r w:rsidRPr="00D9096A">
      <w:rPr>
        <w:caps/>
        <w:sz w:val="18"/>
        <w:szCs w:val="18"/>
      </w:rPr>
      <w:fldChar w:fldCharType="separate"/>
    </w:r>
    <w:r w:rsidR="00B0117C">
      <w:rPr>
        <w:caps/>
        <w:noProof/>
        <w:sz w:val="18"/>
        <w:szCs w:val="18"/>
      </w:rPr>
      <w:t>3</w:t>
    </w:r>
    <w:r w:rsidRPr="00D9096A">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827" w:rsidRDefault="00392AB4" w:rsidP="000B6D8E">
    <w:pPr>
      <w:pStyle w:val="Footer"/>
      <w:tabs>
        <w:tab w:val="clear" w:pos="4513"/>
        <w:tab w:val="left" w:pos="3544"/>
        <w:tab w:val="left" w:pos="6521"/>
        <w:tab w:val="left" w:pos="8222"/>
      </w:tabs>
      <w:rPr>
        <w:rFonts w:eastAsia="Calibri" w:cs="Arial"/>
        <w:sz w:val="18"/>
        <w:szCs w:val="18"/>
      </w:rPr>
    </w:pPr>
    <w:r>
      <w:rPr>
        <w:rFonts w:ascii="Gotham Light" w:hAnsi="Gotham Light" w:cs="Gotham Light"/>
        <w:noProof/>
        <w:color w:val="000000"/>
        <w:sz w:val="18"/>
        <w:szCs w:val="18"/>
        <w:lang w:eastAsia="en-AU"/>
      </w:rPr>
      <w:drawing>
        <wp:inline distT="0" distB="0" distL="0" distR="0" wp14:anchorId="591BDB99" wp14:editId="1CC4518E">
          <wp:extent cx="1234286" cy="432000"/>
          <wp:effectExtent l="0" t="0" r="4445" b="6350"/>
          <wp:docPr id="3" name="Picture 3"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D9096A">
      <w:rPr>
        <w:rFonts w:eastAsia="Calibri" w:cs="Arial"/>
      </w:rPr>
      <w:tab/>
    </w:r>
    <w:r w:rsidR="001B2827" w:rsidRPr="001B2827">
      <w:rPr>
        <w:rFonts w:eastAsia="Calibri" w:cs="Arial"/>
        <w:sz w:val="18"/>
        <w:szCs w:val="18"/>
      </w:rPr>
      <w:t>978-1-74361-693-2 [Multi-Vol. Set]</w:t>
    </w:r>
    <w:r w:rsidR="001B2827" w:rsidRPr="001B2827">
      <w:rPr>
        <w:rFonts w:eastAsia="Calibri" w:cs="Arial"/>
        <w:sz w:val="18"/>
        <w:szCs w:val="18"/>
      </w:rPr>
      <w:tab/>
    </w:r>
    <w:r w:rsidRPr="001B2827">
      <w:rPr>
        <w:rFonts w:eastAsia="Calibri" w:cs="Arial"/>
        <w:sz w:val="18"/>
        <w:szCs w:val="18"/>
      </w:rPr>
      <w:t>978-1-74361</w:t>
    </w:r>
    <w:r w:rsidRPr="00483902">
      <w:rPr>
        <w:rFonts w:eastAsia="Calibri" w:cs="Arial"/>
        <w:sz w:val="18"/>
        <w:szCs w:val="18"/>
      </w:rPr>
      <w:t>-</w:t>
    </w:r>
    <w:r w:rsidR="000B6D8E">
      <w:rPr>
        <w:rFonts w:eastAsia="Calibri" w:cs="Arial"/>
        <w:sz w:val="18"/>
        <w:szCs w:val="18"/>
      </w:rPr>
      <w:t>700</w:t>
    </w:r>
    <w:r w:rsidRPr="00483902">
      <w:rPr>
        <w:rFonts w:eastAsia="Calibri" w:cs="Arial"/>
        <w:sz w:val="18"/>
        <w:szCs w:val="18"/>
      </w:rPr>
      <w:t>-</w:t>
    </w:r>
    <w:r w:rsidR="000B6D8E">
      <w:rPr>
        <w:rFonts w:eastAsia="Calibri" w:cs="Arial"/>
        <w:sz w:val="18"/>
        <w:szCs w:val="18"/>
      </w:rPr>
      <w:t>7</w:t>
    </w:r>
    <w:r w:rsidR="000B6D8E">
      <w:rPr>
        <w:rFonts w:eastAsia="Calibri" w:cs="Arial"/>
        <w:sz w:val="18"/>
        <w:szCs w:val="18"/>
      </w:rPr>
      <w:tab/>
    </w:r>
    <w:r w:rsidR="00D9096A">
      <w:rPr>
        <w:rFonts w:eastAsia="Calibri" w:cs="Arial"/>
        <w:sz w:val="18"/>
        <w:szCs w:val="18"/>
      </w:rPr>
      <w:t>[PDF]</w:t>
    </w:r>
  </w:p>
  <w:p w:rsidR="00392AB4" w:rsidRDefault="001B2827" w:rsidP="000B6D8E">
    <w:pPr>
      <w:pStyle w:val="Footer"/>
      <w:tabs>
        <w:tab w:val="clear" w:pos="4513"/>
        <w:tab w:val="left" w:pos="3544"/>
        <w:tab w:val="left" w:pos="6521"/>
        <w:tab w:val="left" w:pos="8222"/>
      </w:tabs>
    </w:pPr>
    <w:r>
      <w:rPr>
        <w:rFonts w:eastAsia="Calibri" w:cs="Arial"/>
        <w:sz w:val="18"/>
        <w:szCs w:val="18"/>
      </w:rPr>
      <w:tab/>
    </w:r>
    <w:r w:rsidR="00D9096A">
      <w:rPr>
        <w:rFonts w:eastAsia="Calibri" w:cs="Arial"/>
        <w:sz w:val="18"/>
        <w:szCs w:val="18"/>
      </w:rPr>
      <w:tab/>
    </w:r>
    <w:r w:rsidR="00392AB4" w:rsidRPr="00483902">
      <w:rPr>
        <w:rFonts w:eastAsia="Calibri" w:cs="Arial"/>
        <w:sz w:val="18"/>
        <w:szCs w:val="18"/>
      </w:rPr>
      <w:t>978-1-74361-</w:t>
    </w:r>
    <w:r w:rsidR="000B6D8E">
      <w:rPr>
        <w:rFonts w:eastAsia="Calibri" w:cs="Arial"/>
        <w:sz w:val="18"/>
        <w:szCs w:val="18"/>
      </w:rPr>
      <w:t>701</w:t>
    </w:r>
    <w:r w:rsidR="00392AB4" w:rsidRPr="00483902">
      <w:rPr>
        <w:rFonts w:eastAsia="Calibri" w:cs="Arial"/>
        <w:sz w:val="18"/>
        <w:szCs w:val="18"/>
      </w:rPr>
      <w:t>-</w:t>
    </w:r>
    <w:r w:rsidR="000B6D8E">
      <w:rPr>
        <w:rFonts w:eastAsia="Calibri" w:cs="Arial"/>
        <w:sz w:val="18"/>
        <w:szCs w:val="18"/>
      </w:rPr>
      <w:t>4</w:t>
    </w:r>
    <w:r w:rsidR="000B6D8E">
      <w:rPr>
        <w:rFonts w:eastAsia="Calibri" w:cs="Arial"/>
        <w:sz w:val="18"/>
        <w:szCs w:val="18"/>
      </w:rPr>
      <w:tab/>
    </w:r>
    <w:r w:rsidR="00392AB4" w:rsidRPr="00483902">
      <w:rPr>
        <w:rFonts w:eastAsia="Calibri" w:cs="Arial"/>
        <w:sz w:val="18"/>
        <w:szCs w:val="18"/>
      </w:rPr>
      <w:t>[</w:t>
    </w:r>
    <w:proofErr w:type="spellStart"/>
    <w:r w:rsidR="00392AB4" w:rsidRPr="00483902">
      <w:rPr>
        <w:rFonts w:eastAsia="Calibri" w:cs="Arial"/>
        <w:sz w:val="18"/>
        <w:szCs w:val="18"/>
      </w:rPr>
      <w:t>DOCX</w:t>
    </w:r>
    <w:proofErr w:type="spellEnd"/>
    <w:r w:rsidR="00392AB4" w:rsidRPr="00483902">
      <w:rPr>
        <w:rFonts w:eastAsia="Calibr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CDC" w:rsidRDefault="00593CDC" w:rsidP="00593CDC">
      <w:pPr>
        <w:spacing w:before="0"/>
      </w:pPr>
      <w:r>
        <w:separator/>
      </w:r>
    </w:p>
  </w:footnote>
  <w:footnote w:type="continuationSeparator" w:id="0">
    <w:p w:rsidR="00593CDC" w:rsidRDefault="00593CDC" w:rsidP="00593CD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AB4" w:rsidRDefault="00392AB4" w:rsidP="00392AB4">
    <w:pPr>
      <w:pStyle w:val="Header"/>
      <w:tabs>
        <w:tab w:val="clear" w:pos="9026"/>
      </w:tabs>
    </w:pPr>
    <w:r w:rsidRPr="00AB1596">
      <w:rPr>
        <w:rFonts w:cs="Arial"/>
        <w:b/>
        <w:noProof/>
        <w:color w:val="000000"/>
        <w:sz w:val="52"/>
        <w:szCs w:val="52"/>
        <w:lang w:eastAsia="en-AU"/>
      </w:rPr>
      <w:drawing>
        <wp:inline distT="0" distB="0" distL="0" distR="0" wp14:anchorId="6F689CF3" wp14:editId="1B5A1489">
          <wp:extent cx="2071999" cy="432000"/>
          <wp:effectExtent l="0" t="0" r="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071999" cy="432000"/>
                  </a:xfrm>
                  <a:prstGeom prst="rect">
                    <a:avLst/>
                  </a:prstGeom>
                  <a:noFill/>
                  <a:ln w="9525">
                    <a:noFill/>
                    <a:miter lim="800000"/>
                    <a:headEnd/>
                    <a:tailEnd/>
                  </a:ln>
                </pic:spPr>
              </pic:pic>
            </a:graphicData>
          </a:graphic>
        </wp:inline>
      </w:drawing>
    </w:r>
    <w:r>
      <w:tab/>
    </w:r>
  </w:p>
  <w:p w:rsidR="001E643C" w:rsidRDefault="001E643C" w:rsidP="00392AB4">
    <w:pPr>
      <w:pStyle w:val="Header"/>
      <w:tabs>
        <w:tab w:val="clear" w:pos="902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AB4" w:rsidRDefault="00392AB4">
    <w:pPr>
      <w:pStyle w:val="Header"/>
    </w:pPr>
    <w:r w:rsidRPr="00AB1596">
      <w:rPr>
        <w:rFonts w:cs="Arial"/>
        <w:b/>
        <w:noProof/>
        <w:color w:val="000000"/>
        <w:sz w:val="52"/>
        <w:szCs w:val="52"/>
        <w:lang w:eastAsia="en-AU"/>
      </w:rPr>
      <w:drawing>
        <wp:inline distT="0" distB="0" distL="0" distR="0" wp14:anchorId="199B9C88" wp14:editId="01D0CB00">
          <wp:extent cx="2071999" cy="432000"/>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B6541"/>
    <w:multiLevelType w:val="hybridMultilevel"/>
    <w:tmpl w:val="70F4BAB6"/>
    <w:lvl w:ilvl="0" w:tplc="EA905C18">
      <w:start w:val="1"/>
      <w:numFmt w:val="bullet"/>
      <w:lvlText w:val=""/>
      <w:lvlJc w:val="left"/>
      <w:pPr>
        <w:tabs>
          <w:tab w:val="num" w:pos="-354"/>
        </w:tabs>
        <w:ind w:left="-354" w:hanging="360"/>
      </w:pPr>
      <w:rPr>
        <w:rFonts w:ascii="Symbol" w:hAnsi="Symbol" w:hint="default"/>
      </w:rPr>
    </w:lvl>
    <w:lvl w:ilvl="1" w:tplc="0C090003" w:tentative="1">
      <w:start w:val="1"/>
      <w:numFmt w:val="bullet"/>
      <w:lvlText w:val="o"/>
      <w:lvlJc w:val="left"/>
      <w:pPr>
        <w:ind w:left="366" w:hanging="360"/>
      </w:pPr>
      <w:rPr>
        <w:rFonts w:ascii="Courier New" w:hAnsi="Courier New" w:cs="Courier New" w:hint="default"/>
      </w:rPr>
    </w:lvl>
    <w:lvl w:ilvl="2" w:tplc="0C090005" w:tentative="1">
      <w:start w:val="1"/>
      <w:numFmt w:val="bullet"/>
      <w:lvlText w:val=""/>
      <w:lvlJc w:val="left"/>
      <w:pPr>
        <w:ind w:left="1086" w:hanging="360"/>
      </w:pPr>
      <w:rPr>
        <w:rFonts w:ascii="Wingdings" w:hAnsi="Wingdings" w:hint="default"/>
      </w:rPr>
    </w:lvl>
    <w:lvl w:ilvl="3" w:tplc="0C090001" w:tentative="1">
      <w:start w:val="1"/>
      <w:numFmt w:val="bullet"/>
      <w:lvlText w:val=""/>
      <w:lvlJc w:val="left"/>
      <w:pPr>
        <w:ind w:left="1806" w:hanging="360"/>
      </w:pPr>
      <w:rPr>
        <w:rFonts w:ascii="Symbol" w:hAnsi="Symbol" w:hint="default"/>
      </w:rPr>
    </w:lvl>
    <w:lvl w:ilvl="4" w:tplc="0C090003" w:tentative="1">
      <w:start w:val="1"/>
      <w:numFmt w:val="bullet"/>
      <w:lvlText w:val="o"/>
      <w:lvlJc w:val="left"/>
      <w:pPr>
        <w:ind w:left="2526" w:hanging="360"/>
      </w:pPr>
      <w:rPr>
        <w:rFonts w:ascii="Courier New" w:hAnsi="Courier New" w:cs="Courier New" w:hint="default"/>
      </w:rPr>
    </w:lvl>
    <w:lvl w:ilvl="5" w:tplc="0C090005" w:tentative="1">
      <w:start w:val="1"/>
      <w:numFmt w:val="bullet"/>
      <w:lvlText w:val=""/>
      <w:lvlJc w:val="left"/>
      <w:pPr>
        <w:ind w:left="3246" w:hanging="360"/>
      </w:pPr>
      <w:rPr>
        <w:rFonts w:ascii="Wingdings" w:hAnsi="Wingdings" w:hint="default"/>
      </w:rPr>
    </w:lvl>
    <w:lvl w:ilvl="6" w:tplc="0C090001" w:tentative="1">
      <w:start w:val="1"/>
      <w:numFmt w:val="bullet"/>
      <w:lvlText w:val=""/>
      <w:lvlJc w:val="left"/>
      <w:pPr>
        <w:ind w:left="3966" w:hanging="360"/>
      </w:pPr>
      <w:rPr>
        <w:rFonts w:ascii="Symbol" w:hAnsi="Symbol" w:hint="default"/>
      </w:rPr>
    </w:lvl>
    <w:lvl w:ilvl="7" w:tplc="0C090003" w:tentative="1">
      <w:start w:val="1"/>
      <w:numFmt w:val="bullet"/>
      <w:lvlText w:val="o"/>
      <w:lvlJc w:val="left"/>
      <w:pPr>
        <w:ind w:left="4686" w:hanging="360"/>
      </w:pPr>
      <w:rPr>
        <w:rFonts w:ascii="Courier New" w:hAnsi="Courier New" w:cs="Courier New" w:hint="default"/>
      </w:rPr>
    </w:lvl>
    <w:lvl w:ilvl="8" w:tplc="0C090005" w:tentative="1">
      <w:start w:val="1"/>
      <w:numFmt w:val="bullet"/>
      <w:lvlText w:val=""/>
      <w:lvlJc w:val="left"/>
      <w:pPr>
        <w:ind w:left="5406" w:hanging="360"/>
      </w:pPr>
      <w:rPr>
        <w:rFonts w:ascii="Wingdings" w:hAnsi="Wingdings" w:hint="default"/>
      </w:rPr>
    </w:lvl>
  </w:abstractNum>
  <w:abstractNum w:abstractNumId="1">
    <w:nsid w:val="208264E8"/>
    <w:multiLevelType w:val="hybridMultilevel"/>
    <w:tmpl w:val="BED45B22"/>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2">
    <w:nsid w:val="3D2D3161"/>
    <w:multiLevelType w:val="hybridMultilevel"/>
    <w:tmpl w:val="5D32B97A"/>
    <w:lvl w:ilvl="0" w:tplc="337C8106">
      <w:start w:val="1"/>
      <w:numFmt w:val="bullet"/>
      <w:pStyle w:val="ListParagraph"/>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E516780"/>
    <w:multiLevelType w:val="hybridMultilevel"/>
    <w:tmpl w:val="9938A9FC"/>
    <w:lvl w:ilvl="0" w:tplc="690C77E4">
      <w:start w:val="1"/>
      <w:numFmt w:val="decimal"/>
      <w:lvlText w:val="%1."/>
      <w:lvlJc w:val="left"/>
      <w:pPr>
        <w:tabs>
          <w:tab w:val="num" w:pos="1080"/>
        </w:tabs>
        <w:ind w:left="1080" w:hanging="720"/>
      </w:pPr>
      <w:rPr>
        <w:rFonts w:hint="default"/>
      </w:rPr>
    </w:lvl>
    <w:lvl w:ilvl="1" w:tplc="690C77E4">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40E7113F"/>
    <w:multiLevelType w:val="hybridMultilevel"/>
    <w:tmpl w:val="A3B6FAA0"/>
    <w:lvl w:ilvl="0" w:tplc="0C090001">
      <w:start w:val="1"/>
      <w:numFmt w:val="bullet"/>
      <w:lvlText w:val=""/>
      <w:lvlJc w:val="left"/>
      <w:pPr>
        <w:ind w:left="363" w:hanging="360"/>
      </w:pPr>
      <w:rPr>
        <w:rFonts w:ascii="Symbol" w:hAnsi="Symbol" w:hint="default"/>
      </w:rPr>
    </w:lvl>
    <w:lvl w:ilvl="1" w:tplc="0C090003">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5">
    <w:nsid w:val="41F52196"/>
    <w:multiLevelType w:val="hybridMultilevel"/>
    <w:tmpl w:val="51ACA7CE"/>
    <w:lvl w:ilvl="0" w:tplc="294A6516">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9046697"/>
    <w:multiLevelType w:val="hybridMultilevel"/>
    <w:tmpl w:val="1B142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39"/>
    <w:rsid w:val="00003C83"/>
    <w:rsid w:val="000B6D8E"/>
    <w:rsid w:val="000C58C4"/>
    <w:rsid w:val="00104AC3"/>
    <w:rsid w:val="00111D42"/>
    <w:rsid w:val="00121A85"/>
    <w:rsid w:val="001953D1"/>
    <w:rsid w:val="001B2827"/>
    <w:rsid w:val="001E643C"/>
    <w:rsid w:val="002A0D6E"/>
    <w:rsid w:val="002F163B"/>
    <w:rsid w:val="003073F2"/>
    <w:rsid w:val="00351E97"/>
    <w:rsid w:val="003763F2"/>
    <w:rsid w:val="00392AB4"/>
    <w:rsid w:val="00406C2C"/>
    <w:rsid w:val="00421AFF"/>
    <w:rsid w:val="00431176"/>
    <w:rsid w:val="004750D8"/>
    <w:rsid w:val="00482DB1"/>
    <w:rsid w:val="00555576"/>
    <w:rsid w:val="005750A7"/>
    <w:rsid w:val="00593CDC"/>
    <w:rsid w:val="00653879"/>
    <w:rsid w:val="006660AF"/>
    <w:rsid w:val="006F4408"/>
    <w:rsid w:val="00772930"/>
    <w:rsid w:val="007B6177"/>
    <w:rsid w:val="007C1F4C"/>
    <w:rsid w:val="00841FC2"/>
    <w:rsid w:val="008519DB"/>
    <w:rsid w:val="00A25B92"/>
    <w:rsid w:val="00A56660"/>
    <w:rsid w:val="00AA3882"/>
    <w:rsid w:val="00AB1596"/>
    <w:rsid w:val="00B0117C"/>
    <w:rsid w:val="00B07CE8"/>
    <w:rsid w:val="00B1631E"/>
    <w:rsid w:val="00BB6F89"/>
    <w:rsid w:val="00BF5DAD"/>
    <w:rsid w:val="00C37CFF"/>
    <w:rsid w:val="00C45439"/>
    <w:rsid w:val="00C712D4"/>
    <w:rsid w:val="00C72CCB"/>
    <w:rsid w:val="00CB7ED4"/>
    <w:rsid w:val="00D126D1"/>
    <w:rsid w:val="00D9096A"/>
    <w:rsid w:val="00F00E1C"/>
    <w:rsid w:val="00F25178"/>
    <w:rsid w:val="00F251CB"/>
    <w:rsid w:val="00FC27D3"/>
    <w:rsid w:val="00FC34B8"/>
    <w:rsid w:val="00FC6A9C"/>
    <w:rsid w:val="00FE75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439"/>
    <w:pPr>
      <w:spacing w:before="120" w:after="0" w:line="240" w:lineRule="auto"/>
    </w:pPr>
    <w:rPr>
      <w:rFonts w:ascii="Arial" w:eastAsia="Batang" w:hAnsi="Arial" w:cs="Times New Roman"/>
      <w:szCs w:val="24"/>
      <w:lang w:eastAsia="ko-KR"/>
    </w:rPr>
  </w:style>
  <w:style w:type="paragraph" w:styleId="Heading1">
    <w:name w:val="heading 1"/>
    <w:aliases w:val="c"/>
    <w:basedOn w:val="Normal"/>
    <w:next w:val="Normal"/>
    <w:link w:val="Heading1Char"/>
    <w:qFormat/>
    <w:rsid w:val="00C45439"/>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D9096A"/>
    <w:pPr>
      <w:tabs>
        <w:tab w:val="left" w:pos="426"/>
        <w:tab w:val="right" w:leader="dot" w:pos="9628"/>
      </w:tabs>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C45439"/>
    <w:pPr>
      <w:keepNext/>
      <w:spacing w:before="240"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C45439"/>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D9096A"/>
    <w:rPr>
      <w:rFonts w:ascii="Arial" w:eastAsia="Times New Roman" w:hAnsi="Arial" w:cs="Arial"/>
      <w:b/>
      <w:bCs/>
      <w:color w:val="C00000"/>
      <w:lang w:eastAsia="en-AU"/>
    </w:rPr>
  </w:style>
  <w:style w:type="character" w:customStyle="1" w:styleId="Heading3Char">
    <w:name w:val="Heading 3 Char"/>
    <w:basedOn w:val="DefaultParagraphFont"/>
    <w:link w:val="Heading3"/>
    <w:rsid w:val="00C45439"/>
    <w:rPr>
      <w:rFonts w:ascii="Arial" w:eastAsia="Batang" w:hAnsi="Arial" w:cs="Arial"/>
      <w:b/>
      <w:bCs/>
      <w:szCs w:val="26"/>
      <w:lang w:eastAsia="ko-KR"/>
    </w:rPr>
  </w:style>
  <w:style w:type="paragraph" w:styleId="ListParagraph">
    <w:name w:val="List Paragraph"/>
    <w:basedOn w:val="Normal"/>
    <w:uiPriority w:val="34"/>
    <w:qFormat/>
    <w:rsid w:val="00D9096A"/>
    <w:pPr>
      <w:numPr>
        <w:numId w:val="4"/>
      </w:numPr>
      <w:ind w:left="340" w:hanging="340"/>
    </w:pPr>
    <w:rPr>
      <w:rFonts w:cs="Arial"/>
      <w:sz w:val="20"/>
      <w:szCs w:val="20"/>
    </w:rPr>
  </w:style>
  <w:style w:type="table" w:styleId="TableGrid">
    <w:name w:val="Table Grid"/>
    <w:basedOn w:val="TableNormal"/>
    <w:uiPriority w:val="59"/>
    <w:rsid w:val="00C45439"/>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93CDC"/>
    <w:pPr>
      <w:tabs>
        <w:tab w:val="center" w:pos="4513"/>
        <w:tab w:val="right" w:pos="9026"/>
      </w:tabs>
      <w:spacing w:before="0"/>
    </w:pPr>
  </w:style>
  <w:style w:type="character" w:customStyle="1" w:styleId="HeaderChar">
    <w:name w:val="Header Char"/>
    <w:basedOn w:val="DefaultParagraphFont"/>
    <w:link w:val="Header"/>
    <w:uiPriority w:val="99"/>
    <w:rsid w:val="00593CDC"/>
    <w:rPr>
      <w:rFonts w:ascii="Arial" w:eastAsia="Batang" w:hAnsi="Arial" w:cs="Times New Roman"/>
      <w:szCs w:val="24"/>
      <w:lang w:eastAsia="ko-KR"/>
    </w:rPr>
  </w:style>
  <w:style w:type="paragraph" w:styleId="Footer">
    <w:name w:val="footer"/>
    <w:basedOn w:val="Normal"/>
    <w:link w:val="FooterChar"/>
    <w:unhideWhenUsed/>
    <w:rsid w:val="00593CDC"/>
    <w:pPr>
      <w:tabs>
        <w:tab w:val="center" w:pos="4513"/>
        <w:tab w:val="right" w:pos="9026"/>
      </w:tabs>
      <w:spacing w:before="0"/>
    </w:pPr>
  </w:style>
  <w:style w:type="character" w:customStyle="1" w:styleId="FooterChar">
    <w:name w:val="Footer Char"/>
    <w:basedOn w:val="DefaultParagraphFont"/>
    <w:link w:val="Footer"/>
    <w:rsid w:val="00593CDC"/>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3073F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3F2"/>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F00E1C"/>
    <w:rPr>
      <w:sz w:val="16"/>
      <w:szCs w:val="16"/>
    </w:rPr>
  </w:style>
  <w:style w:type="paragraph" w:styleId="CommentText">
    <w:name w:val="annotation text"/>
    <w:basedOn w:val="Normal"/>
    <w:link w:val="CommentTextChar"/>
    <w:uiPriority w:val="99"/>
    <w:semiHidden/>
    <w:unhideWhenUsed/>
    <w:rsid w:val="00F00E1C"/>
    <w:rPr>
      <w:sz w:val="20"/>
      <w:szCs w:val="20"/>
    </w:rPr>
  </w:style>
  <w:style w:type="character" w:customStyle="1" w:styleId="CommentTextChar">
    <w:name w:val="Comment Text Char"/>
    <w:basedOn w:val="DefaultParagraphFont"/>
    <w:link w:val="CommentText"/>
    <w:uiPriority w:val="99"/>
    <w:semiHidden/>
    <w:rsid w:val="00F00E1C"/>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F00E1C"/>
    <w:rPr>
      <w:b/>
      <w:bCs/>
    </w:rPr>
  </w:style>
  <w:style w:type="character" w:customStyle="1" w:styleId="CommentSubjectChar">
    <w:name w:val="Comment Subject Char"/>
    <w:basedOn w:val="CommentTextChar"/>
    <w:link w:val="CommentSubject"/>
    <w:uiPriority w:val="99"/>
    <w:semiHidden/>
    <w:rsid w:val="00F00E1C"/>
    <w:rPr>
      <w:rFonts w:ascii="Arial" w:eastAsia="Batang" w:hAnsi="Arial" w:cs="Times New Roman"/>
      <w:b/>
      <w:bCs/>
      <w:sz w:val="20"/>
      <w:szCs w:val="20"/>
      <w:lang w:eastAsia="ko-KR"/>
    </w:rPr>
  </w:style>
  <w:style w:type="table" w:customStyle="1" w:styleId="redtable">
    <w:name w:val="red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table" w:customStyle="1" w:styleId="greentable">
    <w:name w:val="green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table" w:customStyle="1" w:styleId="redyellowgreentable">
    <w:name w:val="red/yellow/green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A566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439"/>
    <w:pPr>
      <w:spacing w:before="120" w:after="0" w:line="240" w:lineRule="auto"/>
    </w:pPr>
    <w:rPr>
      <w:rFonts w:ascii="Arial" w:eastAsia="Batang" w:hAnsi="Arial" w:cs="Times New Roman"/>
      <w:szCs w:val="24"/>
      <w:lang w:eastAsia="ko-KR"/>
    </w:rPr>
  </w:style>
  <w:style w:type="paragraph" w:styleId="Heading1">
    <w:name w:val="heading 1"/>
    <w:aliases w:val="c"/>
    <w:basedOn w:val="Normal"/>
    <w:next w:val="Normal"/>
    <w:link w:val="Heading1Char"/>
    <w:qFormat/>
    <w:rsid w:val="00C45439"/>
    <w:pPr>
      <w:keepNext/>
      <w:spacing w:before="240" w:after="240"/>
      <w:outlineLvl w:val="0"/>
    </w:pPr>
    <w:rPr>
      <w:rFonts w:eastAsia="Times New Roman" w:cs="Arial"/>
      <w:b/>
      <w:bCs/>
      <w:kern w:val="32"/>
      <w:szCs w:val="32"/>
      <w:lang w:eastAsia="en-AU"/>
    </w:rPr>
  </w:style>
  <w:style w:type="paragraph" w:styleId="Heading2">
    <w:name w:val="heading 2"/>
    <w:basedOn w:val="Normal"/>
    <w:next w:val="Normal"/>
    <w:link w:val="Heading2Char"/>
    <w:qFormat/>
    <w:rsid w:val="00D9096A"/>
    <w:pPr>
      <w:tabs>
        <w:tab w:val="left" w:pos="426"/>
        <w:tab w:val="right" w:leader="dot" w:pos="9628"/>
      </w:tabs>
      <w:spacing w:before="240"/>
      <w:outlineLvl w:val="1"/>
    </w:pPr>
    <w:rPr>
      <w:rFonts w:eastAsia="Times New Roman" w:cs="Arial"/>
      <w:b/>
      <w:bCs/>
      <w:color w:val="C00000"/>
      <w:szCs w:val="22"/>
      <w:lang w:eastAsia="en-AU"/>
    </w:rPr>
  </w:style>
  <w:style w:type="paragraph" w:styleId="Heading3">
    <w:name w:val="heading 3"/>
    <w:basedOn w:val="Normal"/>
    <w:next w:val="Normal"/>
    <w:link w:val="Heading3Char"/>
    <w:qFormat/>
    <w:rsid w:val="00C45439"/>
    <w:pPr>
      <w:keepNext/>
      <w:spacing w:before="240"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 Char"/>
    <w:basedOn w:val="DefaultParagraphFont"/>
    <w:link w:val="Heading1"/>
    <w:rsid w:val="00C45439"/>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D9096A"/>
    <w:rPr>
      <w:rFonts w:ascii="Arial" w:eastAsia="Times New Roman" w:hAnsi="Arial" w:cs="Arial"/>
      <w:b/>
      <w:bCs/>
      <w:color w:val="C00000"/>
      <w:lang w:eastAsia="en-AU"/>
    </w:rPr>
  </w:style>
  <w:style w:type="character" w:customStyle="1" w:styleId="Heading3Char">
    <w:name w:val="Heading 3 Char"/>
    <w:basedOn w:val="DefaultParagraphFont"/>
    <w:link w:val="Heading3"/>
    <w:rsid w:val="00C45439"/>
    <w:rPr>
      <w:rFonts w:ascii="Arial" w:eastAsia="Batang" w:hAnsi="Arial" w:cs="Arial"/>
      <w:b/>
      <w:bCs/>
      <w:szCs w:val="26"/>
      <w:lang w:eastAsia="ko-KR"/>
    </w:rPr>
  </w:style>
  <w:style w:type="paragraph" w:styleId="ListParagraph">
    <w:name w:val="List Paragraph"/>
    <w:basedOn w:val="Normal"/>
    <w:uiPriority w:val="34"/>
    <w:qFormat/>
    <w:rsid w:val="00D9096A"/>
    <w:pPr>
      <w:numPr>
        <w:numId w:val="4"/>
      </w:numPr>
      <w:ind w:left="340" w:hanging="340"/>
    </w:pPr>
    <w:rPr>
      <w:rFonts w:cs="Arial"/>
      <w:sz w:val="20"/>
      <w:szCs w:val="20"/>
    </w:rPr>
  </w:style>
  <w:style w:type="table" w:styleId="TableGrid">
    <w:name w:val="Table Grid"/>
    <w:basedOn w:val="TableNormal"/>
    <w:uiPriority w:val="59"/>
    <w:rsid w:val="00C45439"/>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93CDC"/>
    <w:pPr>
      <w:tabs>
        <w:tab w:val="center" w:pos="4513"/>
        <w:tab w:val="right" w:pos="9026"/>
      </w:tabs>
      <w:spacing w:before="0"/>
    </w:pPr>
  </w:style>
  <w:style w:type="character" w:customStyle="1" w:styleId="HeaderChar">
    <w:name w:val="Header Char"/>
    <w:basedOn w:val="DefaultParagraphFont"/>
    <w:link w:val="Header"/>
    <w:uiPriority w:val="99"/>
    <w:rsid w:val="00593CDC"/>
    <w:rPr>
      <w:rFonts w:ascii="Arial" w:eastAsia="Batang" w:hAnsi="Arial" w:cs="Times New Roman"/>
      <w:szCs w:val="24"/>
      <w:lang w:eastAsia="ko-KR"/>
    </w:rPr>
  </w:style>
  <w:style w:type="paragraph" w:styleId="Footer">
    <w:name w:val="footer"/>
    <w:basedOn w:val="Normal"/>
    <w:link w:val="FooterChar"/>
    <w:unhideWhenUsed/>
    <w:rsid w:val="00593CDC"/>
    <w:pPr>
      <w:tabs>
        <w:tab w:val="center" w:pos="4513"/>
        <w:tab w:val="right" w:pos="9026"/>
      </w:tabs>
      <w:spacing w:before="0"/>
    </w:pPr>
  </w:style>
  <w:style w:type="character" w:customStyle="1" w:styleId="FooterChar">
    <w:name w:val="Footer Char"/>
    <w:basedOn w:val="DefaultParagraphFont"/>
    <w:link w:val="Footer"/>
    <w:rsid w:val="00593CDC"/>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3073F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3F2"/>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F00E1C"/>
    <w:rPr>
      <w:sz w:val="16"/>
      <w:szCs w:val="16"/>
    </w:rPr>
  </w:style>
  <w:style w:type="paragraph" w:styleId="CommentText">
    <w:name w:val="annotation text"/>
    <w:basedOn w:val="Normal"/>
    <w:link w:val="CommentTextChar"/>
    <w:uiPriority w:val="99"/>
    <w:semiHidden/>
    <w:unhideWhenUsed/>
    <w:rsid w:val="00F00E1C"/>
    <w:rPr>
      <w:sz w:val="20"/>
      <w:szCs w:val="20"/>
    </w:rPr>
  </w:style>
  <w:style w:type="character" w:customStyle="1" w:styleId="CommentTextChar">
    <w:name w:val="Comment Text Char"/>
    <w:basedOn w:val="DefaultParagraphFont"/>
    <w:link w:val="CommentText"/>
    <w:uiPriority w:val="99"/>
    <w:semiHidden/>
    <w:rsid w:val="00F00E1C"/>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F00E1C"/>
    <w:rPr>
      <w:b/>
      <w:bCs/>
    </w:rPr>
  </w:style>
  <w:style w:type="character" w:customStyle="1" w:styleId="CommentSubjectChar">
    <w:name w:val="Comment Subject Char"/>
    <w:basedOn w:val="CommentTextChar"/>
    <w:link w:val="CommentSubject"/>
    <w:uiPriority w:val="99"/>
    <w:semiHidden/>
    <w:rsid w:val="00F00E1C"/>
    <w:rPr>
      <w:rFonts w:ascii="Arial" w:eastAsia="Batang" w:hAnsi="Arial" w:cs="Times New Roman"/>
      <w:b/>
      <w:bCs/>
      <w:sz w:val="20"/>
      <w:szCs w:val="20"/>
      <w:lang w:eastAsia="ko-KR"/>
    </w:rPr>
  </w:style>
  <w:style w:type="table" w:customStyle="1" w:styleId="redtable">
    <w:name w:val="red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table" w:customStyle="1" w:styleId="greentable">
    <w:name w:val="green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table" w:customStyle="1" w:styleId="redyellowgreentable">
    <w:name w:val="red/yellow/green table"/>
    <w:basedOn w:val="TableNormal"/>
    <w:uiPriority w:val="99"/>
    <w:rsid w:val="007B6177"/>
    <w:pPr>
      <w:spacing w:after="0" w:line="240" w:lineRule="auto"/>
    </w:pPr>
    <w:tblPr>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A566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60/Forestry-Operations-General-Guide.docx" TargetMode="External"/><Relationship Id="rId13" Type="http://schemas.openxmlformats.org/officeDocument/2006/relationships/hyperlink" Target="http://www.safeworkaustralia.gov.au/sites/SWA/about/Publications/Documents/860/Guide-Log-Landings.docx" TargetMode="External"/><Relationship Id="rId18" Type="http://schemas.openxmlformats.org/officeDocument/2006/relationships/hyperlink" Target="http://www.safeworkaustralia.gov.au/sites/SWA/about/Publications/Documents/860/Guide-Log-Landings.doc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afeworkaustralia.gov.au/sites/SWA/about/Publications/Documents/860/Guide-Timber-Harvesting.docx" TargetMode="External"/><Relationship Id="rId17" Type="http://schemas.openxmlformats.org/officeDocument/2006/relationships/hyperlink" Target="http://www.safeworkaustralia.gov.au/sites/SWA/about/Publications/Documents/860/Guide-Other-General-Hazards-Forestry-Operations.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afeworkaustralia.gov.au/sites/SWA/about/Publications/Documents/860/Guide-Plant-Equipment.docx" TargetMode="External"/><Relationship Id="rId20" Type="http://schemas.openxmlformats.org/officeDocument/2006/relationships/hyperlink" Target="http://www.swa.gov.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60/Guide-Coupe-Harvesting-Site-Access.doc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feworkaustralia.gov.au/sites/SWA/about/Publications/Documents/860/Guide-Loading-Transporting-Unloading-Logs.docx" TargetMode="External"/><Relationship Id="rId23" Type="http://schemas.openxmlformats.org/officeDocument/2006/relationships/header" Target="header2.xml"/><Relationship Id="rId10" Type="http://schemas.openxmlformats.org/officeDocument/2006/relationships/hyperlink" Target="http://www.safeworkaustralia.gov.au/sites/SWA/about/Publications/Documents/842/Managing-risks-cable-logging.pdf" TargetMode="External"/><Relationship Id="rId19" Type="http://schemas.openxmlformats.org/officeDocument/2006/relationships/hyperlink" Target="http://www.safeworkaustralia.gov.au/sites/SWA/about/Publications/Documents/860/Forestry-Operations-General-Guide.docx" TargetMode="External"/><Relationship Id="rId4" Type="http://schemas.openxmlformats.org/officeDocument/2006/relationships/settings" Target="settings.xml"/><Relationship Id="rId9" Type="http://schemas.openxmlformats.org/officeDocument/2006/relationships/hyperlink" Target="http://www.safeworkaustralia.gov.au/sites/SWA/about/Publications/Documents/844/Growing-managing-forests.pdf" TargetMode="External"/><Relationship Id="rId14" Type="http://schemas.openxmlformats.org/officeDocument/2006/relationships/hyperlink" Target="http://www.safeworkaustralia.gov.au/sites/SWA/about/Publications/Documents/860/Guide-Log-Extraction.docx"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F088172B.dotm</Template>
  <TotalTime>126</TotalTime>
  <Pages>3</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Forestry: Guide to managing risks of infield processing of forest products</vt:lpstr>
    </vt:vector>
  </TitlesOfParts>
  <Company>Australian Government</Company>
  <LinksUpToDate>false</LinksUpToDate>
  <CharactersWithSpaces>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Guide to managing risks of infield processing of forest products</dc:title>
  <dc:creator/>
  <cp:lastModifiedBy>SWA</cp:lastModifiedBy>
  <cp:revision>28</cp:revision>
  <cp:lastPrinted>2014-04-17T01:35:00Z</cp:lastPrinted>
  <dcterms:created xsi:type="dcterms:W3CDTF">2014-06-10T04:28:00Z</dcterms:created>
  <dcterms:modified xsi:type="dcterms:W3CDTF">2014-09-15T06:09:00Z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