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1581B" w:rsidRPr="0076348E" w:rsidRDefault="00600374" w:rsidP="00FE6D91">
      <w:pPr>
        <w:spacing w:before="100" w:beforeAutospacing="1" w:after="240"/>
        <w:jc w:val="center"/>
        <w:rPr>
          <w:b/>
          <w:color w:val="C00000"/>
          <w:sz w:val="44"/>
          <w:szCs w:val="44"/>
          <w:lang w:eastAsia="en-AU"/>
        </w:rPr>
      </w:pPr>
      <w:bookmarkStart w:id="0" w:name="_GoBack"/>
      <w:bookmarkEnd w:id="0"/>
      <w:r w:rsidRPr="0076348E">
        <w:rPr>
          <w:b/>
          <w:color w:val="C00000"/>
          <w:sz w:val="44"/>
          <w:szCs w:val="44"/>
          <w:lang w:eastAsia="en-AU"/>
        </w:rPr>
        <w:t>FORESTRY</w:t>
      </w:r>
      <w:r w:rsidR="00C028D7" w:rsidRPr="0076348E">
        <w:rPr>
          <w:b/>
          <w:color w:val="C00000"/>
          <w:sz w:val="44"/>
          <w:szCs w:val="44"/>
          <w:lang w:eastAsia="en-AU"/>
        </w:rPr>
        <w:t>:</w:t>
      </w:r>
      <w:r w:rsidR="004A7F8A" w:rsidRPr="0076348E">
        <w:rPr>
          <w:b/>
          <w:color w:val="C00000"/>
          <w:sz w:val="44"/>
          <w:szCs w:val="44"/>
          <w:lang w:eastAsia="en-AU"/>
        </w:rPr>
        <w:t xml:space="preserve"> </w:t>
      </w:r>
      <w:r w:rsidR="0071581B" w:rsidRPr="0076348E">
        <w:rPr>
          <w:b/>
          <w:color w:val="C00000"/>
          <w:sz w:val="44"/>
          <w:szCs w:val="44"/>
          <w:lang w:eastAsia="en-AU"/>
        </w:rPr>
        <w:t>GUIDE</w:t>
      </w:r>
      <w:r w:rsidR="00C028D7" w:rsidRPr="0076348E">
        <w:rPr>
          <w:b/>
          <w:color w:val="C00000"/>
          <w:sz w:val="44"/>
          <w:szCs w:val="44"/>
          <w:lang w:eastAsia="en-AU"/>
        </w:rPr>
        <w:t xml:space="preserve"> TO MANAGING </w:t>
      </w:r>
      <w:r w:rsidR="00B6563D" w:rsidRPr="0076348E">
        <w:rPr>
          <w:b/>
          <w:color w:val="C00000"/>
          <w:sz w:val="44"/>
          <w:szCs w:val="44"/>
          <w:lang w:eastAsia="en-AU"/>
        </w:rPr>
        <w:br/>
      </w:r>
      <w:r w:rsidR="00C028D7" w:rsidRPr="0076348E">
        <w:rPr>
          <w:b/>
          <w:color w:val="C00000"/>
          <w:sz w:val="44"/>
          <w:szCs w:val="44"/>
          <w:lang w:eastAsia="en-AU"/>
        </w:rPr>
        <w:t xml:space="preserve">RISKS OF </w:t>
      </w:r>
      <w:r w:rsidR="0071581B" w:rsidRPr="0076348E">
        <w:rPr>
          <w:b/>
          <w:color w:val="C00000"/>
          <w:sz w:val="44"/>
          <w:szCs w:val="44"/>
          <w:lang w:eastAsia="en-AU"/>
        </w:rPr>
        <w:t>LOG LANDINGS</w:t>
      </w:r>
    </w:p>
    <w:p w:rsidR="00C857A7" w:rsidRDefault="0071581B" w:rsidP="0076348E">
      <w:pPr>
        <w:rPr>
          <w:rFonts w:cs="Arial"/>
        </w:rPr>
      </w:pPr>
      <w:r w:rsidRPr="00833B6E">
        <w:rPr>
          <w:w w:val="105"/>
        </w:rPr>
        <w:t xml:space="preserve">This Guide </w:t>
      </w:r>
      <w:r w:rsidR="00600374">
        <w:rPr>
          <w:w w:val="105"/>
        </w:rPr>
        <w:t>includes</w:t>
      </w:r>
      <w:r w:rsidR="00600374" w:rsidRPr="00833B6E">
        <w:rPr>
          <w:w w:val="105"/>
        </w:rPr>
        <w:t xml:space="preserve"> </w:t>
      </w:r>
      <w:r w:rsidRPr="00833B6E">
        <w:rPr>
          <w:w w:val="105"/>
        </w:rPr>
        <w:t xml:space="preserve">information on the potential hazards of </w:t>
      </w:r>
      <w:r>
        <w:rPr>
          <w:w w:val="105"/>
        </w:rPr>
        <w:t xml:space="preserve">log landings </w:t>
      </w:r>
      <w:r w:rsidRPr="00833B6E">
        <w:rPr>
          <w:w w:val="105"/>
        </w:rPr>
        <w:t>and practical examples of ways you can control the risks associated with them.</w:t>
      </w:r>
      <w:r w:rsidR="00C857A7">
        <w:rPr>
          <w:w w:val="105"/>
        </w:rPr>
        <w:t xml:space="preserve"> </w:t>
      </w:r>
      <w:r w:rsidRPr="00C857A7">
        <w:rPr>
          <w:rFonts w:cs="Arial"/>
        </w:rPr>
        <w:t xml:space="preserve">It </w:t>
      </w:r>
      <w:r w:rsidR="00A246E6" w:rsidRPr="00C857A7">
        <w:rPr>
          <w:rFonts w:cs="Arial"/>
        </w:rPr>
        <w:t xml:space="preserve">is part of a </w:t>
      </w:r>
      <w:r w:rsidR="00A246E6" w:rsidRPr="005E6015">
        <w:rPr>
          <w:rFonts w:cs="Arial"/>
        </w:rPr>
        <w:t>series of forestry industry material</w:t>
      </w:r>
      <w:r w:rsidR="00A246E6" w:rsidRPr="00C857A7">
        <w:rPr>
          <w:rFonts w:cs="Arial"/>
        </w:rPr>
        <w:t xml:space="preserve"> and </w:t>
      </w:r>
      <w:r w:rsidRPr="00C857A7">
        <w:rPr>
          <w:rFonts w:cs="Arial"/>
        </w:rPr>
        <w:t xml:space="preserve">should be read and used together with the </w:t>
      </w:r>
      <w:hyperlink r:id="rId9" w:history="1">
        <w:r w:rsidR="00AF5285" w:rsidRPr="00AA78E8">
          <w:rPr>
            <w:rStyle w:val="Hyperlink"/>
            <w:rFonts w:cs="Arial"/>
            <w:i/>
          </w:rPr>
          <w:t>G</w:t>
        </w:r>
        <w:r w:rsidR="00D64EB0" w:rsidRPr="00AA78E8">
          <w:rPr>
            <w:rStyle w:val="Hyperlink"/>
            <w:rFonts w:cs="Arial"/>
            <w:i/>
          </w:rPr>
          <w:t>eneral g</w:t>
        </w:r>
        <w:r w:rsidR="00E16474" w:rsidRPr="00AA78E8">
          <w:rPr>
            <w:rStyle w:val="Hyperlink"/>
            <w:rFonts w:cs="Arial"/>
            <w:i/>
          </w:rPr>
          <w:t>uide</w:t>
        </w:r>
        <w:r w:rsidR="00AF5285" w:rsidRPr="00AA78E8">
          <w:rPr>
            <w:rStyle w:val="Hyperlink"/>
            <w:rFonts w:cs="Arial"/>
            <w:i/>
          </w:rPr>
          <w:t xml:space="preserve"> for </w:t>
        </w:r>
        <w:r w:rsidR="003904FF" w:rsidRPr="00AA78E8">
          <w:rPr>
            <w:rStyle w:val="Hyperlink"/>
            <w:rFonts w:cs="Arial"/>
            <w:i/>
          </w:rPr>
          <w:t>m</w:t>
        </w:r>
        <w:r w:rsidRPr="00AA78E8">
          <w:rPr>
            <w:rStyle w:val="Hyperlink"/>
            <w:rFonts w:cs="Arial"/>
            <w:i/>
          </w:rPr>
          <w:t>anaging risks in forestry operations</w:t>
        </w:r>
      </w:hyperlink>
      <w:r w:rsidR="00A246E6" w:rsidRPr="00C857A7">
        <w:rPr>
          <w:rFonts w:cs="Arial"/>
        </w:rPr>
        <w:t xml:space="preserve"> and specific guidance material for: </w:t>
      </w:r>
    </w:p>
    <w:p w:rsidR="006C1FB2" w:rsidRPr="0076348E" w:rsidRDefault="0069724A" w:rsidP="0076348E">
      <w:pPr>
        <w:pStyle w:val="ListParagraph"/>
      </w:pPr>
      <w:hyperlink r:id="rId10" w:history="1">
        <w:r w:rsidR="00C028D7" w:rsidRPr="005E6015">
          <w:rPr>
            <w:rStyle w:val="Hyperlink"/>
          </w:rPr>
          <w:t xml:space="preserve">growing </w:t>
        </w:r>
        <w:r w:rsidR="006C1FB2" w:rsidRPr="005E6015">
          <w:rPr>
            <w:rStyle w:val="Hyperlink"/>
          </w:rPr>
          <w:t xml:space="preserve">and </w:t>
        </w:r>
        <w:r w:rsidR="00C028D7" w:rsidRPr="005E6015">
          <w:rPr>
            <w:rStyle w:val="Hyperlink"/>
          </w:rPr>
          <w:t>managing forests</w:t>
        </w:r>
      </w:hyperlink>
    </w:p>
    <w:p w:rsidR="0071581B" w:rsidRPr="0076348E" w:rsidRDefault="0069724A" w:rsidP="0076348E">
      <w:pPr>
        <w:pStyle w:val="ListParagraph"/>
      </w:pPr>
      <w:hyperlink r:id="rId11" w:history="1">
        <w:r w:rsidR="00C028D7" w:rsidRPr="005E6015">
          <w:rPr>
            <w:rStyle w:val="Hyperlink"/>
          </w:rPr>
          <w:t>cable logging</w:t>
        </w:r>
      </w:hyperlink>
    </w:p>
    <w:p w:rsidR="0071581B" w:rsidRPr="0076348E" w:rsidRDefault="0069724A" w:rsidP="0076348E">
      <w:pPr>
        <w:pStyle w:val="ListParagraph"/>
      </w:pPr>
      <w:hyperlink r:id="rId12" w:history="1">
        <w:r w:rsidR="00C028D7" w:rsidRPr="005E6015">
          <w:rPr>
            <w:rStyle w:val="Hyperlink"/>
          </w:rPr>
          <w:t xml:space="preserve">coupe </w:t>
        </w:r>
        <w:r w:rsidR="0071581B" w:rsidRPr="005E6015">
          <w:rPr>
            <w:rStyle w:val="Hyperlink"/>
          </w:rPr>
          <w:t xml:space="preserve">and </w:t>
        </w:r>
        <w:r w:rsidR="00C028D7" w:rsidRPr="005E6015">
          <w:rPr>
            <w:rStyle w:val="Hyperlink"/>
          </w:rPr>
          <w:t xml:space="preserve">harvesting site access </w:t>
        </w:r>
        <w:r w:rsidR="0071581B" w:rsidRPr="005E6015">
          <w:rPr>
            <w:rStyle w:val="Hyperlink"/>
          </w:rPr>
          <w:t xml:space="preserve">and </w:t>
        </w:r>
        <w:r w:rsidR="00C028D7" w:rsidRPr="005E6015">
          <w:rPr>
            <w:rStyle w:val="Hyperlink"/>
          </w:rPr>
          <w:t>preparation</w:t>
        </w:r>
      </w:hyperlink>
    </w:p>
    <w:p w:rsidR="0071581B" w:rsidRPr="0076348E" w:rsidRDefault="0069724A" w:rsidP="0076348E">
      <w:pPr>
        <w:pStyle w:val="ListParagraph"/>
      </w:pPr>
      <w:hyperlink r:id="rId13" w:history="1">
        <w:r w:rsidR="00C028D7" w:rsidRPr="005E6015">
          <w:rPr>
            <w:rStyle w:val="Hyperlink"/>
          </w:rPr>
          <w:t>timber harvesting</w:t>
        </w:r>
      </w:hyperlink>
    </w:p>
    <w:p w:rsidR="0071581B" w:rsidRPr="0076348E" w:rsidRDefault="0069724A" w:rsidP="0076348E">
      <w:pPr>
        <w:pStyle w:val="ListParagraph"/>
      </w:pPr>
      <w:hyperlink r:id="rId14" w:history="1">
        <w:r w:rsidR="00C028D7" w:rsidRPr="005E6015">
          <w:rPr>
            <w:rStyle w:val="Hyperlink"/>
          </w:rPr>
          <w:t>log extraction</w:t>
        </w:r>
      </w:hyperlink>
    </w:p>
    <w:p w:rsidR="0071581B" w:rsidRPr="0076348E" w:rsidRDefault="0069724A" w:rsidP="0076348E">
      <w:pPr>
        <w:pStyle w:val="ListParagraph"/>
      </w:pPr>
      <w:hyperlink r:id="rId15" w:history="1">
        <w:r w:rsidR="00C028D7" w:rsidRPr="005E6015">
          <w:rPr>
            <w:rStyle w:val="Hyperlink"/>
          </w:rPr>
          <w:t>loading</w:t>
        </w:r>
        <w:r w:rsidR="0071581B" w:rsidRPr="005E6015">
          <w:rPr>
            <w:rStyle w:val="Hyperlink"/>
          </w:rPr>
          <w:t xml:space="preserve">, </w:t>
        </w:r>
        <w:r w:rsidR="00C028D7" w:rsidRPr="005E6015">
          <w:rPr>
            <w:rStyle w:val="Hyperlink"/>
          </w:rPr>
          <w:t xml:space="preserve">transporting </w:t>
        </w:r>
        <w:r w:rsidR="0071581B" w:rsidRPr="005E6015">
          <w:rPr>
            <w:rStyle w:val="Hyperlink"/>
          </w:rPr>
          <w:t xml:space="preserve">and </w:t>
        </w:r>
        <w:r w:rsidR="00C028D7" w:rsidRPr="005E6015">
          <w:rPr>
            <w:rStyle w:val="Hyperlink"/>
          </w:rPr>
          <w:t>unloading logs</w:t>
        </w:r>
      </w:hyperlink>
    </w:p>
    <w:p w:rsidR="0071581B" w:rsidRPr="0076348E" w:rsidRDefault="0069724A" w:rsidP="0076348E">
      <w:pPr>
        <w:pStyle w:val="ListParagraph"/>
      </w:pPr>
      <w:hyperlink r:id="rId16" w:history="1">
        <w:r w:rsidR="00C028D7" w:rsidRPr="005E6015">
          <w:rPr>
            <w:rStyle w:val="Hyperlink"/>
          </w:rPr>
          <w:t xml:space="preserve">infield processing </w:t>
        </w:r>
        <w:r w:rsidR="0071581B" w:rsidRPr="005E6015">
          <w:rPr>
            <w:rStyle w:val="Hyperlink"/>
          </w:rPr>
          <w:t xml:space="preserve">of </w:t>
        </w:r>
        <w:r w:rsidR="00C028D7" w:rsidRPr="005E6015">
          <w:rPr>
            <w:rStyle w:val="Hyperlink"/>
          </w:rPr>
          <w:t>forest products</w:t>
        </w:r>
      </w:hyperlink>
    </w:p>
    <w:p w:rsidR="0071581B" w:rsidRPr="0076348E" w:rsidRDefault="0069724A" w:rsidP="0076348E">
      <w:pPr>
        <w:pStyle w:val="ListParagraph"/>
      </w:pPr>
      <w:hyperlink r:id="rId17" w:history="1">
        <w:r w:rsidR="00C028D7" w:rsidRPr="005E6015">
          <w:rPr>
            <w:rStyle w:val="Hyperlink"/>
          </w:rPr>
          <w:t xml:space="preserve">plant </w:t>
        </w:r>
        <w:r w:rsidR="0071581B" w:rsidRPr="005E6015">
          <w:rPr>
            <w:rStyle w:val="Hyperlink"/>
          </w:rPr>
          <w:t xml:space="preserve">and </w:t>
        </w:r>
        <w:r w:rsidR="00C028D7" w:rsidRPr="005E6015">
          <w:rPr>
            <w:rStyle w:val="Hyperlink"/>
          </w:rPr>
          <w:t xml:space="preserve">equipment </w:t>
        </w:r>
        <w:r w:rsidR="0071581B" w:rsidRPr="005E6015">
          <w:rPr>
            <w:rStyle w:val="Hyperlink"/>
          </w:rPr>
          <w:t xml:space="preserve">for </w:t>
        </w:r>
        <w:r w:rsidR="00C028D7" w:rsidRPr="005E6015">
          <w:rPr>
            <w:rStyle w:val="Hyperlink"/>
          </w:rPr>
          <w:t>forestry operations</w:t>
        </w:r>
      </w:hyperlink>
      <w:r w:rsidR="0071581B" w:rsidRPr="0076348E">
        <w:t>, and</w:t>
      </w:r>
    </w:p>
    <w:p w:rsidR="0071581B" w:rsidRPr="0076348E" w:rsidRDefault="0069724A" w:rsidP="0076348E">
      <w:pPr>
        <w:pStyle w:val="ListParagraph"/>
      </w:pPr>
      <w:hyperlink r:id="rId18" w:history="1">
        <w:r w:rsidR="00AA3783" w:rsidRPr="005E6015">
          <w:rPr>
            <w:rStyle w:val="Hyperlink"/>
          </w:rPr>
          <w:t>general</w:t>
        </w:r>
        <w:r w:rsidR="00C028D7" w:rsidRPr="005E6015">
          <w:rPr>
            <w:rStyle w:val="Hyperlink"/>
          </w:rPr>
          <w:t xml:space="preserve"> hazards </w:t>
        </w:r>
        <w:r w:rsidR="0071581B" w:rsidRPr="005E6015">
          <w:rPr>
            <w:rStyle w:val="Hyperlink"/>
          </w:rPr>
          <w:t xml:space="preserve">in </w:t>
        </w:r>
        <w:r w:rsidR="00C028D7" w:rsidRPr="005E6015">
          <w:rPr>
            <w:rStyle w:val="Hyperlink"/>
          </w:rPr>
          <w:t>forestry operations</w:t>
        </w:r>
      </w:hyperlink>
      <w:r w:rsidR="0071581B" w:rsidRPr="0076348E">
        <w:t>.</w:t>
      </w:r>
    </w:p>
    <w:p w:rsidR="0071581B" w:rsidRPr="00833B6E" w:rsidRDefault="00D36A88" w:rsidP="0076348E">
      <w:pPr>
        <w:rPr>
          <w:w w:val="105"/>
        </w:rPr>
      </w:pPr>
      <w:r w:rsidRPr="00192478">
        <w:rPr>
          <w:w w:val="105"/>
        </w:rPr>
        <w:t xml:space="preserve">These </w:t>
      </w:r>
      <w:r w:rsidRPr="00C01546">
        <w:rPr>
          <w:w w:val="105"/>
        </w:rPr>
        <w:t>guides</w:t>
      </w:r>
      <w:r w:rsidRPr="00192478">
        <w:rPr>
          <w:w w:val="105"/>
        </w:rPr>
        <w:t xml:space="preserve"> are available on the Safe Work Australia website</w:t>
      </w:r>
      <w:r>
        <w:rPr>
          <w:w w:val="105"/>
        </w:rPr>
        <w:t>.</w:t>
      </w:r>
    </w:p>
    <w:p w:rsidR="0071581B" w:rsidRPr="0076348E" w:rsidRDefault="0071581B" w:rsidP="0076348E">
      <w:pPr>
        <w:pStyle w:val="Heading2"/>
      </w:pPr>
      <w:bookmarkStart w:id="1" w:name="_Toc383692161"/>
      <w:r w:rsidRPr="0076348E">
        <w:t>Log landings</w:t>
      </w:r>
      <w:bookmarkEnd w:id="1"/>
    </w:p>
    <w:p w:rsidR="0071581B" w:rsidRPr="007A7558" w:rsidRDefault="0071581B" w:rsidP="0076348E">
      <w:r w:rsidRPr="007A7558">
        <w:t xml:space="preserve">The log landing brings together ground workers and machinery operations and creates risks which should be carefully managed. Initial planning for the log landing and workflow will minimise problems—see </w:t>
      </w:r>
      <w:r>
        <w:t xml:space="preserve">the </w:t>
      </w:r>
      <w:hyperlink r:id="rId19" w:history="1">
        <w:r w:rsidR="000B0CCB" w:rsidRPr="000B0CCB">
          <w:rPr>
            <w:rStyle w:val="Hyperlink"/>
            <w:i/>
          </w:rPr>
          <w:t>Guide to managing risks of c</w:t>
        </w:r>
        <w:r w:rsidR="00D64EB0" w:rsidRPr="000B0CCB">
          <w:rPr>
            <w:rStyle w:val="Hyperlink"/>
            <w:i/>
          </w:rPr>
          <w:t>oupe and harvesting site a</w:t>
        </w:r>
        <w:r w:rsidRPr="000B0CCB">
          <w:rPr>
            <w:rStyle w:val="Hyperlink"/>
            <w:i/>
          </w:rPr>
          <w:t xml:space="preserve">ccess and </w:t>
        </w:r>
        <w:r w:rsidR="00D64EB0" w:rsidRPr="000B0CCB">
          <w:rPr>
            <w:rStyle w:val="Hyperlink"/>
            <w:i/>
          </w:rPr>
          <w:t>p</w:t>
        </w:r>
        <w:r w:rsidRPr="000B0CCB">
          <w:rPr>
            <w:rStyle w:val="Hyperlink"/>
            <w:i/>
          </w:rPr>
          <w:t>reparation</w:t>
        </w:r>
      </w:hyperlink>
      <w:r w:rsidRPr="007A7558">
        <w:t>. For example, the landing design should have road widths for the type of trucks and volume of traffic which need access.</w:t>
      </w:r>
    </w:p>
    <w:p w:rsidR="003A4AB8" w:rsidRDefault="003A4AB8" w:rsidP="0076348E">
      <w:r>
        <w:t>Figure 1 illustrates a typical landing design for cable harvesting operations.</w:t>
      </w:r>
    </w:p>
    <w:p w:rsidR="003A4AB8" w:rsidRDefault="003A4AB8" w:rsidP="00BC5DA7">
      <w:pPr>
        <w:spacing w:after="120"/>
      </w:pPr>
      <w:r w:rsidRPr="003A4AB8">
        <w:rPr>
          <w:b/>
        </w:rPr>
        <w:t>Figure 1</w:t>
      </w:r>
      <w:r>
        <w:t xml:space="preserve"> Landing design</w:t>
      </w:r>
    </w:p>
    <w:p w:rsidR="0076348E" w:rsidRDefault="002679DF" w:rsidP="0076348E">
      <w:r>
        <w:rPr>
          <w:noProof/>
          <w:lang w:eastAsia="en-AU"/>
        </w:rPr>
        <w:drawing>
          <wp:inline distT="0" distB="0" distL="0" distR="0">
            <wp:extent cx="4712208" cy="3105912"/>
            <wp:effectExtent l="0" t="0" r="0" b="0"/>
            <wp:docPr id="2" name="Picture 2" descr="Figure 1 Landing design." title="Figure 1 Landing desig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ndingdesign-03.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712208" cy="3105912"/>
                    </a:xfrm>
                    <a:prstGeom prst="rect">
                      <a:avLst/>
                    </a:prstGeom>
                  </pic:spPr>
                </pic:pic>
              </a:graphicData>
            </a:graphic>
          </wp:inline>
        </w:drawing>
      </w:r>
    </w:p>
    <w:p w:rsidR="0076348E" w:rsidRDefault="0076348E">
      <w:pPr>
        <w:spacing w:before="0" w:after="200" w:line="276" w:lineRule="auto"/>
      </w:pPr>
      <w:r>
        <w:br w:type="page"/>
      </w:r>
    </w:p>
    <w:p w:rsidR="0071581B" w:rsidRPr="0076348E" w:rsidRDefault="0071581B" w:rsidP="0076348E">
      <w:r w:rsidRPr="0076348E">
        <w:lastRenderedPageBreak/>
        <w:t>Setting up the landing can increase productivity and minimises risks by using practices like stacking the most commonly loaded product closest to the loader. Protecting other workers like log graders can be done by leaving non-hazardous trees on the high side of the measuring area which protects the work area.</w:t>
      </w:r>
    </w:p>
    <w:p w:rsidR="0071581B" w:rsidRPr="007A7558" w:rsidRDefault="0071581B" w:rsidP="0076348E">
      <w:r w:rsidRPr="007A7558">
        <w:rPr>
          <w:lang w:eastAsia="en-AU"/>
        </w:rPr>
        <w:t>O</w:t>
      </w:r>
      <w:r w:rsidRPr="007A7558">
        <w:t>perators entering the area should be aware of and consider others present in the area. For example, safe systems of work should be implemented to ensure:</w:t>
      </w:r>
    </w:p>
    <w:p w:rsidR="0071581B" w:rsidRPr="0076348E" w:rsidRDefault="0071581B" w:rsidP="0076348E">
      <w:pPr>
        <w:pStyle w:val="ListParagraph"/>
      </w:pPr>
      <w:r w:rsidRPr="0076348E">
        <w:t>snigging machinery does not enter the landing area until it is safe to do so e.g. when they are signalled to enter the area by the authorised person like the landing attendant, processor operator or loader operator</w:t>
      </w:r>
    </w:p>
    <w:p w:rsidR="0071581B" w:rsidRPr="0076348E" w:rsidRDefault="0071581B" w:rsidP="0076348E">
      <w:pPr>
        <w:pStyle w:val="ListParagraph"/>
      </w:pPr>
      <w:r w:rsidRPr="0076348E">
        <w:t>operators of snigging machinery communicate with landing workers, reduce speed when entering the landing and ensure logs are fully dropped before unhooking</w:t>
      </w:r>
    </w:p>
    <w:p w:rsidR="0071581B" w:rsidRPr="0076348E" w:rsidRDefault="0071581B" w:rsidP="0076348E">
      <w:pPr>
        <w:pStyle w:val="ListParagraph"/>
      </w:pPr>
      <w:r w:rsidRPr="0076348E">
        <w:t>logs are only approached after they are completely landed and, if necessary, stabilised</w:t>
      </w:r>
    </w:p>
    <w:p w:rsidR="0071581B" w:rsidRPr="0076348E" w:rsidRDefault="0071581B" w:rsidP="0076348E">
      <w:pPr>
        <w:pStyle w:val="ListParagraph"/>
      </w:pPr>
      <w:r w:rsidRPr="0076348E">
        <w:t>machinery operators do not carry logs over ground crew</w:t>
      </w:r>
    </w:p>
    <w:p w:rsidR="0071581B" w:rsidRPr="0076348E" w:rsidRDefault="0071581B" w:rsidP="0076348E">
      <w:pPr>
        <w:pStyle w:val="ListParagraph"/>
      </w:pPr>
      <w:r w:rsidRPr="0076348E">
        <w:t>workers are not exposed to hazards from moving logs by working in front of, climbing onto or working on logs placed in log stacks or dumps, and</w:t>
      </w:r>
    </w:p>
    <w:p w:rsidR="0071581B" w:rsidRPr="0076348E" w:rsidRDefault="0071581B" w:rsidP="0076348E">
      <w:pPr>
        <w:pStyle w:val="ListParagraph"/>
      </w:pPr>
      <w:r w:rsidRPr="0076348E">
        <w:t>chainsaws are not used to cut logs on a log truck.</w:t>
      </w:r>
    </w:p>
    <w:p w:rsidR="0071581B" w:rsidRPr="007A7558" w:rsidRDefault="0071581B" w:rsidP="0076348E">
      <w:r w:rsidRPr="007A7558">
        <w:t>Logs should be stacked on firm, level ground or a sound base. Log stacks should be kept stable and should not exceed the safe working height for the log handling equipment.</w:t>
      </w:r>
    </w:p>
    <w:p w:rsidR="0071581B" w:rsidRPr="007A7558" w:rsidRDefault="0071581B" w:rsidP="0076348E">
      <w:r w:rsidRPr="007A7558">
        <w:t>Where needed, use bearer logs under log stacks to avoid rocks or other contamination being loaded onto log trucks and becoming a potential danger to road users.</w:t>
      </w:r>
    </w:p>
    <w:p w:rsidR="0071581B" w:rsidRPr="007A7558" w:rsidRDefault="0071581B" w:rsidP="0076348E">
      <w:pPr>
        <w:pStyle w:val="Heading2"/>
        <w:rPr>
          <w:iCs/>
        </w:rPr>
      </w:pPr>
      <w:bookmarkStart w:id="2" w:name="_Toc383692162"/>
      <w:r w:rsidRPr="007A7558">
        <w:t>Log preparation</w:t>
      </w:r>
      <w:bookmarkEnd w:id="2"/>
    </w:p>
    <w:p w:rsidR="0071581B" w:rsidRPr="007A7558" w:rsidRDefault="0071581B" w:rsidP="0076348E">
      <w:r w:rsidRPr="007A7558">
        <w:t>Bark removal should be carried out away from the swing path of the loader boom following the same work area rules for log landing operations.</w:t>
      </w:r>
    </w:p>
    <w:p w:rsidR="0071581B" w:rsidRPr="007A7558" w:rsidRDefault="0071581B" w:rsidP="0076348E">
      <w:r w:rsidRPr="007A7558">
        <w:t>Preparing logs may be done in the forest or at a landing by:</w:t>
      </w:r>
    </w:p>
    <w:p w:rsidR="0071581B" w:rsidRPr="008D36CE" w:rsidRDefault="0071581B" w:rsidP="008D36CE">
      <w:pPr>
        <w:pStyle w:val="ListParagraph"/>
      </w:pPr>
      <w:r w:rsidRPr="008D36CE">
        <w:t xml:space="preserve">custom built processors in cut-to-length operations </w:t>
      </w:r>
    </w:p>
    <w:p w:rsidR="0071581B" w:rsidRPr="008D36CE" w:rsidRDefault="0071581B" w:rsidP="008D36CE">
      <w:pPr>
        <w:pStyle w:val="ListParagraph"/>
      </w:pPr>
      <w:r w:rsidRPr="008D36CE">
        <w:t>excavators fitted with an aftermarket cut-off saw, and</w:t>
      </w:r>
    </w:p>
    <w:p w:rsidR="0071581B" w:rsidRPr="008D36CE" w:rsidRDefault="0071581B" w:rsidP="008D36CE">
      <w:pPr>
        <w:pStyle w:val="ListParagraph"/>
      </w:pPr>
      <w:r w:rsidRPr="008D36CE">
        <w:t>cross-cutting by hand.</w:t>
      </w:r>
    </w:p>
    <w:p w:rsidR="00E62CF4" w:rsidRDefault="0071581B" w:rsidP="0076348E">
      <w:r w:rsidRPr="007A7558">
        <w:t>Where a chainsaw is fitted to a machine and used for preparing logs the risk of injury from chain shot should be minimised—see</w:t>
      </w:r>
      <w:r w:rsidR="00E62CF4">
        <w:t xml:space="preserve"> the </w:t>
      </w:r>
      <w:hyperlink r:id="rId21" w:history="1">
        <w:r w:rsidR="00D64EB0" w:rsidRPr="00360C55">
          <w:rPr>
            <w:rStyle w:val="Hyperlink"/>
            <w:i/>
          </w:rPr>
          <w:t>Guide to managing risks of timber h</w:t>
        </w:r>
        <w:r w:rsidR="00E62CF4" w:rsidRPr="00360C55">
          <w:rPr>
            <w:rStyle w:val="Hyperlink"/>
            <w:i/>
          </w:rPr>
          <w:t xml:space="preserve">arvesting </w:t>
        </w:r>
        <w:r w:rsidR="00D64EB0" w:rsidRPr="00360C55">
          <w:rPr>
            <w:rStyle w:val="Hyperlink"/>
            <w:i/>
          </w:rPr>
          <w:t>o</w:t>
        </w:r>
        <w:r w:rsidR="00E62CF4" w:rsidRPr="00360C55">
          <w:rPr>
            <w:rStyle w:val="Hyperlink"/>
            <w:i/>
          </w:rPr>
          <w:t>perations</w:t>
        </w:r>
      </w:hyperlink>
      <w:r w:rsidR="00E62CF4">
        <w:t>,</w:t>
      </w:r>
      <w:r w:rsidRPr="007A7558">
        <w:t xml:space="preserve"> </w:t>
      </w:r>
      <w:r w:rsidR="00B170B4">
        <w:rPr>
          <w:i/>
        </w:rPr>
        <w:t>‘</w:t>
      </w:r>
      <w:r w:rsidRPr="007A7558">
        <w:rPr>
          <w:i/>
        </w:rPr>
        <w:t>preferred solutions’</w:t>
      </w:r>
      <w:r w:rsidRPr="007A7558">
        <w:t xml:space="preserve"> in Table </w:t>
      </w:r>
      <w:r w:rsidR="00E62CF4">
        <w:t>9.</w:t>
      </w:r>
    </w:p>
    <w:p w:rsidR="0071581B" w:rsidRPr="007A7558" w:rsidRDefault="0071581B" w:rsidP="0076348E">
      <w:r w:rsidRPr="007A7558">
        <w:t>Whenever chainsaws are used the techniques described in AS 2727-1997:</w:t>
      </w:r>
      <w:r w:rsidRPr="007A7558">
        <w:rPr>
          <w:i/>
        </w:rPr>
        <w:t xml:space="preserve"> Chainsaws – Guide to safe working practices</w:t>
      </w:r>
      <w:r w:rsidRPr="007A7558">
        <w:t xml:space="preserve"> should be used and logs should be secured before cutting.</w:t>
      </w:r>
    </w:p>
    <w:p w:rsidR="0071581B" w:rsidRPr="007A7558" w:rsidRDefault="0071581B" w:rsidP="0076348E">
      <w:r w:rsidRPr="007A7558">
        <w:t>Log marking is usually done to identify to an end market where logs came from and who harvested them. Log markers are at risk from being hit or crushed and it is important to ensure that when logs are being marked precautions are put into place to minimise the risk to health and safety of the log marker. For example, where logs are sold by weight the time spent by a log marker at the site of activity can be reduced by not marking each log.</w:t>
      </w:r>
    </w:p>
    <w:p w:rsidR="0071581B" w:rsidRPr="007A7558" w:rsidRDefault="0071581B" w:rsidP="0076348E">
      <w:pPr>
        <w:pStyle w:val="Heading2"/>
        <w:rPr>
          <w:iCs/>
        </w:rPr>
      </w:pPr>
      <w:bookmarkStart w:id="3" w:name="_Toc383692163"/>
      <w:r w:rsidRPr="007A7558">
        <w:t>Log measurement</w:t>
      </w:r>
      <w:bookmarkEnd w:id="3"/>
    </w:p>
    <w:p w:rsidR="0071581B" w:rsidRPr="007A7558" w:rsidRDefault="0071581B" w:rsidP="0076348E">
      <w:r w:rsidRPr="007A7558">
        <w:t>Where logs are sold by volume a safe system of work should be used to measure the log which includes:</w:t>
      </w:r>
    </w:p>
    <w:p w:rsidR="0071581B" w:rsidRPr="008D36CE" w:rsidRDefault="0071581B" w:rsidP="008D36CE">
      <w:pPr>
        <w:pStyle w:val="ListParagraph"/>
      </w:pPr>
      <w:r w:rsidRPr="007A7558">
        <w:t xml:space="preserve">assessing </w:t>
      </w:r>
      <w:r w:rsidRPr="008D36CE">
        <w:t>risks to workers and equipment before starting measuring</w:t>
      </w:r>
    </w:p>
    <w:p w:rsidR="0071581B" w:rsidRPr="008D36CE" w:rsidRDefault="0071581B" w:rsidP="008D36CE">
      <w:pPr>
        <w:pStyle w:val="ListParagraph"/>
      </w:pPr>
      <w:r w:rsidRPr="008D36CE">
        <w:t>considering using electronic measuring devices</w:t>
      </w:r>
    </w:p>
    <w:p w:rsidR="0071581B" w:rsidRPr="008D36CE" w:rsidRDefault="0071581B" w:rsidP="008D36CE">
      <w:pPr>
        <w:pStyle w:val="ListParagraph"/>
      </w:pPr>
      <w:r w:rsidRPr="008D36CE">
        <w:t>putting the log in a</w:t>
      </w:r>
    </w:p>
    <w:p w:rsidR="0071581B" w:rsidRPr="007A7558" w:rsidRDefault="0071581B" w:rsidP="008D36CE">
      <w:pPr>
        <w:pStyle w:val="ListParagraph"/>
        <w:numPr>
          <w:ilvl w:val="1"/>
          <w:numId w:val="7"/>
        </w:numPr>
        <w:ind w:left="700"/>
      </w:pPr>
      <w:r w:rsidRPr="007A7558">
        <w:t>designated area away from other working operations</w:t>
      </w:r>
    </w:p>
    <w:p w:rsidR="0071581B" w:rsidRPr="007A7558" w:rsidRDefault="0071581B" w:rsidP="008D36CE">
      <w:pPr>
        <w:pStyle w:val="ListParagraph"/>
        <w:numPr>
          <w:ilvl w:val="1"/>
          <w:numId w:val="7"/>
        </w:numPr>
        <w:ind w:left="700"/>
      </w:pPr>
      <w:r w:rsidRPr="007A7558">
        <w:t>safe position for measuring e.g. on a notched log</w:t>
      </w:r>
    </w:p>
    <w:p w:rsidR="0071581B" w:rsidRPr="008D36CE" w:rsidRDefault="0071581B" w:rsidP="008D36CE">
      <w:pPr>
        <w:pStyle w:val="ListParagraph"/>
      </w:pPr>
      <w:r w:rsidRPr="008D36CE">
        <w:lastRenderedPageBreak/>
        <w:t>inspecting the log to ensure it is adequately choked to prevent it rolling or sliding</w:t>
      </w:r>
    </w:p>
    <w:p w:rsidR="0071581B" w:rsidRPr="008D36CE" w:rsidRDefault="0071581B" w:rsidP="008D36CE">
      <w:pPr>
        <w:pStyle w:val="ListParagraph"/>
      </w:pPr>
      <w:r w:rsidRPr="008D36CE">
        <w:t>placing tape around the centre of the log and not having the worker below the log at any time</w:t>
      </w:r>
    </w:p>
    <w:p w:rsidR="0071581B" w:rsidRPr="008D36CE" w:rsidRDefault="0071581B" w:rsidP="008D36CE">
      <w:pPr>
        <w:pStyle w:val="ListParagraph"/>
      </w:pPr>
      <w:r w:rsidRPr="008D36CE">
        <w:t>measuring the length of the log by hooking the tape on the lower end of the log and reading from the raised end, and</w:t>
      </w:r>
    </w:p>
    <w:p w:rsidR="0071581B" w:rsidRPr="008D36CE" w:rsidRDefault="0071581B" w:rsidP="008D36CE">
      <w:pPr>
        <w:pStyle w:val="ListParagraph"/>
      </w:pPr>
      <w:r w:rsidRPr="008D36CE">
        <w:t>branding the raised end of the log ensuring there is space to swing the hammer.</w:t>
      </w:r>
      <w:r w:rsidRPr="008D36CE">
        <w:br/>
      </w:r>
    </w:p>
    <w:tbl>
      <w:tblPr>
        <w:tblStyle w:val="blackyellowtable"/>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Cross-cutting, measuring, marking or checking logs outside a machine canopy at a log landing or roadside log dump is a high risk forestry activity."/>
        <w:tblDescription w:val="Cross-cutting, measuring, marking or checking logs outside a machine canopy at a log landing or roadside log dump is a high risk forestry activity."/>
      </w:tblPr>
      <w:tblGrid>
        <w:gridCol w:w="3085"/>
        <w:gridCol w:w="6157"/>
      </w:tblGrid>
      <w:tr w:rsidR="0071581B" w:rsidRPr="007A7558" w:rsidTr="009B223E">
        <w:trPr>
          <w:trHeight w:val="510"/>
          <w:tblHeader/>
        </w:trPr>
        <w:tc>
          <w:tcPr>
            <w:tcW w:w="3085" w:type="dxa"/>
            <w:shd w:val="clear" w:color="auto" w:fill="000000"/>
            <w:vAlign w:val="center"/>
          </w:tcPr>
          <w:p w:rsidR="0071581B" w:rsidRPr="00BC5DA7" w:rsidRDefault="0071581B" w:rsidP="008D36CE">
            <w:pPr>
              <w:spacing w:before="0"/>
              <w:rPr>
                <w:b/>
              </w:rPr>
            </w:pPr>
            <w:r w:rsidRPr="00781971">
              <w:rPr>
                <w:b/>
                <w:color w:val="FFFF00"/>
              </w:rPr>
              <w:t>High risk forestry activity</w:t>
            </w:r>
          </w:p>
        </w:tc>
        <w:tc>
          <w:tcPr>
            <w:tcW w:w="6157" w:type="dxa"/>
            <w:shd w:val="clear" w:color="auto" w:fill="FFFF00"/>
            <w:vAlign w:val="center"/>
          </w:tcPr>
          <w:p w:rsidR="0071581B" w:rsidRPr="00E02E80" w:rsidRDefault="0071581B" w:rsidP="008D36CE">
            <w:pPr>
              <w:spacing w:before="0"/>
              <w:rPr>
                <w:b/>
              </w:rPr>
            </w:pPr>
            <w:r w:rsidRPr="00E02E80">
              <w:rPr>
                <w:b/>
              </w:rPr>
              <w:t xml:space="preserve">Cross-cutting, measuring, marking or checking logs outside </w:t>
            </w:r>
            <w:r w:rsidR="00430B96">
              <w:rPr>
                <w:b/>
              </w:rPr>
              <w:br/>
            </w:r>
            <w:r w:rsidRPr="00E02E80">
              <w:rPr>
                <w:b/>
              </w:rPr>
              <w:t>a machine canopy at a log landing or roadside log dump</w:t>
            </w:r>
          </w:p>
        </w:tc>
      </w:tr>
    </w:tbl>
    <w:p w:rsidR="0071581B" w:rsidRPr="007A7558" w:rsidRDefault="0071581B" w:rsidP="00BC5DA7">
      <w:pPr>
        <w:pStyle w:val="Heading3"/>
        <w:spacing w:before="120" w:after="120"/>
      </w:pPr>
      <w:r w:rsidRPr="007A7558">
        <w:t xml:space="preserve">Table 1 </w:t>
      </w:r>
      <w:r w:rsidRPr="008D36CE">
        <w:rPr>
          <w:b w:val="0"/>
        </w:rPr>
        <w:t>Common hazards and risks for ground workers outside a machine canopy</w:t>
      </w:r>
    </w:p>
    <w:tbl>
      <w:tblPr>
        <w:tblStyle w:val="blackyellowtable"/>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able 1 Common hazards and risks associated with working outside a machine canopy"/>
        <w:tblDescription w:val="Table 1 (shown in red) lists some of the hazards and risks that may arise when working outside a machine canopy."/>
      </w:tblPr>
      <w:tblGrid>
        <w:gridCol w:w="9242"/>
      </w:tblGrid>
      <w:tr w:rsidR="0071581B" w:rsidRPr="003513FF" w:rsidTr="009B223E">
        <w:trPr>
          <w:trHeight w:val="510"/>
          <w:tblHeader/>
        </w:trPr>
        <w:tc>
          <w:tcPr>
            <w:tcW w:w="9242" w:type="dxa"/>
            <w:shd w:val="clear" w:color="auto" w:fill="FF0000"/>
            <w:vAlign w:val="center"/>
          </w:tcPr>
          <w:p w:rsidR="0071581B" w:rsidRPr="00BC5DA7" w:rsidRDefault="0071581B" w:rsidP="008D36CE">
            <w:pPr>
              <w:spacing w:before="0"/>
              <w:rPr>
                <w:b/>
              </w:rPr>
            </w:pPr>
            <w:r w:rsidRPr="00781971">
              <w:rPr>
                <w:b/>
                <w:color w:val="FFFFFF" w:themeColor="background1"/>
              </w:rPr>
              <w:t>Hazards and risks</w:t>
            </w:r>
          </w:p>
        </w:tc>
      </w:tr>
      <w:tr w:rsidR="0071581B" w:rsidRPr="003513FF" w:rsidTr="00D834A5">
        <w:tc>
          <w:tcPr>
            <w:tcW w:w="9134" w:type="dxa"/>
            <w:shd w:val="clear" w:color="auto" w:fill="F2DBDB" w:themeFill="accent2" w:themeFillTint="33"/>
          </w:tcPr>
          <w:p w:rsidR="0071581B" w:rsidRPr="008D36CE" w:rsidRDefault="0071581B" w:rsidP="008D36CE">
            <w:pPr>
              <w:pStyle w:val="ListParagraph"/>
            </w:pPr>
            <w:r w:rsidRPr="008D36CE">
              <w:t>falling limbs or trees</w:t>
            </w:r>
          </w:p>
          <w:p w:rsidR="0071581B" w:rsidRPr="008D36CE" w:rsidRDefault="0071581B" w:rsidP="008D36CE">
            <w:pPr>
              <w:pStyle w:val="ListParagraph"/>
            </w:pPr>
            <w:r w:rsidRPr="008D36CE">
              <w:t>moving machinery</w:t>
            </w:r>
          </w:p>
          <w:p w:rsidR="0071581B" w:rsidRPr="008D36CE" w:rsidRDefault="0071581B" w:rsidP="008D36CE">
            <w:pPr>
              <w:pStyle w:val="ListParagraph"/>
            </w:pPr>
            <w:r w:rsidRPr="008D36CE">
              <w:t>rolling or sliding logs</w:t>
            </w:r>
          </w:p>
          <w:p w:rsidR="0071581B" w:rsidRPr="008D36CE" w:rsidRDefault="0071581B" w:rsidP="008D36CE">
            <w:pPr>
              <w:pStyle w:val="ListParagraph"/>
            </w:pPr>
            <w:r w:rsidRPr="008D36CE">
              <w:t>chain-shot or other material thrown by machinery working on landing</w:t>
            </w:r>
          </w:p>
          <w:p w:rsidR="0071581B" w:rsidRPr="008D36CE" w:rsidRDefault="0071581B" w:rsidP="008D36CE">
            <w:pPr>
              <w:pStyle w:val="ListParagraph"/>
            </w:pPr>
            <w:r w:rsidRPr="008D36CE">
              <w:t>uneven ground</w:t>
            </w:r>
          </w:p>
          <w:p w:rsidR="0071581B" w:rsidRPr="008D36CE" w:rsidRDefault="0071581B" w:rsidP="008D36CE">
            <w:pPr>
              <w:pStyle w:val="ListParagraph"/>
            </w:pPr>
            <w:r w:rsidRPr="008D36CE">
              <w:t>slips and trips, and</w:t>
            </w:r>
          </w:p>
          <w:p w:rsidR="0071581B" w:rsidRPr="007A7558" w:rsidRDefault="0071581B" w:rsidP="008D36CE">
            <w:pPr>
              <w:pStyle w:val="ListParagraph"/>
            </w:pPr>
            <w:r w:rsidRPr="008D36CE">
              <w:t>skin exposure to hazardous chemicals.</w:t>
            </w:r>
          </w:p>
        </w:tc>
      </w:tr>
    </w:tbl>
    <w:p w:rsidR="0071581B" w:rsidRPr="008D36CE" w:rsidRDefault="0071581B" w:rsidP="00BC5DA7">
      <w:pPr>
        <w:pStyle w:val="Heading3"/>
        <w:spacing w:before="120" w:after="120"/>
        <w:rPr>
          <w:b w:val="0"/>
        </w:rPr>
      </w:pPr>
      <w:r w:rsidRPr="007A7558">
        <w:t xml:space="preserve">Table </w:t>
      </w:r>
      <w:r w:rsidR="003A4AB8">
        <w:t>2</w:t>
      </w:r>
      <w:r w:rsidRPr="007A7558">
        <w:t xml:space="preserve"> </w:t>
      </w:r>
      <w:r w:rsidRPr="008D36CE">
        <w:rPr>
          <w:b w:val="0"/>
        </w:rPr>
        <w:t>Control measures – recommended process for ground worker tasks outside a machine canopy</w:t>
      </w:r>
    </w:p>
    <w:tbl>
      <w:tblPr>
        <w:tblStyle w:val="blackyellowtable"/>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able 2 Control measures and processes for working outside a machine canopy"/>
        <w:tblDescription w:val="Table 2 (shown in green) lists control measures that should be considered to help manage risks associated with working outside a machine canopy."/>
      </w:tblPr>
      <w:tblGrid>
        <w:gridCol w:w="9242"/>
      </w:tblGrid>
      <w:tr w:rsidR="0071581B" w:rsidRPr="007A7558" w:rsidTr="009B223E">
        <w:trPr>
          <w:trHeight w:val="510"/>
          <w:tblHeader/>
        </w:trPr>
        <w:tc>
          <w:tcPr>
            <w:tcW w:w="9242" w:type="dxa"/>
            <w:shd w:val="clear" w:color="auto" w:fill="00B050"/>
            <w:vAlign w:val="center"/>
          </w:tcPr>
          <w:p w:rsidR="0071581B" w:rsidRPr="00BC5DA7" w:rsidRDefault="0071581B" w:rsidP="008D36CE">
            <w:pPr>
              <w:spacing w:before="0"/>
              <w:rPr>
                <w:b/>
              </w:rPr>
            </w:pPr>
            <w:r w:rsidRPr="00781971">
              <w:rPr>
                <w:b/>
                <w:color w:val="FFFFFF" w:themeColor="background1"/>
              </w:rPr>
              <w:t xml:space="preserve">Control measures </w:t>
            </w:r>
          </w:p>
        </w:tc>
      </w:tr>
      <w:tr w:rsidR="0071581B" w:rsidRPr="007A7558" w:rsidTr="00D834A5">
        <w:tc>
          <w:tcPr>
            <w:tcW w:w="9242" w:type="dxa"/>
            <w:shd w:val="clear" w:color="auto" w:fill="EAF1DD"/>
          </w:tcPr>
          <w:p w:rsidR="0071581B" w:rsidRPr="007A7558" w:rsidRDefault="0071581B" w:rsidP="0076348E">
            <w:r w:rsidRPr="00CF14A6">
              <w:rPr>
                <w:b/>
              </w:rPr>
              <w:t>1. Establish a pattern of work separating activities as far as possible.</w:t>
            </w:r>
          </w:p>
          <w:p w:rsidR="0071581B" w:rsidRPr="008D36CE" w:rsidRDefault="0071581B" w:rsidP="008D36CE">
            <w:pPr>
              <w:pStyle w:val="ListParagraph"/>
            </w:pPr>
            <w:r w:rsidRPr="008D36CE">
              <w:t>Display warning signs at entry to the site.</w:t>
            </w:r>
          </w:p>
          <w:p w:rsidR="0071581B" w:rsidRPr="008D36CE" w:rsidRDefault="0071581B" w:rsidP="008D36CE">
            <w:pPr>
              <w:pStyle w:val="ListParagraph"/>
            </w:pPr>
            <w:r w:rsidRPr="008D36CE">
              <w:t>Where practicable ensure there is a physical barrier e.g. a log stack or another machine between machines and ground workers.</w:t>
            </w:r>
          </w:p>
          <w:p w:rsidR="0071581B" w:rsidRPr="008D36CE" w:rsidRDefault="0071581B" w:rsidP="008D36CE">
            <w:pPr>
              <w:pStyle w:val="ListParagraph"/>
            </w:pPr>
            <w:r w:rsidRPr="008D36CE">
              <w:t>When using a chainsaw ensure the line of the cut is never directed at ground workers.</w:t>
            </w:r>
          </w:p>
          <w:p w:rsidR="0071581B" w:rsidRPr="008D36CE" w:rsidRDefault="0071581B" w:rsidP="008D36CE">
            <w:pPr>
              <w:pStyle w:val="ListParagraph"/>
            </w:pPr>
            <w:r w:rsidRPr="008D36CE">
              <w:t xml:space="preserve">While a machine is handling logs ensure no one enters the area within the full swing radius plus half the log length in the beak (or the manufacturer’s specified safe working distance, whichever </w:t>
            </w:r>
            <w:r w:rsidR="00430B96">
              <w:br/>
            </w:r>
            <w:r w:rsidRPr="008D36CE">
              <w:t>is greater).</w:t>
            </w:r>
          </w:p>
          <w:p w:rsidR="0071581B" w:rsidRPr="008D36CE" w:rsidRDefault="0071581B" w:rsidP="008D36CE">
            <w:pPr>
              <w:pStyle w:val="ListParagraph"/>
            </w:pPr>
            <w:r w:rsidRPr="008D36CE">
              <w:t>The intended path of travel for skidders and forwarders should be clear of ground workers.</w:t>
            </w:r>
          </w:p>
          <w:p w:rsidR="0071581B" w:rsidRPr="008D36CE" w:rsidRDefault="0071581B" w:rsidP="008D36CE">
            <w:pPr>
              <w:pStyle w:val="ListParagraph"/>
            </w:pPr>
            <w:r w:rsidRPr="008D36CE">
              <w:t>Logs should not be swung above or within the reach of ground workers.</w:t>
            </w:r>
          </w:p>
          <w:p w:rsidR="0071581B" w:rsidRPr="008D36CE" w:rsidRDefault="0071581B" w:rsidP="008D36CE">
            <w:pPr>
              <w:pStyle w:val="ListParagraph"/>
            </w:pPr>
            <w:r w:rsidRPr="008D36CE">
              <w:t>Ground machine implements when the machine is parked.</w:t>
            </w:r>
          </w:p>
          <w:p w:rsidR="0071581B" w:rsidRPr="008D36CE" w:rsidRDefault="0071581B" w:rsidP="008D36CE">
            <w:pPr>
              <w:pStyle w:val="ListParagraph"/>
            </w:pPr>
            <w:r w:rsidRPr="008D36CE">
              <w:t>Workers should not walk under an implement supported only by the machine’s hydraulics.</w:t>
            </w:r>
          </w:p>
          <w:p w:rsidR="0071581B" w:rsidRPr="007A7558" w:rsidRDefault="0071581B" w:rsidP="008D36CE">
            <w:pPr>
              <w:pStyle w:val="ListParagraph"/>
              <w:rPr>
                <w:b/>
                <w:bCs/>
                <w:i/>
                <w:iCs/>
              </w:rPr>
            </w:pPr>
            <w:r w:rsidRPr="008D36CE">
              <w:t xml:space="preserve">Log marking paint should be used according to the instructions on the label and the safety </w:t>
            </w:r>
            <w:r w:rsidR="00430B96">
              <w:br/>
            </w:r>
            <w:r w:rsidRPr="008D36CE">
              <w:t>data sheet.</w:t>
            </w:r>
          </w:p>
        </w:tc>
      </w:tr>
      <w:tr w:rsidR="0071581B" w:rsidTr="00D834A5">
        <w:tc>
          <w:tcPr>
            <w:tcW w:w="9242" w:type="dxa"/>
            <w:shd w:val="clear" w:color="auto" w:fill="D6E3BC"/>
          </w:tcPr>
          <w:p w:rsidR="0071581B" w:rsidRPr="00CF14A6" w:rsidRDefault="0071581B" w:rsidP="0076348E">
            <w:pPr>
              <w:rPr>
                <w:b/>
              </w:rPr>
            </w:pPr>
            <w:r w:rsidRPr="00CF14A6">
              <w:rPr>
                <w:b/>
              </w:rPr>
              <w:t>2. Minimise the risk of logs rolling or falling.</w:t>
            </w:r>
          </w:p>
          <w:p w:rsidR="0071581B" w:rsidRPr="008D36CE" w:rsidRDefault="0071581B" w:rsidP="008D36CE">
            <w:pPr>
              <w:pStyle w:val="ListParagraph"/>
            </w:pPr>
            <w:r w:rsidRPr="008D36CE">
              <w:t>Ensure there is enough separation between stacks and machines to minimise the risk of disturbing any stacked logs.</w:t>
            </w:r>
          </w:p>
          <w:p w:rsidR="0071581B" w:rsidRPr="008D36CE" w:rsidRDefault="0071581B" w:rsidP="008D36CE">
            <w:pPr>
              <w:pStyle w:val="ListParagraph"/>
            </w:pPr>
            <w:r w:rsidRPr="008D36CE">
              <w:t>Log stacks should be kept to a safe height on level ground and angled to maximise stability.</w:t>
            </w:r>
          </w:p>
          <w:p w:rsidR="0071581B" w:rsidRPr="007A7558" w:rsidRDefault="0071581B" w:rsidP="008D36CE">
            <w:pPr>
              <w:pStyle w:val="ListParagraph"/>
            </w:pPr>
            <w:r w:rsidRPr="007A7558">
              <w:t>Logs stacks should not be higher than the capacity of the log handling equipment.</w:t>
            </w:r>
          </w:p>
          <w:p w:rsidR="0071581B" w:rsidRPr="007A7558" w:rsidRDefault="0071581B" w:rsidP="008D36CE">
            <w:pPr>
              <w:pStyle w:val="ListParagraph"/>
            </w:pPr>
            <w:r w:rsidRPr="007A7558">
              <w:t>Avoid working at the base or downhill from a log stack.</w:t>
            </w:r>
          </w:p>
          <w:p w:rsidR="0071581B" w:rsidRPr="007A7558" w:rsidRDefault="0071581B" w:rsidP="008D36CE">
            <w:pPr>
              <w:pStyle w:val="ListParagraph"/>
            </w:pPr>
            <w:r w:rsidRPr="007A7558">
              <w:lastRenderedPageBreak/>
              <w:t>Logs should be chocked to stop rolling when cross cutting.</w:t>
            </w:r>
          </w:p>
          <w:p w:rsidR="0071581B" w:rsidRPr="007A7558" w:rsidRDefault="0071581B" w:rsidP="008D36CE">
            <w:pPr>
              <w:pStyle w:val="ListParagraph"/>
              <w:rPr>
                <w:b/>
              </w:rPr>
            </w:pPr>
            <w:r w:rsidRPr="007A7558">
              <w:t>Work on the topside of a log when manually cross-cutting, grading or measuring.</w:t>
            </w:r>
          </w:p>
        </w:tc>
      </w:tr>
      <w:tr w:rsidR="0071581B" w:rsidTr="00D834A5">
        <w:tc>
          <w:tcPr>
            <w:tcW w:w="9242" w:type="dxa"/>
            <w:shd w:val="clear" w:color="auto" w:fill="EAF1DD"/>
          </w:tcPr>
          <w:p w:rsidR="0071581B" w:rsidRPr="00CF14A6" w:rsidRDefault="0071581B" w:rsidP="0076348E">
            <w:pPr>
              <w:rPr>
                <w:b/>
              </w:rPr>
            </w:pPr>
            <w:r w:rsidRPr="00CF14A6">
              <w:rPr>
                <w:b/>
              </w:rPr>
              <w:lastRenderedPageBreak/>
              <w:t>3. Minimise the risk of slips, trips and falls.</w:t>
            </w:r>
          </w:p>
          <w:p w:rsidR="0071581B" w:rsidRPr="008D36CE" w:rsidRDefault="0071581B" w:rsidP="008D36CE">
            <w:pPr>
              <w:pStyle w:val="ListParagraph"/>
            </w:pPr>
            <w:r w:rsidRPr="008D36CE">
              <w:t>Assess the work area for uneven surfaces and high edges.</w:t>
            </w:r>
          </w:p>
          <w:p w:rsidR="0071581B" w:rsidRPr="008D36CE" w:rsidRDefault="0071581B" w:rsidP="008D36CE">
            <w:pPr>
              <w:pStyle w:val="ListParagraph"/>
            </w:pPr>
            <w:r w:rsidRPr="008D36CE">
              <w:t>Ensure bark and other debris is regularly removed from the work area of ground workers.</w:t>
            </w:r>
          </w:p>
          <w:p w:rsidR="0071581B" w:rsidRPr="008D36CE" w:rsidRDefault="0071581B" w:rsidP="008D36CE">
            <w:pPr>
              <w:pStyle w:val="ListParagraph"/>
            </w:pPr>
            <w:r w:rsidRPr="008D36CE">
              <w:t>On corded landings, do not walk on the corded area while machines are operating.</w:t>
            </w:r>
          </w:p>
          <w:p w:rsidR="0071581B" w:rsidRPr="008D36CE" w:rsidRDefault="0071581B" w:rsidP="008D36CE">
            <w:pPr>
              <w:pStyle w:val="ListParagraph"/>
            </w:pPr>
            <w:r w:rsidRPr="008D36CE">
              <w:t>Arrange the work area so the ends of logs can be marked or painted while standing on the ground.</w:t>
            </w:r>
          </w:p>
          <w:p w:rsidR="0071581B" w:rsidRPr="008D36CE" w:rsidRDefault="0071581B" w:rsidP="008D36CE">
            <w:pPr>
              <w:pStyle w:val="ListParagraph"/>
            </w:pPr>
            <w:r w:rsidRPr="008D36CE">
              <w:t>Ensure safety footwear is in good condition and do not have worn soles.</w:t>
            </w:r>
          </w:p>
          <w:p w:rsidR="0071581B" w:rsidRPr="007A7558" w:rsidRDefault="0071581B" w:rsidP="008D36CE">
            <w:pPr>
              <w:pStyle w:val="ListParagraph"/>
              <w:rPr>
                <w:b/>
              </w:rPr>
            </w:pPr>
            <w:r w:rsidRPr="008D36CE">
              <w:t>Use handrails and steps when stepping down from a machine</w:t>
            </w:r>
            <w:r w:rsidRPr="007A7558">
              <w:t>.</w:t>
            </w:r>
          </w:p>
        </w:tc>
      </w:tr>
      <w:tr w:rsidR="0071581B" w:rsidTr="00D834A5">
        <w:tc>
          <w:tcPr>
            <w:tcW w:w="9242" w:type="dxa"/>
            <w:shd w:val="clear" w:color="auto" w:fill="D6E3BC"/>
          </w:tcPr>
          <w:p w:rsidR="0071581B" w:rsidRPr="00CF14A6" w:rsidRDefault="0071581B" w:rsidP="0076348E">
            <w:pPr>
              <w:rPr>
                <w:b/>
              </w:rPr>
            </w:pPr>
            <w:r w:rsidRPr="00CF14A6">
              <w:rPr>
                <w:b/>
              </w:rPr>
              <w:t>4. Maintain communication with other operators.</w:t>
            </w:r>
          </w:p>
          <w:p w:rsidR="0071581B" w:rsidRPr="008D36CE" w:rsidRDefault="0071581B" w:rsidP="008D36CE">
            <w:pPr>
              <w:pStyle w:val="ListParagraph"/>
            </w:pPr>
            <w:r w:rsidRPr="008D36CE">
              <w:t>Use radio communications to monitor movement on the landing. Entry into a designated work area should only be with the permission of the area controller.</w:t>
            </w:r>
          </w:p>
        </w:tc>
      </w:tr>
    </w:tbl>
    <w:p w:rsidR="00C01546" w:rsidRDefault="00C01546" w:rsidP="00C01546">
      <w:pPr>
        <w:pStyle w:val="Heading2"/>
      </w:pPr>
      <w:r>
        <w:t>Further information</w:t>
      </w:r>
    </w:p>
    <w:p w:rsidR="0071581B" w:rsidRPr="000D7781" w:rsidRDefault="000D7781" w:rsidP="0076348E">
      <w:pPr>
        <w:rPr>
          <w:rFonts w:cs="Arial"/>
          <w:color w:val="000000"/>
          <w:lang w:eastAsia="en-AU"/>
        </w:rPr>
      </w:pPr>
      <w:r w:rsidRPr="00C809D5">
        <w:rPr>
          <w:rFonts w:cs="Arial"/>
        </w:rPr>
        <w:t xml:space="preserve">Codes of </w:t>
      </w:r>
      <w:r>
        <w:rPr>
          <w:rFonts w:cs="Arial"/>
        </w:rPr>
        <w:t>p</w:t>
      </w:r>
      <w:r w:rsidRPr="00C809D5">
        <w:rPr>
          <w:rFonts w:cs="Arial"/>
        </w:rPr>
        <w:t>ractice</w:t>
      </w:r>
      <w:r>
        <w:rPr>
          <w:rFonts w:cs="Arial"/>
        </w:rPr>
        <w:t>, guidance material</w:t>
      </w:r>
      <w:r w:rsidRPr="00C809D5">
        <w:rPr>
          <w:rFonts w:cs="Arial"/>
        </w:rPr>
        <w:t xml:space="preserve"> and other resources are on the </w:t>
      </w:r>
      <w:hyperlink r:id="rId22" w:history="1">
        <w:r w:rsidRPr="00AA78E8">
          <w:rPr>
            <w:rStyle w:val="Hyperlink"/>
          </w:rPr>
          <w:t>Safe Work Australia</w:t>
        </w:r>
      </w:hyperlink>
      <w:r>
        <w:t xml:space="preserve"> </w:t>
      </w:r>
      <w:r>
        <w:rPr>
          <w:rFonts w:cs="Arial"/>
          <w:color w:val="000000"/>
          <w:lang w:eastAsia="en-AU"/>
        </w:rPr>
        <w:t xml:space="preserve">website </w:t>
      </w:r>
      <w:r w:rsidR="00AA78E8">
        <w:rPr>
          <w:rFonts w:cs="Arial"/>
          <w:color w:val="000000"/>
          <w:lang w:eastAsia="en-AU"/>
        </w:rPr>
        <w:t>(</w:t>
      </w:r>
      <w:r w:rsidRPr="00AA78E8">
        <w:rPr>
          <w:rFonts w:cs="Arial"/>
          <w:lang w:eastAsia="en-AU"/>
        </w:rPr>
        <w:t>www.swa.gov.au</w:t>
      </w:r>
      <w:r w:rsidR="00AA78E8">
        <w:rPr>
          <w:rFonts w:cs="Arial"/>
          <w:lang w:eastAsia="en-AU"/>
        </w:rPr>
        <w:t>)</w:t>
      </w:r>
      <w:r w:rsidRPr="000D7781">
        <w:rPr>
          <w:rStyle w:val="Hyperlink"/>
          <w:rFonts w:cs="Arial"/>
          <w:u w:val="none"/>
          <w:lang w:eastAsia="en-AU"/>
        </w:rPr>
        <w:t>.</w:t>
      </w:r>
    </w:p>
    <w:sectPr w:rsidR="0071581B" w:rsidRPr="000D7781" w:rsidSect="00B6563D">
      <w:headerReference w:type="default" r:id="rId23"/>
      <w:footerReference w:type="default" r:id="rId24"/>
      <w:headerReference w:type="first" r:id="rId25"/>
      <w:footerReference w:type="first" r:id="rId26"/>
      <w:pgSz w:w="11906" w:h="16838"/>
      <w:pgMar w:top="1440" w:right="1440" w:bottom="1440" w:left="1440" w:header="454"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62CF4" w:rsidRDefault="00E62CF4" w:rsidP="0076348E">
      <w:r>
        <w:separator/>
      </w:r>
    </w:p>
  </w:endnote>
  <w:endnote w:type="continuationSeparator" w:id="0">
    <w:p w:rsidR="00E62CF4" w:rsidRDefault="00E62CF4" w:rsidP="0076348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Gotham Light">
    <w:altName w:val="Courier New"/>
    <w:panose1 w:val="00000000000000000000"/>
    <w:charset w:val="00"/>
    <w:family w:val="auto"/>
    <w:notTrueType/>
    <w:pitch w:val="variable"/>
    <w:sig w:usb0="A10000FF" w:usb1="4000005B" w:usb2="00000000" w:usb3="00000000" w:csb0="0000009B"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2CF4" w:rsidRPr="008D36CE" w:rsidRDefault="00BC5DA7" w:rsidP="008D36CE">
    <w:pPr>
      <w:pStyle w:val="Footer"/>
      <w:tabs>
        <w:tab w:val="left" w:pos="7088"/>
        <w:tab w:val="left" w:pos="8080"/>
      </w:tabs>
      <w:rPr>
        <w:sz w:val="18"/>
        <w:szCs w:val="18"/>
      </w:rPr>
    </w:pPr>
    <w:r>
      <w:rPr>
        <w:sz w:val="18"/>
        <w:szCs w:val="18"/>
      </w:rPr>
      <w:t>Forestry</w:t>
    </w:r>
    <w:r w:rsidR="008D36CE" w:rsidRPr="00502DA6">
      <w:rPr>
        <w:sz w:val="18"/>
        <w:szCs w:val="18"/>
      </w:rPr>
      <w:t xml:space="preserve">: </w:t>
    </w:r>
    <w:r w:rsidR="00430B96">
      <w:rPr>
        <w:i/>
        <w:sz w:val="18"/>
        <w:szCs w:val="18"/>
      </w:rPr>
      <w:t>Guide to managing risks of log l</w:t>
    </w:r>
    <w:r>
      <w:rPr>
        <w:i/>
        <w:sz w:val="18"/>
        <w:szCs w:val="18"/>
      </w:rPr>
      <w:t>andings</w:t>
    </w:r>
    <w:r w:rsidR="008D36CE">
      <w:rPr>
        <w:sz w:val="18"/>
        <w:szCs w:val="18"/>
      </w:rPr>
      <w:tab/>
    </w:r>
    <w:r w:rsidR="008D36CE">
      <w:rPr>
        <w:sz w:val="18"/>
        <w:szCs w:val="18"/>
      </w:rPr>
      <w:tab/>
    </w:r>
    <w:sdt>
      <w:sdtPr>
        <w:rPr>
          <w:sz w:val="18"/>
          <w:szCs w:val="18"/>
        </w:rPr>
        <w:id w:val="860082579"/>
        <w:docPartObj>
          <w:docPartGallery w:val="Page Numbers (Top of Page)"/>
          <w:docPartUnique/>
        </w:docPartObj>
      </w:sdtPr>
      <w:sdtEndPr/>
      <w:sdtContent>
        <w:r w:rsidR="008D36CE">
          <w:rPr>
            <w:caps/>
            <w:sz w:val="18"/>
            <w:szCs w:val="18"/>
          </w:rPr>
          <w:t>J</w:t>
        </w:r>
        <w:r w:rsidR="00AA78E8">
          <w:rPr>
            <w:sz w:val="18"/>
            <w:szCs w:val="18"/>
          </w:rPr>
          <w:t>uly</w:t>
        </w:r>
        <w:r w:rsidR="008D36CE">
          <w:rPr>
            <w:caps/>
            <w:sz w:val="18"/>
            <w:szCs w:val="18"/>
          </w:rPr>
          <w:t xml:space="preserve"> 2014</w:t>
        </w:r>
        <w:r w:rsidR="008D36CE">
          <w:rPr>
            <w:caps/>
            <w:sz w:val="18"/>
            <w:szCs w:val="18"/>
          </w:rPr>
          <w:tab/>
        </w:r>
        <w:r w:rsidR="008D36CE" w:rsidRPr="009649C1">
          <w:rPr>
            <w:sz w:val="18"/>
            <w:szCs w:val="18"/>
          </w:rPr>
          <w:t xml:space="preserve">Page </w:t>
        </w:r>
        <w:r w:rsidR="008D36CE" w:rsidRPr="009649C1">
          <w:rPr>
            <w:caps/>
            <w:sz w:val="18"/>
            <w:szCs w:val="18"/>
          </w:rPr>
          <w:fldChar w:fldCharType="begin"/>
        </w:r>
        <w:r w:rsidR="008D36CE" w:rsidRPr="009649C1">
          <w:rPr>
            <w:caps/>
            <w:sz w:val="18"/>
            <w:szCs w:val="18"/>
          </w:rPr>
          <w:instrText xml:space="preserve"> PAGE </w:instrText>
        </w:r>
        <w:r w:rsidR="008D36CE" w:rsidRPr="009649C1">
          <w:rPr>
            <w:caps/>
            <w:sz w:val="18"/>
            <w:szCs w:val="18"/>
          </w:rPr>
          <w:fldChar w:fldCharType="separate"/>
        </w:r>
        <w:r w:rsidR="0069724A">
          <w:rPr>
            <w:caps/>
            <w:noProof/>
            <w:sz w:val="18"/>
            <w:szCs w:val="18"/>
          </w:rPr>
          <w:t>4</w:t>
        </w:r>
        <w:r w:rsidR="008D36CE" w:rsidRPr="009649C1">
          <w:rPr>
            <w:caps/>
            <w:sz w:val="18"/>
            <w:szCs w:val="18"/>
          </w:rPr>
          <w:fldChar w:fldCharType="end"/>
        </w:r>
        <w:r w:rsidR="008D36CE" w:rsidRPr="009649C1">
          <w:rPr>
            <w:sz w:val="18"/>
            <w:szCs w:val="18"/>
          </w:rPr>
          <w:t xml:space="preserve"> of </w:t>
        </w:r>
        <w:r w:rsidR="008D36CE" w:rsidRPr="009649C1">
          <w:rPr>
            <w:caps/>
            <w:sz w:val="18"/>
            <w:szCs w:val="18"/>
          </w:rPr>
          <w:fldChar w:fldCharType="begin"/>
        </w:r>
        <w:r w:rsidR="008D36CE" w:rsidRPr="009649C1">
          <w:rPr>
            <w:caps/>
            <w:sz w:val="18"/>
            <w:szCs w:val="18"/>
          </w:rPr>
          <w:instrText xml:space="preserve"> NUMPAGES </w:instrText>
        </w:r>
        <w:r w:rsidR="008D36CE" w:rsidRPr="009649C1">
          <w:rPr>
            <w:caps/>
            <w:sz w:val="18"/>
            <w:szCs w:val="18"/>
          </w:rPr>
          <w:fldChar w:fldCharType="separate"/>
        </w:r>
        <w:r w:rsidR="0069724A">
          <w:rPr>
            <w:caps/>
            <w:noProof/>
            <w:sz w:val="18"/>
            <w:szCs w:val="18"/>
          </w:rPr>
          <w:t>4</w:t>
        </w:r>
        <w:r w:rsidR="008D36CE" w:rsidRPr="009649C1">
          <w:rPr>
            <w:caps/>
            <w:sz w:val="18"/>
            <w:szCs w:val="18"/>
          </w:rPr>
          <w:fldChar w:fldCharType="end"/>
        </w:r>
      </w:sdtContent>
    </w:sdt>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6E9B" w:rsidRDefault="00B6563D" w:rsidP="006E6E9B">
    <w:pPr>
      <w:pStyle w:val="Footer"/>
      <w:tabs>
        <w:tab w:val="clear" w:pos="4513"/>
        <w:tab w:val="left" w:pos="3261"/>
        <w:tab w:val="left" w:pos="6521"/>
      </w:tabs>
      <w:rPr>
        <w:sz w:val="18"/>
        <w:szCs w:val="18"/>
      </w:rPr>
    </w:pPr>
    <w:r>
      <w:rPr>
        <w:rFonts w:ascii="Gotham Light" w:hAnsi="Gotham Light" w:cs="Gotham Light"/>
        <w:noProof/>
        <w:color w:val="000000"/>
        <w:lang w:eastAsia="en-AU"/>
      </w:rPr>
      <w:drawing>
        <wp:inline distT="0" distB="0" distL="0" distR="0" wp14:anchorId="1DF8C5F2" wp14:editId="6BCEA469">
          <wp:extent cx="1234286" cy="432000"/>
          <wp:effectExtent l="0" t="0" r="4445" b="6350"/>
          <wp:docPr id="9" name="Picture 9" descr="Creative Commons icon" title="Creative Comm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y-nc.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34286" cy="432000"/>
                  </a:xfrm>
                  <a:prstGeom prst="rect">
                    <a:avLst/>
                  </a:prstGeom>
                </pic:spPr>
              </pic:pic>
            </a:graphicData>
          </a:graphic>
        </wp:inline>
      </w:drawing>
    </w:r>
    <w:r w:rsidR="00BC5DA7">
      <w:tab/>
    </w:r>
    <w:r w:rsidR="006E6E9B" w:rsidRPr="006E6E9B">
      <w:rPr>
        <w:sz w:val="18"/>
        <w:szCs w:val="18"/>
      </w:rPr>
      <w:t>978-1-74361-693-2 [Multi-Vol. Set]</w:t>
    </w:r>
    <w:r w:rsidR="006E6E9B">
      <w:rPr>
        <w:sz w:val="18"/>
        <w:szCs w:val="18"/>
      </w:rPr>
      <w:tab/>
    </w:r>
    <w:r w:rsidRPr="006E6E9B">
      <w:rPr>
        <w:sz w:val="18"/>
        <w:szCs w:val="18"/>
      </w:rPr>
      <w:t>978-1-74361-</w:t>
    </w:r>
    <w:r w:rsidR="006E6E9B" w:rsidRPr="006E6E9B">
      <w:rPr>
        <w:sz w:val="18"/>
        <w:szCs w:val="18"/>
      </w:rPr>
      <w:t>708</w:t>
    </w:r>
    <w:r w:rsidRPr="006E6E9B">
      <w:rPr>
        <w:sz w:val="18"/>
        <w:szCs w:val="18"/>
      </w:rPr>
      <w:t>-</w:t>
    </w:r>
    <w:r w:rsidR="006E6E9B" w:rsidRPr="006E6E9B">
      <w:rPr>
        <w:sz w:val="18"/>
        <w:szCs w:val="18"/>
      </w:rPr>
      <w:t>3</w:t>
    </w:r>
    <w:r w:rsidR="00BC5DA7" w:rsidRPr="006E6E9B">
      <w:rPr>
        <w:sz w:val="18"/>
        <w:szCs w:val="18"/>
      </w:rPr>
      <w:t xml:space="preserve">   [PDF]</w:t>
    </w:r>
  </w:p>
  <w:p w:rsidR="00B6563D" w:rsidRDefault="006E6E9B" w:rsidP="006E6E9B">
    <w:pPr>
      <w:pStyle w:val="Footer"/>
      <w:tabs>
        <w:tab w:val="clear" w:pos="4513"/>
        <w:tab w:val="left" w:pos="3686"/>
        <w:tab w:val="left" w:pos="6521"/>
      </w:tabs>
    </w:pPr>
    <w:r>
      <w:rPr>
        <w:sz w:val="18"/>
        <w:szCs w:val="18"/>
      </w:rPr>
      <w:tab/>
    </w:r>
    <w:r>
      <w:rPr>
        <w:sz w:val="18"/>
        <w:szCs w:val="18"/>
      </w:rPr>
      <w:tab/>
    </w:r>
    <w:r w:rsidR="00B6563D" w:rsidRPr="006E6E9B">
      <w:rPr>
        <w:sz w:val="18"/>
        <w:szCs w:val="18"/>
      </w:rPr>
      <w:t>978-1-74361-</w:t>
    </w:r>
    <w:r w:rsidRPr="006E6E9B">
      <w:rPr>
        <w:sz w:val="18"/>
        <w:szCs w:val="18"/>
      </w:rPr>
      <w:t>709</w:t>
    </w:r>
    <w:r w:rsidR="00B6563D" w:rsidRPr="006E6E9B">
      <w:rPr>
        <w:sz w:val="18"/>
        <w:szCs w:val="18"/>
      </w:rPr>
      <w:t>-</w:t>
    </w:r>
    <w:r w:rsidRPr="006E6E9B">
      <w:rPr>
        <w:sz w:val="18"/>
        <w:szCs w:val="18"/>
      </w:rPr>
      <w:t>0</w:t>
    </w:r>
    <w:r w:rsidR="00B6563D" w:rsidRPr="006E6E9B">
      <w:rPr>
        <w:sz w:val="18"/>
        <w:szCs w:val="18"/>
      </w:rPr>
      <w:t xml:space="preserve">   [DOCX]</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62CF4" w:rsidRDefault="00E62CF4" w:rsidP="0076348E">
      <w:r>
        <w:separator/>
      </w:r>
    </w:p>
  </w:footnote>
  <w:footnote w:type="continuationSeparator" w:id="0">
    <w:p w:rsidR="00E62CF4" w:rsidRDefault="00E62CF4" w:rsidP="0076348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563D" w:rsidRDefault="00B6563D" w:rsidP="0076348E">
    <w:pPr>
      <w:pStyle w:val="Header"/>
    </w:pPr>
    <w:r w:rsidRPr="002E494D">
      <w:rPr>
        <w:noProof/>
        <w:lang w:eastAsia="en-AU"/>
      </w:rPr>
      <w:drawing>
        <wp:inline distT="0" distB="0" distL="0" distR="0" wp14:anchorId="4CDD8C4F" wp14:editId="6A5C8B69">
          <wp:extent cx="2071999" cy="432000"/>
          <wp:effectExtent l="0" t="0" r="0" b="6350"/>
          <wp:docPr id="7" name="Picture 7" descr="Safe Work Australia logo" title="Safe Work Australi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 Picture"/>
                  <pic:cNvPicPr>
                    <a:picLocks noChangeAspect="1" noChangeArrowheads="1"/>
                  </pic:cNvPicPr>
                </pic:nvPicPr>
                <pic:blipFill rotWithShape="1">
                  <a:blip r:embed="rId1" cstate="print"/>
                  <a:srcRect l="-10111" t="-9531" r="-10111" b="-9531"/>
                  <a:stretch/>
                </pic:blipFill>
                <pic:spPr bwMode="auto">
                  <a:xfrm>
                    <a:off x="0" y="0"/>
                    <a:ext cx="2071999" cy="432000"/>
                  </a:xfrm>
                  <a:prstGeom prst="rect">
                    <a:avLst/>
                  </a:prstGeom>
                  <a:noFill/>
                  <a:ln w="9525">
                    <a:noFill/>
                    <a:miter lim="800000"/>
                    <a:headEnd/>
                    <a:tailEnd/>
                  </a:ln>
                </pic:spPr>
              </pic:pic>
            </a:graphicData>
          </a:graphic>
        </wp:inline>
      </w:drawing>
    </w:r>
  </w:p>
  <w:p w:rsidR="008A434C" w:rsidRDefault="008A434C" w:rsidP="0076348E">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563D" w:rsidRDefault="00B6563D" w:rsidP="0076348E">
    <w:pPr>
      <w:pStyle w:val="Header"/>
    </w:pPr>
    <w:r w:rsidRPr="002E494D">
      <w:rPr>
        <w:noProof/>
        <w:lang w:eastAsia="en-AU"/>
      </w:rPr>
      <w:drawing>
        <wp:inline distT="0" distB="0" distL="0" distR="0" wp14:anchorId="268A9003" wp14:editId="2CC394B0">
          <wp:extent cx="2071999" cy="432000"/>
          <wp:effectExtent l="0" t="0" r="0" b="6350"/>
          <wp:docPr id="8" name="Picture 8" descr="Safe Work Australia logo" title="Safe Work Australi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 Picture"/>
                  <pic:cNvPicPr>
                    <a:picLocks noChangeAspect="1" noChangeArrowheads="1"/>
                  </pic:cNvPicPr>
                </pic:nvPicPr>
                <pic:blipFill rotWithShape="1">
                  <a:blip r:embed="rId1" cstate="print"/>
                  <a:srcRect l="-10111" t="-9531" r="-10111" b="-9531"/>
                  <a:stretch/>
                </pic:blipFill>
                <pic:spPr bwMode="auto">
                  <a:xfrm>
                    <a:off x="0" y="0"/>
                    <a:ext cx="2071999" cy="432000"/>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1757263"/>
    <w:multiLevelType w:val="hybridMultilevel"/>
    <w:tmpl w:val="3B8E30D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nsid w:val="119113AE"/>
    <w:multiLevelType w:val="hybridMultilevel"/>
    <w:tmpl w:val="BAB069C2"/>
    <w:lvl w:ilvl="0" w:tplc="0C090001">
      <w:start w:val="1"/>
      <w:numFmt w:val="bullet"/>
      <w:lvlText w:val=""/>
      <w:lvlJc w:val="left"/>
      <w:pPr>
        <w:ind w:left="740" w:hanging="360"/>
      </w:pPr>
      <w:rPr>
        <w:rFonts w:ascii="Symbol" w:hAnsi="Symbol" w:hint="default"/>
      </w:rPr>
    </w:lvl>
    <w:lvl w:ilvl="1" w:tplc="0C090003">
      <w:start w:val="1"/>
      <w:numFmt w:val="bullet"/>
      <w:lvlText w:val="o"/>
      <w:lvlJc w:val="left"/>
      <w:pPr>
        <w:ind w:left="1460" w:hanging="360"/>
      </w:pPr>
      <w:rPr>
        <w:rFonts w:ascii="Courier New" w:hAnsi="Courier New" w:cs="Courier New" w:hint="default"/>
      </w:rPr>
    </w:lvl>
    <w:lvl w:ilvl="2" w:tplc="0C090005" w:tentative="1">
      <w:start w:val="1"/>
      <w:numFmt w:val="bullet"/>
      <w:lvlText w:val=""/>
      <w:lvlJc w:val="left"/>
      <w:pPr>
        <w:ind w:left="2180" w:hanging="360"/>
      </w:pPr>
      <w:rPr>
        <w:rFonts w:ascii="Wingdings" w:hAnsi="Wingdings" w:hint="default"/>
      </w:rPr>
    </w:lvl>
    <w:lvl w:ilvl="3" w:tplc="0C090001" w:tentative="1">
      <w:start w:val="1"/>
      <w:numFmt w:val="bullet"/>
      <w:lvlText w:val=""/>
      <w:lvlJc w:val="left"/>
      <w:pPr>
        <w:ind w:left="2900" w:hanging="360"/>
      </w:pPr>
      <w:rPr>
        <w:rFonts w:ascii="Symbol" w:hAnsi="Symbol" w:hint="default"/>
      </w:rPr>
    </w:lvl>
    <w:lvl w:ilvl="4" w:tplc="0C090003" w:tentative="1">
      <w:start w:val="1"/>
      <w:numFmt w:val="bullet"/>
      <w:lvlText w:val="o"/>
      <w:lvlJc w:val="left"/>
      <w:pPr>
        <w:ind w:left="3620" w:hanging="360"/>
      </w:pPr>
      <w:rPr>
        <w:rFonts w:ascii="Courier New" w:hAnsi="Courier New" w:cs="Courier New" w:hint="default"/>
      </w:rPr>
    </w:lvl>
    <w:lvl w:ilvl="5" w:tplc="0C090005" w:tentative="1">
      <w:start w:val="1"/>
      <w:numFmt w:val="bullet"/>
      <w:lvlText w:val=""/>
      <w:lvlJc w:val="left"/>
      <w:pPr>
        <w:ind w:left="4340" w:hanging="360"/>
      </w:pPr>
      <w:rPr>
        <w:rFonts w:ascii="Wingdings" w:hAnsi="Wingdings" w:hint="default"/>
      </w:rPr>
    </w:lvl>
    <w:lvl w:ilvl="6" w:tplc="0C090001" w:tentative="1">
      <w:start w:val="1"/>
      <w:numFmt w:val="bullet"/>
      <w:lvlText w:val=""/>
      <w:lvlJc w:val="left"/>
      <w:pPr>
        <w:ind w:left="5060" w:hanging="360"/>
      </w:pPr>
      <w:rPr>
        <w:rFonts w:ascii="Symbol" w:hAnsi="Symbol" w:hint="default"/>
      </w:rPr>
    </w:lvl>
    <w:lvl w:ilvl="7" w:tplc="0C090003" w:tentative="1">
      <w:start w:val="1"/>
      <w:numFmt w:val="bullet"/>
      <w:lvlText w:val="o"/>
      <w:lvlJc w:val="left"/>
      <w:pPr>
        <w:ind w:left="5780" w:hanging="360"/>
      </w:pPr>
      <w:rPr>
        <w:rFonts w:ascii="Courier New" w:hAnsi="Courier New" w:cs="Courier New" w:hint="default"/>
      </w:rPr>
    </w:lvl>
    <w:lvl w:ilvl="8" w:tplc="0C090005" w:tentative="1">
      <w:start w:val="1"/>
      <w:numFmt w:val="bullet"/>
      <w:lvlText w:val=""/>
      <w:lvlJc w:val="left"/>
      <w:pPr>
        <w:ind w:left="6500" w:hanging="360"/>
      </w:pPr>
      <w:rPr>
        <w:rFonts w:ascii="Wingdings" w:hAnsi="Wingdings" w:hint="default"/>
      </w:rPr>
    </w:lvl>
  </w:abstractNum>
  <w:abstractNum w:abstractNumId="2">
    <w:nsid w:val="208264E8"/>
    <w:multiLevelType w:val="hybridMultilevel"/>
    <w:tmpl w:val="D4C07636"/>
    <w:lvl w:ilvl="0" w:tplc="8188A2CA">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nsid w:val="26AB274C"/>
    <w:multiLevelType w:val="hybridMultilevel"/>
    <w:tmpl w:val="28D6FD9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nsid w:val="29677C6F"/>
    <w:multiLevelType w:val="hybridMultilevel"/>
    <w:tmpl w:val="326002B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nsid w:val="3D60521F"/>
    <w:multiLevelType w:val="hybridMultilevel"/>
    <w:tmpl w:val="71C035DC"/>
    <w:lvl w:ilvl="0" w:tplc="0C090001">
      <w:start w:val="1"/>
      <w:numFmt w:val="bullet"/>
      <w:lvlText w:val=""/>
      <w:lvlJc w:val="left"/>
      <w:pPr>
        <w:ind w:left="1080" w:hanging="360"/>
      </w:pPr>
      <w:rPr>
        <w:rFonts w:ascii="Symbol" w:hAnsi="Symbol" w:hint="default"/>
      </w:rPr>
    </w:lvl>
    <w:lvl w:ilvl="1" w:tplc="0C090003">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6">
    <w:nsid w:val="45DA7C92"/>
    <w:multiLevelType w:val="hybridMultilevel"/>
    <w:tmpl w:val="7030398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nsid w:val="4AD34089"/>
    <w:multiLevelType w:val="hybridMultilevel"/>
    <w:tmpl w:val="F878D482"/>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8">
    <w:nsid w:val="601C66BD"/>
    <w:multiLevelType w:val="hybridMultilevel"/>
    <w:tmpl w:val="BDD660E4"/>
    <w:lvl w:ilvl="0" w:tplc="8928342E">
      <w:start w:val="1"/>
      <w:numFmt w:val="bullet"/>
      <w:pStyle w:val="ListParagraph"/>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nsid w:val="6DDE1FBE"/>
    <w:multiLevelType w:val="hybridMultilevel"/>
    <w:tmpl w:val="EC26F23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92"/>
        </w:tabs>
        <w:ind w:left="1492" w:hanging="360"/>
      </w:pPr>
      <w:rPr>
        <w:rFonts w:ascii="Courier New" w:hAnsi="Courier New" w:cs="Courier New" w:hint="default"/>
      </w:rPr>
    </w:lvl>
    <w:lvl w:ilvl="2" w:tplc="04090005" w:tentative="1">
      <w:start w:val="1"/>
      <w:numFmt w:val="bullet"/>
      <w:lvlText w:val=""/>
      <w:lvlJc w:val="left"/>
      <w:pPr>
        <w:tabs>
          <w:tab w:val="num" w:pos="2212"/>
        </w:tabs>
        <w:ind w:left="2212" w:hanging="360"/>
      </w:pPr>
      <w:rPr>
        <w:rFonts w:ascii="Wingdings" w:hAnsi="Wingdings" w:hint="default"/>
      </w:rPr>
    </w:lvl>
    <w:lvl w:ilvl="3" w:tplc="04090001" w:tentative="1">
      <w:start w:val="1"/>
      <w:numFmt w:val="bullet"/>
      <w:lvlText w:val=""/>
      <w:lvlJc w:val="left"/>
      <w:pPr>
        <w:tabs>
          <w:tab w:val="num" w:pos="2932"/>
        </w:tabs>
        <w:ind w:left="2932" w:hanging="360"/>
      </w:pPr>
      <w:rPr>
        <w:rFonts w:ascii="Symbol" w:hAnsi="Symbol" w:hint="default"/>
      </w:rPr>
    </w:lvl>
    <w:lvl w:ilvl="4" w:tplc="04090003" w:tentative="1">
      <w:start w:val="1"/>
      <w:numFmt w:val="bullet"/>
      <w:lvlText w:val="o"/>
      <w:lvlJc w:val="left"/>
      <w:pPr>
        <w:tabs>
          <w:tab w:val="num" w:pos="3652"/>
        </w:tabs>
        <w:ind w:left="3652" w:hanging="360"/>
      </w:pPr>
      <w:rPr>
        <w:rFonts w:ascii="Courier New" w:hAnsi="Courier New" w:cs="Courier New" w:hint="default"/>
      </w:rPr>
    </w:lvl>
    <w:lvl w:ilvl="5" w:tplc="04090005" w:tentative="1">
      <w:start w:val="1"/>
      <w:numFmt w:val="bullet"/>
      <w:lvlText w:val=""/>
      <w:lvlJc w:val="left"/>
      <w:pPr>
        <w:tabs>
          <w:tab w:val="num" w:pos="4372"/>
        </w:tabs>
        <w:ind w:left="4372" w:hanging="360"/>
      </w:pPr>
      <w:rPr>
        <w:rFonts w:ascii="Wingdings" w:hAnsi="Wingdings" w:hint="default"/>
      </w:rPr>
    </w:lvl>
    <w:lvl w:ilvl="6" w:tplc="04090001" w:tentative="1">
      <w:start w:val="1"/>
      <w:numFmt w:val="bullet"/>
      <w:lvlText w:val=""/>
      <w:lvlJc w:val="left"/>
      <w:pPr>
        <w:tabs>
          <w:tab w:val="num" w:pos="5092"/>
        </w:tabs>
        <w:ind w:left="5092" w:hanging="360"/>
      </w:pPr>
      <w:rPr>
        <w:rFonts w:ascii="Symbol" w:hAnsi="Symbol" w:hint="default"/>
      </w:rPr>
    </w:lvl>
    <w:lvl w:ilvl="7" w:tplc="04090003" w:tentative="1">
      <w:start w:val="1"/>
      <w:numFmt w:val="bullet"/>
      <w:lvlText w:val="o"/>
      <w:lvlJc w:val="left"/>
      <w:pPr>
        <w:tabs>
          <w:tab w:val="num" w:pos="5812"/>
        </w:tabs>
        <w:ind w:left="5812" w:hanging="360"/>
      </w:pPr>
      <w:rPr>
        <w:rFonts w:ascii="Courier New" w:hAnsi="Courier New" w:cs="Courier New" w:hint="default"/>
      </w:rPr>
    </w:lvl>
    <w:lvl w:ilvl="8" w:tplc="04090005" w:tentative="1">
      <w:start w:val="1"/>
      <w:numFmt w:val="bullet"/>
      <w:lvlText w:val=""/>
      <w:lvlJc w:val="left"/>
      <w:pPr>
        <w:tabs>
          <w:tab w:val="num" w:pos="6532"/>
        </w:tabs>
        <w:ind w:left="6532" w:hanging="360"/>
      </w:pPr>
      <w:rPr>
        <w:rFonts w:ascii="Wingdings" w:hAnsi="Wingdings" w:hint="default"/>
      </w:rPr>
    </w:lvl>
  </w:abstractNum>
  <w:abstractNum w:abstractNumId="10">
    <w:nsid w:val="77803303"/>
    <w:multiLevelType w:val="hybridMultilevel"/>
    <w:tmpl w:val="FC7CA77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9"/>
  </w:num>
  <w:num w:numId="2">
    <w:abstractNumId w:val="1"/>
  </w:num>
  <w:num w:numId="3">
    <w:abstractNumId w:val="5"/>
  </w:num>
  <w:num w:numId="4">
    <w:abstractNumId w:val="7"/>
  </w:num>
  <w:num w:numId="5">
    <w:abstractNumId w:val="3"/>
  </w:num>
  <w:num w:numId="6">
    <w:abstractNumId w:val="4"/>
  </w:num>
  <w:num w:numId="7">
    <w:abstractNumId w:val="10"/>
  </w:num>
  <w:num w:numId="8">
    <w:abstractNumId w:val="6"/>
  </w:num>
  <w:num w:numId="9">
    <w:abstractNumId w:val="2"/>
  </w:num>
  <w:num w:numId="10">
    <w:abstractNumId w:val="0"/>
  </w:num>
  <w:num w:numId="1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593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581B"/>
    <w:rsid w:val="000B0CCB"/>
    <w:rsid w:val="000D7781"/>
    <w:rsid w:val="001A44BA"/>
    <w:rsid w:val="002679DF"/>
    <w:rsid w:val="002A4D78"/>
    <w:rsid w:val="002E494D"/>
    <w:rsid w:val="00360C55"/>
    <w:rsid w:val="003904FF"/>
    <w:rsid w:val="003A4AB8"/>
    <w:rsid w:val="00430B96"/>
    <w:rsid w:val="004A7F8A"/>
    <w:rsid w:val="005D20FA"/>
    <w:rsid w:val="005E6015"/>
    <w:rsid w:val="00600374"/>
    <w:rsid w:val="00671BEC"/>
    <w:rsid w:val="0069724A"/>
    <w:rsid w:val="006C1FB2"/>
    <w:rsid w:val="006E6E9B"/>
    <w:rsid w:val="0071581B"/>
    <w:rsid w:val="00734394"/>
    <w:rsid w:val="0076348E"/>
    <w:rsid w:val="00781971"/>
    <w:rsid w:val="008A434C"/>
    <w:rsid w:val="008D36CE"/>
    <w:rsid w:val="00921FE5"/>
    <w:rsid w:val="009B223E"/>
    <w:rsid w:val="00A246E6"/>
    <w:rsid w:val="00A753A9"/>
    <w:rsid w:val="00AA3783"/>
    <w:rsid w:val="00AA78E8"/>
    <w:rsid w:val="00AF5285"/>
    <w:rsid w:val="00B170B4"/>
    <w:rsid w:val="00B6563D"/>
    <w:rsid w:val="00BC5DA7"/>
    <w:rsid w:val="00C01546"/>
    <w:rsid w:val="00C028D7"/>
    <w:rsid w:val="00C857A7"/>
    <w:rsid w:val="00CF14A6"/>
    <w:rsid w:val="00D116A7"/>
    <w:rsid w:val="00D36A88"/>
    <w:rsid w:val="00D64EB0"/>
    <w:rsid w:val="00E02C5B"/>
    <w:rsid w:val="00E02E80"/>
    <w:rsid w:val="00E16474"/>
    <w:rsid w:val="00E62CF4"/>
    <w:rsid w:val="00E71021"/>
    <w:rsid w:val="00E973CE"/>
    <w:rsid w:val="00F2542B"/>
    <w:rsid w:val="00F64FC4"/>
    <w:rsid w:val="00F76B3B"/>
    <w:rsid w:val="00FC0340"/>
    <w:rsid w:val="00FD538E"/>
    <w:rsid w:val="00FE6D91"/>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5939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6348E"/>
    <w:pPr>
      <w:spacing w:before="120" w:after="0" w:line="240" w:lineRule="auto"/>
    </w:pPr>
    <w:rPr>
      <w:rFonts w:ascii="Arial" w:eastAsia="Batang" w:hAnsi="Arial" w:cs="Times New Roman"/>
      <w:sz w:val="20"/>
      <w:szCs w:val="20"/>
      <w:lang w:eastAsia="ko-KR"/>
    </w:rPr>
  </w:style>
  <w:style w:type="paragraph" w:styleId="Heading2">
    <w:name w:val="heading 2"/>
    <w:basedOn w:val="Normal"/>
    <w:next w:val="Normal"/>
    <w:link w:val="Heading2Char"/>
    <w:qFormat/>
    <w:rsid w:val="0076348E"/>
    <w:pPr>
      <w:tabs>
        <w:tab w:val="left" w:pos="426"/>
        <w:tab w:val="right" w:leader="dot" w:pos="9628"/>
      </w:tabs>
      <w:spacing w:before="240"/>
      <w:outlineLvl w:val="1"/>
    </w:pPr>
    <w:rPr>
      <w:rFonts w:eastAsia="Times New Roman" w:cs="Arial"/>
      <w:b/>
      <w:bCs/>
      <w:color w:val="C00000"/>
      <w:sz w:val="22"/>
      <w:szCs w:val="22"/>
      <w:lang w:eastAsia="en-AU"/>
    </w:rPr>
  </w:style>
  <w:style w:type="paragraph" w:styleId="Heading3">
    <w:name w:val="heading 3"/>
    <w:basedOn w:val="Normal"/>
    <w:next w:val="Normal"/>
    <w:link w:val="Heading3Char"/>
    <w:qFormat/>
    <w:rsid w:val="0071581B"/>
    <w:pPr>
      <w:keepNext/>
      <w:spacing w:before="240" w:after="240"/>
      <w:outlineLvl w:val="2"/>
    </w:pPr>
    <w:rPr>
      <w:rFonts w:cs="Arial"/>
      <w:b/>
      <w:bCs/>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76348E"/>
    <w:rPr>
      <w:rFonts w:ascii="Arial" w:eastAsia="Times New Roman" w:hAnsi="Arial" w:cs="Arial"/>
      <w:b/>
      <w:bCs/>
      <w:color w:val="C00000"/>
      <w:lang w:eastAsia="en-AU"/>
    </w:rPr>
  </w:style>
  <w:style w:type="character" w:customStyle="1" w:styleId="Heading3Char">
    <w:name w:val="Heading 3 Char"/>
    <w:basedOn w:val="DefaultParagraphFont"/>
    <w:link w:val="Heading3"/>
    <w:rsid w:val="0071581B"/>
    <w:rPr>
      <w:rFonts w:ascii="Arial" w:eastAsia="Batang" w:hAnsi="Arial" w:cs="Arial"/>
      <w:b/>
      <w:bCs/>
      <w:szCs w:val="26"/>
      <w:lang w:eastAsia="ko-KR"/>
    </w:rPr>
  </w:style>
  <w:style w:type="paragraph" w:styleId="ListParagraph">
    <w:name w:val="List Paragraph"/>
    <w:basedOn w:val="Normal"/>
    <w:uiPriority w:val="34"/>
    <w:qFormat/>
    <w:rsid w:val="0076348E"/>
    <w:pPr>
      <w:numPr>
        <w:numId w:val="11"/>
      </w:numPr>
      <w:tabs>
        <w:tab w:val="left" w:pos="340"/>
      </w:tabs>
      <w:autoSpaceDE w:val="0"/>
      <w:autoSpaceDN w:val="0"/>
      <w:adjustRightInd w:val="0"/>
      <w:ind w:left="360"/>
    </w:pPr>
    <w:rPr>
      <w:rFonts w:cs="Arial"/>
    </w:rPr>
  </w:style>
  <w:style w:type="table" w:styleId="TableGrid">
    <w:name w:val="Table Grid"/>
    <w:basedOn w:val="TableNormal"/>
    <w:uiPriority w:val="59"/>
    <w:rsid w:val="0071581B"/>
    <w:pPr>
      <w:spacing w:after="0" w:line="240" w:lineRule="auto"/>
    </w:pPr>
    <w:rPr>
      <w:rFonts w:ascii="Times New Roman" w:eastAsia="Times New Roman" w:hAnsi="Times New Roman" w:cs="Times New Roman"/>
      <w:sz w:val="20"/>
      <w:szCs w:val="20"/>
      <w:lang w:eastAsia="en-A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A4AB8"/>
    <w:pPr>
      <w:spacing w:before="0"/>
    </w:pPr>
    <w:rPr>
      <w:rFonts w:ascii="Tahoma" w:hAnsi="Tahoma" w:cs="Tahoma"/>
      <w:sz w:val="16"/>
      <w:szCs w:val="16"/>
    </w:rPr>
  </w:style>
  <w:style w:type="character" w:customStyle="1" w:styleId="BalloonTextChar">
    <w:name w:val="Balloon Text Char"/>
    <w:basedOn w:val="DefaultParagraphFont"/>
    <w:link w:val="BalloonText"/>
    <w:uiPriority w:val="99"/>
    <w:semiHidden/>
    <w:rsid w:val="003A4AB8"/>
    <w:rPr>
      <w:rFonts w:ascii="Tahoma" w:eastAsia="Batang" w:hAnsi="Tahoma" w:cs="Tahoma"/>
      <w:sz w:val="16"/>
      <w:szCs w:val="16"/>
      <w:lang w:eastAsia="ko-KR"/>
    </w:rPr>
  </w:style>
  <w:style w:type="paragraph" w:styleId="Header">
    <w:name w:val="header"/>
    <w:basedOn w:val="Normal"/>
    <w:link w:val="HeaderChar"/>
    <w:uiPriority w:val="99"/>
    <w:unhideWhenUsed/>
    <w:rsid w:val="00E62CF4"/>
    <w:pPr>
      <w:tabs>
        <w:tab w:val="center" w:pos="4513"/>
        <w:tab w:val="right" w:pos="9026"/>
      </w:tabs>
      <w:spacing w:before="0"/>
    </w:pPr>
  </w:style>
  <w:style w:type="character" w:customStyle="1" w:styleId="HeaderChar">
    <w:name w:val="Header Char"/>
    <w:basedOn w:val="DefaultParagraphFont"/>
    <w:link w:val="Header"/>
    <w:uiPriority w:val="99"/>
    <w:rsid w:val="00E62CF4"/>
    <w:rPr>
      <w:rFonts w:ascii="Arial" w:eastAsia="Batang" w:hAnsi="Arial" w:cs="Times New Roman"/>
      <w:szCs w:val="24"/>
      <w:lang w:eastAsia="ko-KR"/>
    </w:rPr>
  </w:style>
  <w:style w:type="paragraph" w:styleId="Footer">
    <w:name w:val="footer"/>
    <w:basedOn w:val="Normal"/>
    <w:link w:val="FooterChar"/>
    <w:uiPriority w:val="99"/>
    <w:unhideWhenUsed/>
    <w:rsid w:val="00E62CF4"/>
    <w:pPr>
      <w:tabs>
        <w:tab w:val="center" w:pos="4513"/>
        <w:tab w:val="right" w:pos="9026"/>
      </w:tabs>
      <w:spacing w:before="0"/>
    </w:pPr>
  </w:style>
  <w:style w:type="character" w:customStyle="1" w:styleId="FooterChar">
    <w:name w:val="Footer Char"/>
    <w:basedOn w:val="DefaultParagraphFont"/>
    <w:link w:val="Footer"/>
    <w:uiPriority w:val="99"/>
    <w:rsid w:val="00E62CF4"/>
    <w:rPr>
      <w:rFonts w:ascii="Arial" w:eastAsia="Batang" w:hAnsi="Arial" w:cs="Times New Roman"/>
      <w:szCs w:val="24"/>
      <w:lang w:eastAsia="ko-KR"/>
    </w:rPr>
  </w:style>
  <w:style w:type="paragraph" w:styleId="Subtitle">
    <w:name w:val="Subtitle"/>
    <w:basedOn w:val="Normal"/>
    <w:next w:val="Normal"/>
    <w:link w:val="SubtitleChar"/>
    <w:uiPriority w:val="11"/>
    <w:qFormat/>
    <w:rsid w:val="008D36CE"/>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8D36CE"/>
    <w:rPr>
      <w:rFonts w:asciiTheme="majorHAnsi" w:eastAsiaTheme="majorEastAsia" w:hAnsiTheme="majorHAnsi" w:cstheme="majorBidi"/>
      <w:i/>
      <w:iCs/>
      <w:color w:val="4F81BD" w:themeColor="accent1"/>
      <w:spacing w:val="15"/>
      <w:sz w:val="24"/>
      <w:szCs w:val="24"/>
      <w:lang w:eastAsia="ko-KR"/>
    </w:rPr>
  </w:style>
  <w:style w:type="character" w:styleId="Hyperlink">
    <w:name w:val="Hyperlink"/>
    <w:basedOn w:val="DefaultParagraphFont"/>
    <w:uiPriority w:val="99"/>
    <w:unhideWhenUsed/>
    <w:rsid w:val="000D7781"/>
    <w:rPr>
      <w:color w:val="0000FF"/>
      <w:u w:val="single"/>
    </w:rPr>
  </w:style>
  <w:style w:type="table" w:customStyle="1" w:styleId="blackyellowtable">
    <w:name w:val="black/yellow table"/>
    <w:basedOn w:val="TableNormal"/>
    <w:uiPriority w:val="99"/>
    <w:rsid w:val="009B223E"/>
    <w:pPr>
      <w:spacing w:after="0" w:line="240" w:lineRule="auto"/>
    </w:pPr>
    <w:tblPr>
      <w:tblInd w:w="0" w:type="dxa"/>
      <w:tblCellMar>
        <w:top w:w="0" w:type="dxa"/>
        <w:left w:w="108" w:type="dxa"/>
        <w:bottom w:w="0" w:type="dxa"/>
        <w:right w:w="108" w:type="dxa"/>
      </w:tblCellMar>
    </w:tblPr>
  </w:style>
  <w:style w:type="table" w:customStyle="1" w:styleId="redtable">
    <w:name w:val="red table"/>
    <w:basedOn w:val="TableNormal"/>
    <w:uiPriority w:val="99"/>
    <w:rsid w:val="009B223E"/>
    <w:pPr>
      <w:spacing w:after="0" w:line="240" w:lineRule="auto"/>
    </w:pPr>
    <w:tblPr>
      <w:tblInd w:w="0" w:type="dxa"/>
      <w:tblCellMar>
        <w:top w:w="0" w:type="dxa"/>
        <w:left w:w="108" w:type="dxa"/>
        <w:bottom w:w="0" w:type="dxa"/>
        <w:right w:w="108" w:type="dxa"/>
      </w:tblCellMar>
    </w:tblPr>
  </w:style>
  <w:style w:type="table" w:customStyle="1" w:styleId="greentable">
    <w:name w:val="green table"/>
    <w:basedOn w:val="TableNormal"/>
    <w:uiPriority w:val="99"/>
    <w:rsid w:val="009B223E"/>
    <w:pPr>
      <w:spacing w:after="0" w:line="240" w:lineRule="auto"/>
    </w:pPr>
    <w:tblPr>
      <w:tblInd w:w="0" w:type="dxa"/>
      <w:tblCellMar>
        <w:top w:w="0" w:type="dxa"/>
        <w:left w:w="108" w:type="dxa"/>
        <w:bottom w:w="0" w:type="dxa"/>
        <w:right w:w="108" w:type="dxa"/>
      </w:tblCellMar>
    </w:tblPr>
  </w:style>
  <w:style w:type="character" w:styleId="FollowedHyperlink">
    <w:name w:val="FollowedHyperlink"/>
    <w:basedOn w:val="DefaultParagraphFont"/>
    <w:uiPriority w:val="99"/>
    <w:semiHidden/>
    <w:unhideWhenUsed/>
    <w:rsid w:val="00F2542B"/>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6348E"/>
    <w:pPr>
      <w:spacing w:before="120" w:after="0" w:line="240" w:lineRule="auto"/>
    </w:pPr>
    <w:rPr>
      <w:rFonts w:ascii="Arial" w:eastAsia="Batang" w:hAnsi="Arial" w:cs="Times New Roman"/>
      <w:sz w:val="20"/>
      <w:szCs w:val="20"/>
      <w:lang w:eastAsia="ko-KR"/>
    </w:rPr>
  </w:style>
  <w:style w:type="paragraph" w:styleId="Heading2">
    <w:name w:val="heading 2"/>
    <w:basedOn w:val="Normal"/>
    <w:next w:val="Normal"/>
    <w:link w:val="Heading2Char"/>
    <w:qFormat/>
    <w:rsid w:val="0076348E"/>
    <w:pPr>
      <w:tabs>
        <w:tab w:val="left" w:pos="426"/>
        <w:tab w:val="right" w:leader="dot" w:pos="9628"/>
      </w:tabs>
      <w:spacing w:before="240"/>
      <w:outlineLvl w:val="1"/>
    </w:pPr>
    <w:rPr>
      <w:rFonts w:eastAsia="Times New Roman" w:cs="Arial"/>
      <w:b/>
      <w:bCs/>
      <w:color w:val="C00000"/>
      <w:sz w:val="22"/>
      <w:szCs w:val="22"/>
      <w:lang w:eastAsia="en-AU"/>
    </w:rPr>
  </w:style>
  <w:style w:type="paragraph" w:styleId="Heading3">
    <w:name w:val="heading 3"/>
    <w:basedOn w:val="Normal"/>
    <w:next w:val="Normal"/>
    <w:link w:val="Heading3Char"/>
    <w:qFormat/>
    <w:rsid w:val="0071581B"/>
    <w:pPr>
      <w:keepNext/>
      <w:spacing w:before="240" w:after="240"/>
      <w:outlineLvl w:val="2"/>
    </w:pPr>
    <w:rPr>
      <w:rFonts w:cs="Arial"/>
      <w:b/>
      <w:bCs/>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76348E"/>
    <w:rPr>
      <w:rFonts w:ascii="Arial" w:eastAsia="Times New Roman" w:hAnsi="Arial" w:cs="Arial"/>
      <w:b/>
      <w:bCs/>
      <w:color w:val="C00000"/>
      <w:lang w:eastAsia="en-AU"/>
    </w:rPr>
  </w:style>
  <w:style w:type="character" w:customStyle="1" w:styleId="Heading3Char">
    <w:name w:val="Heading 3 Char"/>
    <w:basedOn w:val="DefaultParagraphFont"/>
    <w:link w:val="Heading3"/>
    <w:rsid w:val="0071581B"/>
    <w:rPr>
      <w:rFonts w:ascii="Arial" w:eastAsia="Batang" w:hAnsi="Arial" w:cs="Arial"/>
      <w:b/>
      <w:bCs/>
      <w:szCs w:val="26"/>
      <w:lang w:eastAsia="ko-KR"/>
    </w:rPr>
  </w:style>
  <w:style w:type="paragraph" w:styleId="ListParagraph">
    <w:name w:val="List Paragraph"/>
    <w:basedOn w:val="Normal"/>
    <w:uiPriority w:val="34"/>
    <w:qFormat/>
    <w:rsid w:val="0076348E"/>
    <w:pPr>
      <w:numPr>
        <w:numId w:val="11"/>
      </w:numPr>
      <w:tabs>
        <w:tab w:val="left" w:pos="340"/>
      </w:tabs>
      <w:autoSpaceDE w:val="0"/>
      <w:autoSpaceDN w:val="0"/>
      <w:adjustRightInd w:val="0"/>
      <w:ind w:left="360"/>
    </w:pPr>
    <w:rPr>
      <w:rFonts w:cs="Arial"/>
    </w:rPr>
  </w:style>
  <w:style w:type="table" w:styleId="TableGrid">
    <w:name w:val="Table Grid"/>
    <w:basedOn w:val="TableNormal"/>
    <w:uiPriority w:val="59"/>
    <w:rsid w:val="0071581B"/>
    <w:pPr>
      <w:spacing w:after="0" w:line="240" w:lineRule="auto"/>
    </w:pPr>
    <w:rPr>
      <w:rFonts w:ascii="Times New Roman" w:eastAsia="Times New Roman" w:hAnsi="Times New Roman" w:cs="Times New Roman"/>
      <w:sz w:val="20"/>
      <w:szCs w:val="20"/>
      <w:lang w:eastAsia="en-A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A4AB8"/>
    <w:pPr>
      <w:spacing w:before="0"/>
    </w:pPr>
    <w:rPr>
      <w:rFonts w:ascii="Tahoma" w:hAnsi="Tahoma" w:cs="Tahoma"/>
      <w:sz w:val="16"/>
      <w:szCs w:val="16"/>
    </w:rPr>
  </w:style>
  <w:style w:type="character" w:customStyle="1" w:styleId="BalloonTextChar">
    <w:name w:val="Balloon Text Char"/>
    <w:basedOn w:val="DefaultParagraphFont"/>
    <w:link w:val="BalloonText"/>
    <w:uiPriority w:val="99"/>
    <w:semiHidden/>
    <w:rsid w:val="003A4AB8"/>
    <w:rPr>
      <w:rFonts w:ascii="Tahoma" w:eastAsia="Batang" w:hAnsi="Tahoma" w:cs="Tahoma"/>
      <w:sz w:val="16"/>
      <w:szCs w:val="16"/>
      <w:lang w:eastAsia="ko-KR"/>
    </w:rPr>
  </w:style>
  <w:style w:type="paragraph" w:styleId="Header">
    <w:name w:val="header"/>
    <w:basedOn w:val="Normal"/>
    <w:link w:val="HeaderChar"/>
    <w:uiPriority w:val="99"/>
    <w:unhideWhenUsed/>
    <w:rsid w:val="00E62CF4"/>
    <w:pPr>
      <w:tabs>
        <w:tab w:val="center" w:pos="4513"/>
        <w:tab w:val="right" w:pos="9026"/>
      </w:tabs>
      <w:spacing w:before="0"/>
    </w:pPr>
  </w:style>
  <w:style w:type="character" w:customStyle="1" w:styleId="HeaderChar">
    <w:name w:val="Header Char"/>
    <w:basedOn w:val="DefaultParagraphFont"/>
    <w:link w:val="Header"/>
    <w:uiPriority w:val="99"/>
    <w:rsid w:val="00E62CF4"/>
    <w:rPr>
      <w:rFonts w:ascii="Arial" w:eastAsia="Batang" w:hAnsi="Arial" w:cs="Times New Roman"/>
      <w:szCs w:val="24"/>
      <w:lang w:eastAsia="ko-KR"/>
    </w:rPr>
  </w:style>
  <w:style w:type="paragraph" w:styleId="Footer">
    <w:name w:val="footer"/>
    <w:basedOn w:val="Normal"/>
    <w:link w:val="FooterChar"/>
    <w:uiPriority w:val="99"/>
    <w:unhideWhenUsed/>
    <w:rsid w:val="00E62CF4"/>
    <w:pPr>
      <w:tabs>
        <w:tab w:val="center" w:pos="4513"/>
        <w:tab w:val="right" w:pos="9026"/>
      </w:tabs>
      <w:spacing w:before="0"/>
    </w:pPr>
  </w:style>
  <w:style w:type="character" w:customStyle="1" w:styleId="FooterChar">
    <w:name w:val="Footer Char"/>
    <w:basedOn w:val="DefaultParagraphFont"/>
    <w:link w:val="Footer"/>
    <w:uiPriority w:val="99"/>
    <w:rsid w:val="00E62CF4"/>
    <w:rPr>
      <w:rFonts w:ascii="Arial" w:eastAsia="Batang" w:hAnsi="Arial" w:cs="Times New Roman"/>
      <w:szCs w:val="24"/>
      <w:lang w:eastAsia="ko-KR"/>
    </w:rPr>
  </w:style>
  <w:style w:type="paragraph" w:styleId="Subtitle">
    <w:name w:val="Subtitle"/>
    <w:basedOn w:val="Normal"/>
    <w:next w:val="Normal"/>
    <w:link w:val="SubtitleChar"/>
    <w:uiPriority w:val="11"/>
    <w:qFormat/>
    <w:rsid w:val="008D36CE"/>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8D36CE"/>
    <w:rPr>
      <w:rFonts w:asciiTheme="majorHAnsi" w:eastAsiaTheme="majorEastAsia" w:hAnsiTheme="majorHAnsi" w:cstheme="majorBidi"/>
      <w:i/>
      <w:iCs/>
      <w:color w:val="4F81BD" w:themeColor="accent1"/>
      <w:spacing w:val="15"/>
      <w:sz w:val="24"/>
      <w:szCs w:val="24"/>
      <w:lang w:eastAsia="ko-KR"/>
    </w:rPr>
  </w:style>
  <w:style w:type="character" w:styleId="Hyperlink">
    <w:name w:val="Hyperlink"/>
    <w:basedOn w:val="DefaultParagraphFont"/>
    <w:uiPriority w:val="99"/>
    <w:unhideWhenUsed/>
    <w:rsid w:val="000D7781"/>
    <w:rPr>
      <w:color w:val="0000FF"/>
      <w:u w:val="single"/>
    </w:rPr>
  </w:style>
  <w:style w:type="table" w:customStyle="1" w:styleId="blackyellowtable">
    <w:name w:val="black/yellow table"/>
    <w:basedOn w:val="TableNormal"/>
    <w:uiPriority w:val="99"/>
    <w:rsid w:val="009B223E"/>
    <w:pPr>
      <w:spacing w:after="0" w:line="240" w:lineRule="auto"/>
    </w:pPr>
    <w:tblPr>
      <w:tblInd w:w="0" w:type="dxa"/>
      <w:tblCellMar>
        <w:top w:w="0" w:type="dxa"/>
        <w:left w:w="108" w:type="dxa"/>
        <w:bottom w:w="0" w:type="dxa"/>
        <w:right w:w="108" w:type="dxa"/>
      </w:tblCellMar>
    </w:tblPr>
  </w:style>
  <w:style w:type="table" w:customStyle="1" w:styleId="redtable">
    <w:name w:val="red table"/>
    <w:basedOn w:val="TableNormal"/>
    <w:uiPriority w:val="99"/>
    <w:rsid w:val="009B223E"/>
    <w:pPr>
      <w:spacing w:after="0" w:line="240" w:lineRule="auto"/>
    </w:pPr>
    <w:tblPr>
      <w:tblInd w:w="0" w:type="dxa"/>
      <w:tblCellMar>
        <w:top w:w="0" w:type="dxa"/>
        <w:left w:w="108" w:type="dxa"/>
        <w:bottom w:w="0" w:type="dxa"/>
        <w:right w:w="108" w:type="dxa"/>
      </w:tblCellMar>
    </w:tblPr>
  </w:style>
  <w:style w:type="table" w:customStyle="1" w:styleId="greentable">
    <w:name w:val="green table"/>
    <w:basedOn w:val="TableNormal"/>
    <w:uiPriority w:val="99"/>
    <w:rsid w:val="009B223E"/>
    <w:pPr>
      <w:spacing w:after="0" w:line="240" w:lineRule="auto"/>
    </w:pPr>
    <w:tblPr>
      <w:tblInd w:w="0" w:type="dxa"/>
      <w:tblCellMar>
        <w:top w:w="0" w:type="dxa"/>
        <w:left w:w="108" w:type="dxa"/>
        <w:bottom w:w="0" w:type="dxa"/>
        <w:right w:w="108" w:type="dxa"/>
      </w:tblCellMar>
    </w:tblPr>
  </w:style>
  <w:style w:type="character" w:styleId="FollowedHyperlink">
    <w:name w:val="FollowedHyperlink"/>
    <w:basedOn w:val="DefaultParagraphFont"/>
    <w:uiPriority w:val="99"/>
    <w:semiHidden/>
    <w:unhideWhenUsed/>
    <w:rsid w:val="00F2542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safeworkaustralia.gov.au/sites/SWA/about/Publications/Documents/860/Guide-Timber-Harvesting.docx" TargetMode="External"/><Relationship Id="rId18" Type="http://schemas.openxmlformats.org/officeDocument/2006/relationships/hyperlink" Target="http://www.safeworkaustralia.gov.au/sites/SWA/about/Publications/Documents/860/Guide-Other-General-Hazards-Forestry-Operations.docx" TargetMode="External"/><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hyperlink" Target="http://www.safeworkaustralia.gov.au/sites/SWA/about/Publications/Documents/860/Guide-Timber-Harvesting.docx" TargetMode="External"/><Relationship Id="rId7" Type="http://schemas.openxmlformats.org/officeDocument/2006/relationships/footnotes" Target="footnotes.xml"/><Relationship Id="rId12" Type="http://schemas.openxmlformats.org/officeDocument/2006/relationships/hyperlink" Target="http://www.safeworkaustralia.gov.au/sites/SWA/about/Publications/Documents/860/Guide-Coupe-Harvesting-Site-Access.docx" TargetMode="External"/><Relationship Id="rId17" Type="http://schemas.openxmlformats.org/officeDocument/2006/relationships/hyperlink" Target="http://www.safeworkaustralia.gov.au/sites/SWA/about/Publications/Documents/860/Guide-Plant-Equipment.docx" TargetMode="External"/><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yperlink" Target="http://www.safeworkaustralia.gov.au/sites/SWA/about/Publications/Documents/860/Guide-Infield-Processing-Forest-Products.docx" TargetMode="External"/><Relationship Id="rId20" Type="http://schemas.openxmlformats.org/officeDocument/2006/relationships/image" Target="media/image1.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safeworkaustralia.gov.au/sites/SWA/about/Publications/Documents/842/Managing-risks-cable-logging.pdf" TargetMode="External"/><Relationship Id="rId24"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hyperlink" Target="http://www.safeworkaustralia.gov.au/sites/SWA/about/Publications/Documents/860/Guide-Loading-Transporting-Unloading-Logs.docx" TargetMode="External"/><Relationship Id="rId23" Type="http://schemas.openxmlformats.org/officeDocument/2006/relationships/header" Target="header1.xml"/><Relationship Id="rId28" Type="http://schemas.openxmlformats.org/officeDocument/2006/relationships/theme" Target="theme/theme1.xml"/><Relationship Id="rId10" Type="http://schemas.openxmlformats.org/officeDocument/2006/relationships/hyperlink" Target="http://www.safeworkaustralia.gov.au/sites/SWA/about/Publications/Documents/844/Growing-managing-forests.pdf" TargetMode="External"/><Relationship Id="rId19" Type="http://schemas.openxmlformats.org/officeDocument/2006/relationships/hyperlink" Target="http://www.safeworkaustralia.gov.au/sites/SWA/about/Publications/Documents/860/Guide-Coupe-Harvesting-Site-Access.docx" TargetMode="External"/><Relationship Id="rId4" Type="http://schemas.microsoft.com/office/2007/relationships/stylesWithEffects" Target="stylesWithEffects.xml"/><Relationship Id="rId9" Type="http://schemas.openxmlformats.org/officeDocument/2006/relationships/hyperlink" Target="http://www.safeworkaustralia.gov.au/sites/SWA/about/Publications/Documents/860/Forestry-Operations-General-Guide.docx" TargetMode="External"/><Relationship Id="rId14" Type="http://schemas.openxmlformats.org/officeDocument/2006/relationships/hyperlink" Target="http://www.safeworkaustralia.gov.au/sites/SWA/about/Publications/Documents/860/Guide-Log-Extraction.docx" TargetMode="External"/><Relationship Id="rId22" Type="http://schemas.openxmlformats.org/officeDocument/2006/relationships/hyperlink" Target="http://www.swa.gov.au/" TargetMode="Externa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3D8C8E6-732D-4487-BCE1-75C230F513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6C37663D.dotm</Template>
  <TotalTime>115</TotalTime>
  <Pages>4</Pages>
  <Words>1373</Words>
  <Characters>7829</Characters>
  <Application>Microsoft Office Word</Application>
  <DocSecurity>0</DocSecurity>
  <Lines>65</Lines>
  <Paragraphs>18</Paragraphs>
  <ScaleCrop>false</ScaleCrop>
  <HeadingPairs>
    <vt:vector size="2" baseType="variant">
      <vt:variant>
        <vt:lpstr>Title</vt:lpstr>
      </vt:variant>
      <vt:variant>
        <vt:i4>1</vt:i4>
      </vt:variant>
    </vt:vector>
  </HeadingPairs>
  <TitlesOfParts>
    <vt:vector size="1" baseType="lpstr">
      <vt:lpstr>Forestry: Guide to managing risks of log landings</vt:lpstr>
    </vt:vector>
  </TitlesOfParts>
  <Company>Australian Government</Company>
  <LinksUpToDate>false</LinksUpToDate>
  <CharactersWithSpaces>9184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Forestry: Guide to managing risks of log landings</dc:title>
  <dc:creator/>
  <cp:lastModifiedBy>Shayn Wetherell</cp:lastModifiedBy>
  <cp:revision>31</cp:revision>
  <cp:lastPrinted>2014-04-16T23:48:00Z</cp:lastPrinted>
  <dcterms:created xsi:type="dcterms:W3CDTF">2014-06-10T04:40:00Z</dcterms:created>
  <dcterms:modified xsi:type="dcterms:W3CDTF">2014-09-08T04:07:00Z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nguage">
    <vt:lpwstr>English</vt:lpwstr>
  </property>
</Properties>
</file>